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305" w:lineRule="exact"/>
        <w:rPr>
          <w:sz w:val="24"/>
          <w:szCs w:val="24"/>
          <w:color w:val="auto"/>
        </w:rPr>
      </w:pPr>
    </w:p>
    <w:p>
      <w:pPr>
        <w:jc w:val="center"/>
        <w:ind w:right="460"/>
        <w:spacing w:after="0" w:line="255"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September, 2025</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001-41800</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Arm Holdings plc</w:t>
      </w:r>
    </w:p>
    <w:p>
      <w:pPr>
        <w:spacing w:after="0" w:line="200" w:lineRule="exact"/>
        <w:rPr>
          <w:sz w:val="24"/>
          <w:szCs w:val="24"/>
          <w:color w:val="auto"/>
        </w:rPr>
      </w:pPr>
    </w:p>
    <w:p>
      <w:pPr>
        <w:spacing w:after="0" w:line="34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110 Fulbourn Road</w:t>
      </w:r>
    </w:p>
    <w:p>
      <w:pPr>
        <w:ind w:left="4820"/>
        <w:spacing w:after="0" w:line="210" w:lineRule="auto"/>
        <w:rPr>
          <w:sz w:val="20"/>
          <w:szCs w:val="20"/>
          <w:color w:val="auto"/>
        </w:rPr>
      </w:pPr>
      <w:r>
        <w:rPr>
          <w:rFonts w:ascii="Times New Roman" w:cs="Times New Roman" w:eastAsia="Times New Roman" w:hAnsi="Times New Roman"/>
          <w:sz w:val="18"/>
          <w:szCs w:val="18"/>
          <w:b w:val="1"/>
          <w:bCs w:val="1"/>
          <w:color w:val="auto"/>
        </w:rPr>
        <w:t>Cambridge CB1 9NJ</w:t>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56" w:lineRule="exact"/>
        <w:rPr>
          <w:sz w:val="24"/>
          <w:szCs w:val="24"/>
          <w:color w:val="auto"/>
        </w:rPr>
      </w:pPr>
    </w:p>
    <w:p>
      <w:pPr>
        <w:spacing w:after="0" w:line="207" w:lineRule="exact"/>
        <w:tabs>
          <w:tab w:leader="none" w:pos="1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report on Form 6-K shall be deemed to be incorporated by reference into the registration statements on Form S-8 (File Nos. 333-274544 and 333-287614) of Arm Holdings plc (including the prospectus forming a part of each such registration statement) and to be a part thereof from the date of this Form 6-K to the extent not superseded by documents or reports subsequently filed or furnished.</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2025 Annual General Meeting of Arm Holdings plc</w:t>
      </w:r>
    </w:p>
    <w:p>
      <w:pPr>
        <w:spacing w:after="0" w:line="22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10, 2025, Arm Holdings plc (the “Company”) announced the results of its Annual General Meeting held on September 9, 2025 (the “AGM”). Voting at the AGM was conducted by way of a poll. The results of the voting, including the number of votes cast for and against and the number of votes withheld, are available on the Company's website and are set forth in Exhibit 99.1 to this report on Form 6-K.</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Exhibit Index included hereto.</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8980" w:type="dxa"/>
            <w:vAlign w:val="bottom"/>
            <w:gridSpan w:val="2"/>
          </w:tcPr>
          <w:p>
            <w:pPr>
              <w:ind w:left="26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26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8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2025 Arm Holdings plc Annual General Meeting Results</w:t>
            </w:r>
          </w:p>
        </w:tc>
      </w:tr>
      <w:tr>
        <w:trPr>
          <w:trHeight w:val="1040"/>
        </w:trPr>
        <w:tc>
          <w:tcPr>
            <w:tcW w:w="2260" w:type="dxa"/>
            <w:vAlign w:val="bottom"/>
            <w:tcBorders>
              <w:bottom w:val="single" w:sz="8" w:color="9A9A9A"/>
            </w:tcBorders>
          </w:tcPr>
          <w:p>
            <w:pPr>
              <w:spacing w:after="0"/>
              <w:rPr>
                <w:sz w:val="24"/>
                <w:szCs w:val="24"/>
                <w:color w:val="auto"/>
              </w:rPr>
            </w:pPr>
          </w:p>
        </w:tc>
        <w:tc>
          <w:tcPr>
            <w:tcW w:w="4120" w:type="dxa"/>
            <w:vAlign w:val="bottom"/>
            <w:tcBorders>
              <w:top w:val="single" w:sz="8" w:color="0000FF"/>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66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231F20"/>
              </w:rPr>
              <w:t>ARM HOLDINGS PLC</w:t>
            </w:r>
          </w:p>
        </w:tc>
      </w:tr>
      <w:tr>
        <w:trPr>
          <w:trHeight w:val="567"/>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2025</w:t>
            </w:r>
          </w:p>
        </w:tc>
        <w:tc>
          <w:tcPr>
            <w:tcW w:w="2440" w:type="dxa"/>
            <w:vAlign w:val="bottom"/>
          </w:tcPr>
          <w:p>
            <w:pPr>
              <w:ind w:left="1660"/>
              <w:spacing w:after="0"/>
              <w:rPr>
                <w:sz w:val="20"/>
                <w:szCs w:val="20"/>
                <w:color w:val="auto"/>
              </w:rPr>
            </w:pPr>
            <w:r>
              <w:rPr>
                <w:rFonts w:ascii="Times New Roman" w:cs="Times New Roman" w:eastAsia="Times New Roman" w:hAnsi="Times New Roman"/>
                <w:sz w:val="18"/>
                <w:szCs w:val="18"/>
                <w:color w:val="231F20"/>
              </w:rPr>
              <w:t>By:</w:t>
            </w:r>
          </w:p>
        </w:tc>
        <w:tc>
          <w:tcPr>
            <w:tcW w:w="5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Bartels</w:t>
            </w:r>
          </w:p>
        </w:tc>
      </w:tr>
      <w:tr>
        <w:trPr>
          <w:trHeight w:val="245"/>
        </w:trPr>
        <w:tc>
          <w:tcPr>
            <w:tcW w:w="3540" w:type="dxa"/>
            <w:vAlign w:val="bottom"/>
          </w:tcPr>
          <w:p>
            <w:pPr>
              <w:spacing w:after="0"/>
              <w:rPr>
                <w:sz w:val="21"/>
                <w:szCs w:val="21"/>
                <w:color w:val="auto"/>
              </w:rPr>
            </w:pPr>
          </w:p>
        </w:tc>
        <w:tc>
          <w:tcPr>
            <w:tcW w:w="2440" w:type="dxa"/>
            <w:vAlign w:val="bottom"/>
          </w:tcPr>
          <w:p>
            <w:pPr>
              <w:ind w:left="1660"/>
              <w:spacing w:after="0"/>
              <w:rPr>
                <w:sz w:val="20"/>
                <w:szCs w:val="20"/>
                <w:color w:val="auto"/>
              </w:rPr>
            </w:pPr>
            <w:r>
              <w:rPr>
                <w:rFonts w:ascii="Times New Roman" w:cs="Times New Roman" w:eastAsia="Times New Roman" w:hAnsi="Times New Roman"/>
                <w:sz w:val="18"/>
                <w:szCs w:val="18"/>
                <w:color w:val="231F20"/>
              </w:rPr>
              <w:t>Name:</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Bartels</w:t>
            </w:r>
          </w:p>
        </w:tc>
      </w:tr>
      <w:tr>
        <w:trPr>
          <w:trHeight w:val="194"/>
        </w:trPr>
        <w:tc>
          <w:tcPr>
            <w:tcW w:w="3540" w:type="dxa"/>
            <w:vAlign w:val="bottom"/>
          </w:tcPr>
          <w:p>
            <w:pPr>
              <w:spacing w:after="0"/>
              <w:rPr>
                <w:sz w:val="16"/>
                <w:szCs w:val="16"/>
                <w:color w:val="auto"/>
              </w:rPr>
            </w:pPr>
          </w:p>
        </w:tc>
        <w:tc>
          <w:tcPr>
            <w:tcW w:w="2440" w:type="dxa"/>
            <w:vAlign w:val="bottom"/>
          </w:tcPr>
          <w:p>
            <w:pPr>
              <w:ind w:left="1660"/>
              <w:spacing w:after="0" w:line="194" w:lineRule="exact"/>
              <w:rPr>
                <w:sz w:val="20"/>
                <w:szCs w:val="20"/>
                <w:color w:val="auto"/>
              </w:rPr>
            </w:pPr>
            <w:r>
              <w:rPr>
                <w:rFonts w:ascii="Times New Roman" w:cs="Times New Roman" w:eastAsia="Times New Roman" w:hAnsi="Times New Roman"/>
                <w:sz w:val="18"/>
                <w:szCs w:val="18"/>
                <w:color w:val="231F20"/>
              </w:rPr>
              <w:t>Title:</w:t>
            </w:r>
          </w:p>
        </w:tc>
        <w:tc>
          <w:tcPr>
            <w:tcW w:w="52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40"/>
          </w:cols>
          <w:pgMar w:left="320" w:top="1251" w:right="339" w:bottom="1440" w:gutter="0" w:footer="0" w:header="0"/>
        </w:sectPr>
      </w:pPr>
    </w:p>
    <w:bookmarkStart w:id="2" w:name="page3"/>
    <w:bookmarkEnd w:id="2"/>
    <w:p>
      <w:pPr>
        <w:ind w:left="10120"/>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527685</wp:posOffset>
            </wp:positionV>
            <wp:extent cx="2297430" cy="7029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974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2025 Arm Holdings plc Annual General Meeting Results</w:t>
      </w:r>
    </w:p>
    <w:p>
      <w:pPr>
        <w:spacing w:after="0" w:line="26"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20"/>
          <w:szCs w:val="20"/>
          <w:color w:val="auto"/>
        </w:rPr>
        <w:t>On September 9, 2025, Arm Holdings plc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held its 2025 annual general meeting (the “</w:t>
      </w:r>
      <w:r>
        <w:rPr>
          <w:rFonts w:ascii="Times New Roman" w:cs="Times New Roman" w:eastAsia="Times New Roman" w:hAnsi="Times New Roman"/>
          <w:sz w:val="20"/>
          <w:szCs w:val="20"/>
          <w:b w:val="1"/>
          <w:bCs w:val="1"/>
          <w:color w:val="auto"/>
        </w:rPr>
        <w:t>AGM</w:t>
      </w:r>
      <w:r>
        <w:rPr>
          <w:rFonts w:ascii="Times New Roman" w:cs="Times New Roman" w:eastAsia="Times New Roman" w:hAnsi="Times New Roman"/>
          <w:sz w:val="20"/>
          <w:szCs w:val="20"/>
          <w:color w:val="auto"/>
        </w:rPr>
        <w:t>”). Voting at the AGM was conducted by way of a poll, and each ordinary share, which may be represented by American Depositary Shares, issued and outstanding as of the close of business on the record date was entitled to one (1) vote on each resolution at the AGM.</w:t>
      </w:r>
    </w:p>
    <w:p>
      <w:pPr>
        <w:spacing w:after="0" w:line="216"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20"/>
          <w:szCs w:val="20"/>
          <w:color w:val="auto"/>
        </w:rPr>
        <w:t>The following are the voting results for the proposals considered and voted upon at the AGM, each of which was an ordinary resolution requiring a simple majority:</w:t>
      </w:r>
    </w:p>
    <w:p>
      <w:pPr>
        <w:spacing w:after="0" w:line="196"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Proposal</w:t>
            </w:r>
          </w:p>
        </w:tc>
        <w:tc>
          <w:tcPr>
            <w:tcW w:w="46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b w:val="1"/>
                <w:bCs w:val="1"/>
                <w:color w:val="auto"/>
              </w:rPr>
              <w:t>For Against Vote Withheld</w:t>
            </w:r>
          </w:p>
        </w:tc>
        <w:tc>
          <w:tcPr>
            <w:tcW w:w="186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r>
      <w:tr>
        <w:trPr>
          <w:trHeight w:val="200"/>
        </w:trPr>
        <w:tc>
          <w:tcPr>
            <w:tcW w:w="5660" w:type="dxa"/>
            <w:vAlign w:val="bottom"/>
            <w:tcBorders>
              <w:left w:val="single" w:sz="8" w:color="auto"/>
              <w:right w:val="single" w:sz="8" w:color="auto"/>
            </w:tcBorders>
            <w:gridSpan w:val="2"/>
          </w:tcPr>
          <w:p>
            <w:pPr>
              <w:ind w:left="140"/>
              <w:spacing w:after="0" w:line="200" w:lineRule="exact"/>
              <w:rPr>
                <w:sz w:val="20"/>
                <w:szCs w:val="20"/>
                <w:color w:val="auto"/>
              </w:rPr>
            </w:pPr>
            <w:r>
              <w:rPr>
                <w:rFonts w:ascii="Times New Roman" w:cs="Times New Roman" w:eastAsia="Times New Roman" w:hAnsi="Times New Roman"/>
                <w:sz w:val="20"/>
                <w:szCs w:val="20"/>
                <w:i w:val="1"/>
                <w:iCs w:val="1"/>
                <w:color w:val="auto"/>
              </w:rPr>
              <w:t>To appoint George Kanelos, acting as proxy for SVF Holdco (UK)</w:t>
            </w:r>
          </w:p>
        </w:tc>
        <w:tc>
          <w:tcPr>
            <w:tcW w:w="1860" w:type="dxa"/>
            <w:vAlign w:val="bottom"/>
            <w:tcBorders>
              <w:right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w:t>
            </w:r>
          </w:p>
        </w:tc>
        <w:tc>
          <w:tcPr>
            <w:tcW w:w="1860" w:type="dxa"/>
            <w:vAlign w:val="bottom"/>
            <w:tcBorders>
              <w:right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0</w:t>
            </w:r>
          </w:p>
        </w:tc>
        <w:tc>
          <w:tcPr>
            <w:tcW w:w="1880" w:type="dxa"/>
            <w:vAlign w:val="bottom"/>
            <w:tcBorders>
              <w:right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0</w:t>
            </w:r>
          </w:p>
        </w:tc>
      </w:tr>
      <w:tr>
        <w:trPr>
          <w:trHeight w:val="256"/>
        </w:trPr>
        <w:tc>
          <w:tcPr>
            <w:tcW w:w="56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i w:val="1"/>
                <w:iCs w:val="1"/>
                <w:color w:val="auto"/>
              </w:rPr>
              <w:t>Limited, as chair of the meeting</w:t>
            </w:r>
          </w:p>
        </w:tc>
        <w:tc>
          <w:tcPr>
            <w:tcW w:w="1860" w:type="dxa"/>
            <w:vAlign w:val="bottom"/>
            <w:tcBorders>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spacing w:after="0"/>
              <w:rPr>
                <w:sz w:val="22"/>
                <w:szCs w:val="22"/>
                <w:color w:val="auto"/>
              </w:rPr>
            </w:pPr>
          </w:p>
        </w:tc>
      </w:tr>
      <w:tr>
        <w:trPr>
          <w:trHeight w:val="196"/>
        </w:trPr>
        <w:tc>
          <w:tcPr>
            <w:tcW w:w="5660" w:type="dxa"/>
            <w:vAlign w:val="bottom"/>
            <w:tcBorders>
              <w:left w:val="single" w:sz="8" w:color="auto"/>
              <w:right w:val="single" w:sz="8" w:color="auto"/>
            </w:tcBorders>
            <w:gridSpan w:val="2"/>
          </w:tcPr>
          <w:p>
            <w:pPr>
              <w:ind w:left="140"/>
              <w:spacing w:after="0" w:line="196" w:lineRule="exact"/>
              <w:rPr>
                <w:sz w:val="20"/>
                <w:szCs w:val="20"/>
                <w:color w:val="auto"/>
              </w:rPr>
            </w:pPr>
            <w:r>
              <w:rPr>
                <w:rFonts w:ascii="Times New Roman" w:cs="Times New Roman" w:eastAsia="Times New Roman" w:hAnsi="Times New Roman"/>
                <w:sz w:val="20"/>
                <w:szCs w:val="20"/>
                <w:i w:val="1"/>
                <w:iCs w:val="1"/>
                <w:color w:val="auto"/>
                <w:w w:val="99"/>
              </w:rPr>
              <w:t>To receive the accounts of the Company for the financial year ended</w:t>
            </w:r>
          </w:p>
        </w:tc>
        <w:tc>
          <w:tcPr>
            <w:tcW w:w="1860" w:type="dxa"/>
            <w:vAlign w:val="bottom"/>
            <w:tcBorders>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968,652,044</w:t>
            </w:r>
          </w:p>
        </w:tc>
        <w:tc>
          <w:tcPr>
            <w:tcW w:w="1860" w:type="dxa"/>
            <w:vAlign w:val="bottom"/>
            <w:tcBorders>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211,812</w:t>
            </w:r>
          </w:p>
        </w:tc>
        <w:tc>
          <w:tcPr>
            <w:tcW w:w="1880" w:type="dxa"/>
            <w:vAlign w:val="bottom"/>
            <w:tcBorders>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20"/>
                <w:szCs w:val="20"/>
                <w:color w:val="auto"/>
              </w:rPr>
              <w:t>1,029,597</w:t>
            </w:r>
          </w:p>
        </w:tc>
      </w:tr>
      <w:tr>
        <w:trPr>
          <w:trHeight w:val="189"/>
        </w:trPr>
        <w:tc>
          <w:tcPr>
            <w:tcW w:w="5660" w:type="dxa"/>
            <w:vAlign w:val="bottom"/>
            <w:tcBorders>
              <w:left w:val="single" w:sz="8" w:color="auto"/>
              <w:right w:val="single" w:sz="8" w:color="auto"/>
            </w:tcBorders>
            <w:gridSpan w:val="2"/>
          </w:tcPr>
          <w:p>
            <w:pPr>
              <w:ind w:left="40"/>
              <w:spacing w:after="0" w:line="189" w:lineRule="exact"/>
              <w:rPr>
                <w:sz w:val="20"/>
                <w:szCs w:val="20"/>
                <w:color w:val="auto"/>
              </w:rPr>
            </w:pPr>
            <w:r>
              <w:rPr>
                <w:rFonts w:ascii="Times New Roman" w:cs="Times New Roman" w:eastAsia="Times New Roman" w:hAnsi="Times New Roman"/>
                <w:sz w:val="20"/>
                <w:szCs w:val="20"/>
                <w:i w:val="1"/>
                <w:iCs w:val="1"/>
                <w:color w:val="auto"/>
              </w:rPr>
              <w:t>31 March 2025 together with the reports of the directors and the</w:t>
            </w:r>
          </w:p>
        </w:tc>
        <w:tc>
          <w:tcPr>
            <w:tcW w:w="1860" w:type="dxa"/>
            <w:vAlign w:val="bottom"/>
            <w:tcBorders>
              <w:right w:val="single" w:sz="8" w:color="auto"/>
            </w:tcBorders>
          </w:tcPr>
          <w:p>
            <w:pPr>
              <w:spacing w:after="0"/>
              <w:rPr>
                <w:sz w:val="16"/>
                <w:szCs w:val="16"/>
                <w:color w:val="auto"/>
              </w:rPr>
            </w:pPr>
          </w:p>
        </w:tc>
        <w:tc>
          <w:tcPr>
            <w:tcW w:w="1860" w:type="dxa"/>
            <w:vAlign w:val="bottom"/>
            <w:tcBorders>
              <w:right w:val="single" w:sz="8" w:color="auto"/>
            </w:tcBorders>
          </w:tcPr>
          <w:p>
            <w:pPr>
              <w:spacing w:after="0"/>
              <w:rPr>
                <w:sz w:val="16"/>
                <w:szCs w:val="16"/>
                <w:color w:val="auto"/>
              </w:rPr>
            </w:pPr>
          </w:p>
        </w:tc>
        <w:tc>
          <w:tcPr>
            <w:tcW w:w="1880" w:type="dxa"/>
            <w:vAlign w:val="bottom"/>
            <w:tcBorders>
              <w:right w:val="single" w:sz="8" w:color="auto"/>
            </w:tcBorders>
          </w:tcPr>
          <w:p>
            <w:pPr>
              <w:spacing w:after="0"/>
              <w:rPr>
                <w:sz w:val="16"/>
                <w:szCs w:val="16"/>
                <w:color w:val="auto"/>
              </w:rPr>
            </w:pPr>
          </w:p>
        </w:tc>
      </w:tr>
      <w:tr>
        <w:trPr>
          <w:trHeight w:val="266"/>
        </w:trPr>
        <w:tc>
          <w:tcPr>
            <w:tcW w:w="56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i w:val="1"/>
                <w:iCs w:val="1"/>
                <w:color w:val="auto"/>
              </w:rPr>
              <w:t>auditors of the Company thereon</w:t>
            </w:r>
          </w:p>
        </w:tc>
        <w:tc>
          <w:tcPr>
            <w:tcW w:w="1860" w:type="dxa"/>
            <w:vAlign w:val="bottom"/>
            <w:tcBorders>
              <w:bottom w:val="single" w:sz="8" w:color="auto"/>
              <w:right w:val="single" w:sz="8" w:color="auto"/>
            </w:tcBorders>
          </w:tcPr>
          <w:p>
            <w:pPr>
              <w:spacing w:after="0"/>
              <w:rPr>
                <w:sz w:val="23"/>
                <w:szCs w:val="23"/>
                <w:color w:val="auto"/>
              </w:rPr>
            </w:pPr>
          </w:p>
        </w:tc>
        <w:tc>
          <w:tcPr>
            <w:tcW w:w="1860" w:type="dxa"/>
            <w:vAlign w:val="bottom"/>
            <w:tcBorders>
              <w:bottom w:val="single" w:sz="8" w:color="auto"/>
              <w:right w:val="single" w:sz="8" w:color="auto"/>
            </w:tcBorders>
          </w:tcPr>
          <w:p>
            <w:pPr>
              <w:spacing w:after="0"/>
              <w:rPr>
                <w:sz w:val="23"/>
                <w:szCs w:val="23"/>
                <w:color w:val="auto"/>
              </w:rPr>
            </w:pPr>
          </w:p>
        </w:tc>
        <w:tc>
          <w:tcPr>
            <w:tcW w:w="1880" w:type="dxa"/>
            <w:vAlign w:val="bottom"/>
            <w:tcBorders>
              <w:bottom w:val="single" w:sz="8" w:color="auto"/>
              <w:right w:val="single" w:sz="8" w:color="auto"/>
            </w:tcBorders>
          </w:tcPr>
          <w:p>
            <w:pPr>
              <w:spacing w:after="0"/>
              <w:rPr>
                <w:sz w:val="23"/>
                <w:szCs w:val="23"/>
                <w:color w:val="auto"/>
              </w:rPr>
            </w:pPr>
          </w:p>
        </w:tc>
      </w:tr>
      <w:tr>
        <w:trPr>
          <w:trHeight w:val="263"/>
        </w:trPr>
        <w:tc>
          <w:tcPr>
            <w:tcW w:w="56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i w:val="1"/>
                <w:iCs w:val="1"/>
                <w:color w:val="auto"/>
              </w:rPr>
              <w:t>To receive and approve the directors’ remuneration report</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953,386,892</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15,218,864</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1,287,697</w:t>
            </w:r>
          </w:p>
        </w:tc>
      </w:tr>
      <w:tr>
        <w:trPr>
          <w:trHeight w:val="264"/>
        </w:trPr>
        <w:tc>
          <w:tcPr>
            <w:tcW w:w="56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i w:val="1"/>
                <w:iCs w:val="1"/>
                <w:color w:val="auto"/>
              </w:rPr>
              <w:t>To re-appoint Deloitte LLP as auditors of the Company</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968,673,922</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102,357</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1,117,174</w:t>
            </w:r>
          </w:p>
        </w:tc>
      </w:tr>
      <w:tr>
        <w:trPr>
          <w:trHeight w:val="200"/>
        </w:trPr>
        <w:tc>
          <w:tcPr>
            <w:tcW w:w="5660" w:type="dxa"/>
            <w:vAlign w:val="bottom"/>
            <w:tcBorders>
              <w:left w:val="single" w:sz="8" w:color="auto"/>
              <w:right w:val="single" w:sz="8" w:color="auto"/>
            </w:tcBorders>
            <w:gridSpan w:val="2"/>
          </w:tcPr>
          <w:p>
            <w:pPr>
              <w:ind w:left="140"/>
              <w:spacing w:after="0" w:line="200" w:lineRule="exact"/>
              <w:rPr>
                <w:sz w:val="20"/>
                <w:szCs w:val="20"/>
                <w:color w:val="auto"/>
              </w:rPr>
            </w:pPr>
            <w:r>
              <w:rPr>
                <w:rFonts w:ascii="Times New Roman" w:cs="Times New Roman" w:eastAsia="Times New Roman" w:hAnsi="Times New Roman"/>
                <w:sz w:val="20"/>
                <w:szCs w:val="20"/>
                <w:i w:val="1"/>
                <w:iCs w:val="1"/>
                <w:color w:val="auto"/>
              </w:rPr>
              <w:t>To authorise the audit committee of the board of directors of the</w:t>
            </w:r>
          </w:p>
        </w:tc>
        <w:tc>
          <w:tcPr>
            <w:tcW w:w="1860" w:type="dxa"/>
            <w:vAlign w:val="bottom"/>
            <w:tcBorders>
              <w:right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968,359,079</w:t>
            </w:r>
          </w:p>
        </w:tc>
        <w:tc>
          <w:tcPr>
            <w:tcW w:w="1860" w:type="dxa"/>
            <w:vAlign w:val="bottom"/>
            <w:tcBorders>
              <w:right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158,109</w:t>
            </w:r>
          </w:p>
        </w:tc>
        <w:tc>
          <w:tcPr>
            <w:tcW w:w="1880" w:type="dxa"/>
            <w:vAlign w:val="bottom"/>
            <w:tcBorders>
              <w:right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1,376,265</w:t>
            </w:r>
          </w:p>
        </w:tc>
      </w:tr>
      <w:tr>
        <w:trPr>
          <w:trHeight w:val="256"/>
        </w:trPr>
        <w:tc>
          <w:tcPr>
            <w:tcW w:w="566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i w:val="1"/>
                <w:iCs w:val="1"/>
                <w:color w:val="auto"/>
              </w:rPr>
              <w:t>Company to fix the remuneration of the auditors of the Company</w:t>
            </w:r>
          </w:p>
        </w:tc>
        <w:tc>
          <w:tcPr>
            <w:tcW w:w="1860" w:type="dxa"/>
            <w:vAlign w:val="bottom"/>
            <w:tcBorders>
              <w:bottom w:val="single" w:sz="8" w:color="auto"/>
              <w:right w:val="single" w:sz="8" w:color="auto"/>
            </w:tcBorders>
          </w:tcPr>
          <w:p>
            <w:pPr>
              <w:spacing w:after="0"/>
              <w:rPr>
                <w:sz w:val="22"/>
                <w:szCs w:val="22"/>
                <w:color w:val="auto"/>
              </w:rPr>
            </w:pPr>
          </w:p>
        </w:tc>
        <w:tc>
          <w:tcPr>
            <w:tcW w:w="1860" w:type="dxa"/>
            <w:vAlign w:val="bottom"/>
            <w:tcBorders>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spacing w:after="0"/>
              <w:rPr>
                <w:sz w:val="22"/>
                <w:szCs w:val="22"/>
                <w:color w:val="auto"/>
              </w:rPr>
            </w:pPr>
          </w:p>
        </w:tc>
      </w:tr>
      <w:tr>
        <w:trPr>
          <w:trHeight w:val="260"/>
        </w:trPr>
        <w:tc>
          <w:tcPr>
            <w:tcW w:w="56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i w:val="1"/>
                <w:iCs w:val="1"/>
                <w:color w:val="auto"/>
              </w:rPr>
              <w:t>To re-elect Masayoshi Son as a director of the Company</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948,040,643</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20,874,385</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978,425</w:t>
            </w:r>
          </w:p>
        </w:tc>
      </w:tr>
      <w:tr>
        <w:trPr>
          <w:trHeight w:val="263"/>
        </w:trPr>
        <w:tc>
          <w:tcPr>
            <w:tcW w:w="56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i w:val="1"/>
                <w:iCs w:val="1"/>
                <w:color w:val="auto"/>
              </w:rPr>
              <w:t>To re-elect Rene Haas as a director of the Company</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955,094,252</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13,814,709</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984,492</w:t>
            </w:r>
          </w:p>
        </w:tc>
      </w:tr>
      <w:tr>
        <w:trPr>
          <w:trHeight w:val="263"/>
        </w:trPr>
        <w:tc>
          <w:tcPr>
            <w:tcW w:w="56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i w:val="1"/>
                <w:iCs w:val="1"/>
                <w:color w:val="auto"/>
              </w:rPr>
              <w:t>To re-elect Ronald D. Fisher as a director of the Company</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949,091,430</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19,765,497</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1,036,526</w:t>
            </w:r>
          </w:p>
        </w:tc>
      </w:tr>
      <w:tr>
        <w:trPr>
          <w:trHeight w:val="264"/>
        </w:trPr>
        <w:tc>
          <w:tcPr>
            <w:tcW w:w="56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i w:val="1"/>
                <w:iCs w:val="1"/>
                <w:color w:val="auto"/>
              </w:rPr>
              <w:t>To re-elect Jeffrey A. Sine as a director of the Company</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950,077,485</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18,774,555</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1,041,413</w:t>
            </w:r>
          </w:p>
        </w:tc>
      </w:tr>
      <w:tr>
        <w:trPr>
          <w:trHeight w:val="263"/>
        </w:trPr>
        <w:tc>
          <w:tcPr>
            <w:tcW w:w="56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i w:val="1"/>
                <w:iCs w:val="1"/>
                <w:color w:val="auto"/>
              </w:rPr>
              <w:t>To re-elect Karen E. Dykstra as a director of the Company</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966,568,315</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2,293,502</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1,031,636</w:t>
            </w:r>
          </w:p>
        </w:tc>
      </w:tr>
      <w:tr>
        <w:trPr>
          <w:trHeight w:val="263"/>
        </w:trPr>
        <w:tc>
          <w:tcPr>
            <w:tcW w:w="56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i w:val="1"/>
                <w:iCs w:val="1"/>
                <w:color w:val="auto"/>
              </w:rPr>
              <w:t>To re-elect Rosemary Schooler as a director of the Company</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966,463,506</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2,401,694</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1,028,253</w:t>
            </w:r>
          </w:p>
        </w:tc>
      </w:tr>
      <w:tr>
        <w:trPr>
          <w:trHeight w:val="264"/>
        </w:trPr>
        <w:tc>
          <w:tcPr>
            <w:tcW w:w="56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i w:val="1"/>
                <w:iCs w:val="1"/>
                <w:color w:val="auto"/>
              </w:rPr>
              <w:t>To re-elect Paul E. Jacobs as a director of the Company</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961,530,413</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7,320,260</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1,042,780</w:t>
            </w:r>
          </w:p>
        </w:tc>
      </w:tr>
      <w:tr>
        <w:trPr>
          <w:trHeight w:val="263"/>
        </w:trPr>
        <w:tc>
          <w:tcPr>
            <w:tcW w:w="5660" w:type="dxa"/>
            <w:vAlign w:val="bottom"/>
            <w:tcBorders>
              <w:left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20"/>
                <w:szCs w:val="20"/>
                <w:i w:val="1"/>
                <w:iCs w:val="1"/>
                <w:color w:val="auto"/>
              </w:rPr>
              <w:t>To re-elect Young Sohn as a director of the Company</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965,412,100</w:t>
            </w:r>
          </w:p>
        </w:tc>
        <w:tc>
          <w:tcPr>
            <w:tcW w:w="18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3,444,741</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1,036,612</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Based on the foregoing votes, the shareholders approved all of the proposals.</w:t>
      </w:r>
    </w:p>
    <w:sectPr>
      <w:pgSz w:w="11900" w:h="16838" w:orient="portrait"/>
      <w:cols w:equalWidth="0" w:num="1">
        <w:col w:w="11260"/>
      </w:cols>
      <w:pgMar w:left="320" w:top="36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2025-09-10T15:11:47Z</dcterms:created>
  <dcterms:modified xsi:type="dcterms:W3CDTF">2025-09-10T15:11:47Z</dcterms:modified>
</cp:coreProperties>
</file>