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6-K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month of May, 2024 </w:t>
      </w:r>
    </w:p>
    <w:p>
      <w:pPr>
        <w:pStyle w:val="TextBody"/>
        <w:bidi w:val="0"/>
        <w:spacing w:before="0" w:after="0"/>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Arm Holdings plc</w:t>
      </w:r>
    </w:p>
    <w:p>
      <w:pPr>
        <w:pStyle w:val="TextBody"/>
        <w:bidi w:val="0"/>
        <w:spacing w:before="100" w:after="283"/>
        <w:ind w:left="0" w:right="0" w:firstLine="720"/>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 Fulbourn Road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Cambridge CB1 9NJ</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both"/>
        <w:rPr/>
      </w:pPr>
      <w:r>
        <w:rPr/>
      </w:r>
    </w:p>
    <w:tbl>
      <w:tblPr>
        <w:tblW w:w="4709" w:type="dxa"/>
        <w:jc w:val="left"/>
        <w:tblInd w:w="0" w:type="dxa"/>
        <w:tblLayout w:type="fixed"/>
        <w:tblCellMar>
          <w:top w:w="28" w:type="dxa"/>
          <w:left w:w="28" w:type="dxa"/>
          <w:bottom w:w="28" w:type="dxa"/>
          <w:right w:w="28" w:type="dxa"/>
        </w:tblCellMar>
      </w:tblPr>
      <w:tblGrid>
        <w:gridCol w:w="538"/>
        <w:gridCol w:w="472"/>
        <w:gridCol w:w="474"/>
        <w:gridCol w:w="942"/>
        <w:gridCol w:w="942"/>
        <w:gridCol w:w="134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ye24q431-marx24.htm">
              <w:r>
                <w:rPr>
                  <w:rStyle w:val="InternetLink"/>
                  <w:rFonts w:ascii="Times New Roman;sans-serif" w:hAnsi="Times New Roman;sans-serif"/>
                  <w:b w:val="false"/>
                  <w:color w:val="0000FF"/>
                  <w:sz w:val="20"/>
                  <w:u w:val="single"/>
                </w:rPr>
                <w:t xml:space="preserve">Press Release dated </w:t>
              </w:r>
            </w:hyperlink>
            <w:r>
              <w:rPr>
                <w:rFonts w:ascii="Times New Roman;sans-serif" w:hAnsi="Times New Roman;sans-serif"/>
                <w:b w:val="false"/>
                <w:color w:val="000000"/>
                <w:sz w:val="20"/>
              </w:rPr>
              <w:t>May 8, 2024</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fye24q431-marx24.htm">
              <w:r>
                <w:rPr>
                  <w:rStyle w:val="InternetLink"/>
                  <w:rFonts w:ascii="Times New Roman;sans-serif" w:hAnsi="Times New Roman;sans-serif"/>
                  <w:b w:val="false"/>
                  <w:color w:val="0000FF"/>
                  <w:sz w:val="20"/>
                  <w:u w:val="single"/>
                </w:rPr>
                <w:t xml:space="preserve">Shareholder Letter dated </w:t>
              </w:r>
            </w:hyperlink>
            <w:r>
              <w:rPr>
                <w:rFonts w:ascii="Times New Roman;sans-serif" w:hAnsi="Times New Roman;sans-serif"/>
                <w:b w:val="false"/>
                <w:color w:val="000000"/>
                <w:sz w:val="20"/>
              </w:rPr>
              <w:t>May 8,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231F20"/>
          <w:sz w:val="20"/>
        </w:rPr>
      </w:pPr>
      <w:r>
        <w:rPr>
          <w:rFonts w:ascii="Times New Roman;sans-serif" w:hAnsi="Times New Roman;sans-serif"/>
          <w:b/>
          <w:color w:val="231F20"/>
          <w:sz w:val="20"/>
        </w:rPr>
        <w:t>SIGNATURES</w:t>
      </w:r>
    </w:p>
    <w:p>
      <w:pPr>
        <w:pStyle w:val="TextBody"/>
        <w:bidi w:val="0"/>
        <w:spacing w:lineRule="auto" w:line="288" w:before="24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Pursuant to the requirements of the Securities Exchange Act of 1934, the registrant has duly caused this report to be signed on its behalf by the undersigned, thereunto duly authorized.</w:t>
      </w:r>
    </w:p>
    <w:tbl>
      <w:tblPr>
        <w:tblW w:w="5228" w:type="dxa"/>
        <w:jc w:val="left"/>
        <w:tblInd w:w="0" w:type="dxa"/>
        <w:tblLayout w:type="fixed"/>
        <w:tblCellMar>
          <w:top w:w="28" w:type="dxa"/>
          <w:left w:w="28" w:type="dxa"/>
          <w:bottom w:w="28" w:type="dxa"/>
          <w:right w:w="28" w:type="dxa"/>
        </w:tblCellMar>
      </w:tblPr>
      <w:tblGrid>
        <w:gridCol w:w="591"/>
        <w:gridCol w:w="520"/>
        <w:gridCol w:w="523"/>
        <w:gridCol w:w="328"/>
        <w:gridCol w:w="328"/>
        <w:gridCol w:w="328"/>
        <w:gridCol w:w="757"/>
        <w:gridCol w:w="757"/>
        <w:gridCol w:w="109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ARM HOLDINGS PLC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Laura Bartels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Bartels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Arm Holdings plc Reports Results for the Fourth Quarter of the Financial Year Ended 2024</w:t>
      </w:r>
    </w:p>
    <w:p>
      <w:pPr>
        <w:pStyle w:val="TextBody"/>
        <w:bidi w:val="0"/>
        <w:spacing w:before="0" w:after="0"/>
        <w:jc w:val="center"/>
        <w:rPr/>
      </w:pPr>
      <w:r>
        <w:rPr/>
      </w:r>
    </w:p>
    <w:p>
      <w:pPr>
        <w:pStyle w:val="TextBody"/>
        <w:bidi w:val="0"/>
        <w:spacing w:lineRule="auto" w:line="268" w:before="0" w:after="0"/>
        <w:jc w:val="left"/>
        <w:rPr/>
      </w:pPr>
      <w:r>
        <w:rPr>
          <w:rFonts w:ascii="Times New Roman;sans-serif" w:hAnsi="Times New Roman;sans-serif"/>
          <w:b/>
          <w:color w:val="000000"/>
          <w:sz w:val="24"/>
        </w:rPr>
        <w:t>Cambridge, England, May 8, 2024:</w:t>
      </w:r>
      <w:r>
        <w:rPr>
          <w:color w:val="000000"/>
        </w:rPr>
        <w:t xml:space="preserve"> </w:t>
      </w:r>
      <w:r>
        <w:rPr>
          <w:rFonts w:ascii="Times New Roman;sans-serif" w:hAnsi="Times New Roman;sans-serif"/>
          <w:b w:val="false"/>
          <w:color w:val="000000"/>
          <w:sz w:val="24"/>
        </w:rPr>
        <w:t>Arm Holdings plc (NASDAQ: ARM), the company that is building the future of computing, has today published a letter to its shareholders containing the company’s results for its fiscal fourth quarter and three months ended March 31, 2024. The letter is available on its investor relations website (https://investors.arm.com/financials/quarterly-annual-results).</w:t>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Arm will host an audio webcast to discuss its results with analysts at 14:00 PT / 17:00 ET / 22:00 BST today, May 8. The live webcast will be available at https://edge.media-server.com/mmc/p/gkayf4zp/ and a replay will be available for four weeks at https://investors.arm.com.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About Arm: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Arm technology is building the future of computing. Our energy-efficient processor designs and software platforms have enabled advanced computing in more than 280 billion chips and our technologies securely power products from the sensor to the smartphone and the supercomputer. Together with 1,000+ technology partners, we are enabling artificial intelligence to work everywhere, and in cybersecurity, we are delivering the foundation for trust in the digital world – from chip to cloud. The future is being built on Arm.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1995-2024 Arm Limited.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Contacts:</w:t>
      </w:r>
    </w:p>
    <w:p>
      <w:pPr>
        <w:pStyle w:val="TextBody"/>
        <w:bidi w:val="0"/>
        <w:spacing w:lineRule="auto" w:line="256" w:before="0" w:after="0"/>
        <w:jc w:val="both"/>
        <w:rPr>
          <w:rFonts w:ascii="Times New Roman;sans-serif" w:hAnsi="Times New Roman;sans-serif"/>
          <w:b/>
          <w:i/>
          <w:color w:val="000000"/>
          <w:sz w:val="24"/>
        </w:rPr>
      </w:pPr>
      <w:r>
        <w:rPr>
          <w:rFonts w:ascii="Times New Roman;sans-serif" w:hAnsi="Times New Roman;sans-serif"/>
          <w:b/>
          <w:i/>
          <w:color w:val="000000"/>
          <w:sz w:val="24"/>
        </w:rPr>
        <w:t>Media</w:t>
      </w:r>
    </w:p>
    <w:p>
      <w:pPr>
        <w:pStyle w:val="TextBody"/>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Arm External Communications</w:t>
      </w:r>
    </w:p>
    <w:p>
      <w:pPr>
        <w:pStyle w:val="TextBody"/>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Global-PRteam@arm.com</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4"/>
        </w:rPr>
      </w:pPr>
      <w:r>
        <w:rPr>
          <w:rFonts w:ascii="Times New Roman;sans-serif" w:hAnsi="Times New Roman;sans-serif"/>
          <w:b/>
          <w:i/>
          <w:color w:val="000000"/>
          <w:sz w:val="24"/>
        </w:rPr>
        <w:t>Investors</w:t>
      </w:r>
    </w:p>
    <w:p>
      <w:pPr>
        <w:pStyle w:val="TextBody"/>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Arm Investor Relations</w:t>
      </w:r>
    </w:p>
    <w:p>
      <w:pPr>
        <w:pStyle w:val="TextBody"/>
        <w:bidi w:val="0"/>
        <w:spacing w:lineRule="auto" w:line="256"/>
        <w:jc w:val="both"/>
        <w:rPr>
          <w:rFonts w:ascii="Times New Roman;sans-serif" w:hAnsi="Times New Roman;sans-serif"/>
          <w:b w:val="false"/>
          <w:color w:val="000000"/>
          <w:sz w:val="24"/>
        </w:rPr>
      </w:pPr>
      <w:r>
        <w:rPr>
          <w:rFonts w:ascii="Times New Roman;sans-serif" w:hAnsi="Times New Roman;sans-serif"/>
          <w:b w:val="false"/>
          <w:color w:val="000000"/>
          <w:sz w:val="24"/>
        </w:rPr>
        <w:t>Investor.Relations@arm.com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99.2</w:t>
      </w:r>
    </w:p>
    <w:p>
      <w:pPr>
        <w:pStyle w:val="TextBody"/>
        <w:bidi w:val="0"/>
        <w:spacing w:before="0" w:after="0"/>
        <w:jc w:val="left"/>
        <w:rPr/>
      </w:pPr>
      <w:r>
        <w:rPr/>
      </w:r>
    </w:p>
    <w:p>
      <w:pPr>
        <w:pStyle w:val="TextBody"/>
        <w:bidi w:val="0"/>
        <w:spacing w:before="0" w:after="0"/>
        <w:jc w:val="left"/>
        <w:rPr/>
      </w:pPr>
      <w:r>
        <w:rPr/>
        <w:drawing>
          <wp:inline distT="0" distB="0" distL="0" distR="0">
            <wp:extent cx="6286500" cy="813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286500" cy="8134350"/>
                    </a:xfrm>
                    <a:prstGeom prst="rect">
                      <a:avLst/>
                    </a:prstGeom>
                  </pic:spPr>
                </pic:pic>
              </a:graphicData>
            </a:graphic>
          </wp:inline>
        </w:drawing>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8110"/>
                <wp:effectExtent l="0" t="0" r="0" b="0"/>
                <wp:wrapNone/>
                <wp:docPr id="5" name="Frame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48"/>
        <w:gridCol w:w="2710"/>
        <w:gridCol w:w="3847"/>
      </w:tblGrid>
      <w:tr>
        <w:trPr/>
        <w:tc>
          <w:tcPr>
            <w:tcW w:w="3648"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91BD"/>
              <w:left w:val="single" w:sz="8" w:space="0" w:color="0091BD"/>
              <w:right w:val="single" w:sz="8" w:space="0" w:color="0091BD"/>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Arm will be hosting a conference call via an audio webcast to discuss earnings at 14:00 Pacific Time (17:00 Eastern Time, 22:00 BST) on Wednesday, May 8, 2024. A replay of and a transcript of the call will be available the following day.</w:t>
            </w:r>
          </w:p>
        </w:tc>
      </w:tr>
      <w:tr>
        <w:trPr/>
        <w:tc>
          <w:tcPr>
            <w:tcW w:w="10205" w:type="dxa"/>
            <w:gridSpan w:val="3"/>
            <w:tcBorders>
              <w:left w:val="single" w:sz="8" w:space="0" w:color="0091BD"/>
              <w:bottom w:val="single" w:sz="8" w:space="0" w:color="0091BD"/>
              <w:right w:val="single" w:sz="8" w:space="0" w:color="0091BD"/>
            </w:tcBorders>
            <w:tcMar>
              <w:top w:w="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webcast and replay can be accessed at: https://edge.media-server.com/mmc/p/gkayf4zp/</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Dear Shareholder,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Arm’s third quarter as a public company has produced our third set of record results as we continue to build upon the world's most popular compute platform. In Q4, we delivered record revenues and exceeded the high-end of our guidance ranges for both revenue and non-GAAP EPS. This growth was driven by record royalty revenue as Armv9 adoption continues, especially in smartphones, server, and automotive markets. Revenue from licensing was also very strong, driven by multiple high-value agreements and the increased demand for Arm’s power-efficient technology for AI from data centers to edge computing.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fundamental trends will continue and we expect next quarter to also deliver strong year-over-year growth in revenue and profits.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Arm’s long-term strategy promotes multiple growth drivers.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Growth will be driven by royalty revenue.</w:t>
      </w:r>
      <w:r>
        <w:rPr>
          <w:color w:val="000000"/>
        </w:rPr>
        <w:t xml:space="preserve"> </w:t>
      </w:r>
      <w:r>
        <w:rPr>
          <w:rFonts w:ascii="Times New Roman;sans-serif" w:hAnsi="Times New Roman;sans-serif"/>
          <w:b w:val="false"/>
          <w:color w:val="000000"/>
          <w:sz w:val="20"/>
        </w:rPr>
        <w:t>We expect the demand for Arm-based compute to continue across all market segments, especially as AI is deployed in virtually all applications, from the most advanced data centers to the smallest edge devices. All this extra compute requires increased performance with less power consumption, which is driving the need for Arm’s most advanced technology, such as Armv9, into smartphones, servers, smart IoT, and networking devices. Chips based on Armv9 technology now contribute around 20% of royalty revenue, up from around 15% last quarter</w:t>
      </w:r>
      <w:r>
        <w:rPr>
          <w:rFonts w:ascii="Times New Roman;sans-serif" w:hAnsi="Times New Roman;sans-serif"/>
          <w:b w:val="false"/>
          <w:color w:val="000000"/>
          <w:sz w:val="13"/>
        </w:rPr>
        <w:t>1</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Growth will be driven by the need for more energy-efficient compute and AI capability from the data center to edge computers</w:t>
      </w:r>
      <w:r>
        <w:rPr>
          <w:rFonts w:ascii="Times New Roman;sans-serif" w:hAnsi="Times New Roman;sans-serif"/>
          <w:b w:val="false"/>
          <w:color w:val="000000"/>
          <w:sz w:val="20"/>
        </w:rPr>
        <w:t xml:space="preserve">. As the amount of compute to run these complex AI workloads is increasing exponentially, the amount of energy required will increase too. According to a 2023 report from Boston Consulting Group, US data centers already consume around 126TWh per year, and this is expected to rise three-fold by 2030. Arm’s data center customers are reporting substantial performance-per-watt savings compared with legacy architectures and this contributes to why Arm’s energy-efficient technology is being chosen to help run these workloads. Google recently announced its first custom Arm-based Axion product, which provides 50% better performance and up to 60% better energy-efficiency compared to legacy architectures, and will be used to run AI training and inference. Ten of the world’s largest hyperscalers are deploying Arm-based chips for their data centers, including Amazon Web Services, Microsoft, and Oracle Cloud. NVIDIA also recently announced their Grace Blackwell Superchip that combines NVIDIA’s Blackwell GPU architecture with an Arm-based Grace CPU. This provides significant power savings compared to running a GPU alongside a legacy server chip. Arm technology provides similar power-efficiency for chips in PCs, smartphones, automotive applications, and networking equipment, and as AI goes everywhere, we believe it will be enabled by our technology.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Arm also announced its next generation family of processors for automotive, including the world’s most power efficient and high performance server-class CPU with safety-critical automotive enhanced (AE) features, Arm Neoverse V3AE. This new family of automotive processors is already being adopted by leading players, including Marvell, MediaTek, NVIDIA, NXP, Renesas, Telechips, Texas Instruments, and others.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during the quarter Arm announced Ethos-U85 which adds transformer network support to Arm Ethos products, bringing Generative AI to deeply embedded devices, such as factory automation and smart cameras. Importantly, it provides support for some of the most commonly used AI frameworks such as TensorFlow Lite and PyTorch.</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Growth will be driven by Compute Subsystems. </w:t>
      </w:r>
      <w:r>
        <w:rPr>
          <w:rFonts w:ascii="Times New Roman;sans-serif" w:hAnsi="Times New Roman;sans-serif"/>
          <w:b w:val="false"/>
          <w:color w:val="000000"/>
          <w:sz w:val="20"/>
        </w:rPr>
        <w:t>Complex chips and chiplets are more difficult to develop and take longer to design, increasing the cost of the chip and increasing the risk the chip will miss the product launch window. Our solution to this is Arm Compute Subsystems ("CSS"), which are integrated and verified configurations of Arm technology platforms targeting specific end markets and use cases. By providing more of the solution, Arm is accelerating customers’ time-to-market and reducing development cost and can therefore command a higher royalty fee per chip. Arm is continuing to increase investment in CSS platforms. During the quarter, Arm announced two new infrastructure platforms, the Neoverse CSS V3 and Neoverse CSS N3 and the development of our first CSS platform for the automotive market. In addition, we continue to add key partners to the Arm Total Design ecosystem to accelerate the development of custom chips, most recently Nokia, who is defining next generation system-on-chips ("SoCs") based on Neoverse CSS for the wireless market.</w:t>
      </w:r>
    </w:p>
    <w:p>
      <w:pPr>
        <w:pStyle w:val="TextBody"/>
        <w:bidi w:val="0"/>
        <w:spacing w:lineRule="auto" w:line="288"/>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the quarter, we estimate that Armv9 provided around 20% of royalty revenues, Armv8 around 50%, and older architectures around 30%.</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8110"/>
                <wp:effectExtent l="0" t="0" r="0" b="0"/>
                <wp:wrapNone/>
                <wp:docPr id="6" name="Frame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Growth will be driven by Arm’s unique ecosystem of software and design partners.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Arm has the world’s largest compute ecosystem with more than 18 million software developers and we continue to increase investment across all market segments to accelerate software development on Arm.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our software optimizations, we are expanding support of generative AI to make models, such as Llama, now accessible to all devices using Arm’s platform. We recently announced a partnership with Meta to incorporate one of the most widely used AI frameworks, PyTorch/ExecuTorch, with Arm’s software, enabling on-device inference capabilities to run efficiently on mobile and edge devices.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cloud service providers continue to shift to Arm-based chips, many of the largest enterprise computing applications are following with Oracle databases, SAP Hana, Microsoft Teams, Google’s YouTube Ad platform, among others now running on Arm with better price-performance and power efficiency than legacy architectures.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we also announced an automotive partner program to deliver virtual prototyping platforms which will enable software to be developed in parallel with the physical silicon, accelerating the total development cycle of an automotive solution by up to two years – providing significant savings. Siemens is among the first providers delivering a pre-silicon Arm-based environment for their partners, including Tata Technologies for software-defined vehicle application testing.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Arm and Intel Foundry Services announced a multigenerational collaboration to enable chip designers to develop advanced Arm-based SoCs to be manufactured at Intel Foundry, initially for mobile and data centers and potentially for IoT and automotive applications. This builds on the announcement last quarter relating to Intel Foundry, TSMC and Samsung participating in the Arm Total Design ecosystem.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combined, we expect Arm’s long-term strategy to provide sustainable growth for years to 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91BD"/>
              <w:left w:val="single" w:sz="8" w:space="0" w:color="0091BD"/>
              <w:bottom w:val="single" w:sz="8" w:space="0" w:color="0091BD"/>
              <w:right w:val="single" w:sz="8" w:space="0" w:color="0091BD"/>
            </w:tcBorders>
            <w:tcMar>
              <w:top w:w="30" w:type="dxa"/>
              <w:bottom w:w="3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finished our financial year achieving over $3 billion in revenue for the first time, and with strong tailwinds heading into FYE25 as AI is driving increased demand for Arm-based technology across all end markets," said Rene Haas, CEO. "From cloud to edge, all AI software models, from GPT to Llama, rely and run on the Arm compute platform. As these models become larger and smarter, their requirements for more compute with greater power efficiency can only be realized through Arm." </w:t>
            </w:r>
          </w:p>
          <w:p>
            <w:pPr>
              <w:pStyle w:val="TableContents"/>
              <w:bidi w:val="0"/>
              <w:spacing w:before="0" w:after="0"/>
              <w:jc w:val="both"/>
              <w:rPr/>
            </w:pPr>
            <w:r>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Sincerely,</w:t>
      </w:r>
    </w:p>
    <w:p>
      <w:pPr>
        <w:pStyle w:val="TextBody"/>
        <w:bidi w:val="0"/>
        <w:spacing w:before="0" w:after="0"/>
        <w:jc w:val="both"/>
        <w:rPr/>
      </w:pPr>
      <w:r>
        <w:rPr/>
      </w:r>
    </w:p>
    <w:tbl>
      <w:tblPr>
        <w:tblW w:w="5992" w:type="dxa"/>
        <w:jc w:val="left"/>
        <w:tblInd w:w="0" w:type="dxa"/>
        <w:tblLayout w:type="fixed"/>
        <w:tblCellMar>
          <w:top w:w="28" w:type="dxa"/>
          <w:left w:w="28" w:type="dxa"/>
          <w:bottom w:w="28" w:type="dxa"/>
          <w:right w:w="28" w:type="dxa"/>
        </w:tblCellMar>
      </w:tblPr>
      <w:tblGrid>
        <w:gridCol w:w="1077"/>
        <w:gridCol w:w="948"/>
        <w:gridCol w:w="956"/>
        <w:gridCol w:w="880"/>
        <w:gridCol w:w="880"/>
        <w:gridCol w:w="1251"/>
      </w:tblGrid>
      <w:tr>
        <w:trPr/>
        <w:tc>
          <w:tcPr>
            <w:tcW w:w="10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Rene Haas, </w:t>
            </w:r>
          </w:p>
          <w:p>
            <w:pPr>
              <w:pStyle w:val="TableContents"/>
              <w:bidi w:val="0"/>
              <w:spacing w:lineRule="auto" w:line="362"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Chief Executive Officer</w:t>
            </w:r>
          </w:p>
        </w:tc>
        <w:tc>
          <w:tcPr>
            <w:tcW w:w="3011"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Jason Child, </w:t>
            </w:r>
          </w:p>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Chief Financial Officer</w:t>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18288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828800" cy="1828800"/>
                          </a:xfrm>
                          <a:prstGeom prst="rect">
                            <a:avLst/>
                          </a:prstGeom>
                        </pic:spPr>
                      </pic:pic>
                    </a:graphicData>
                  </a:graphic>
                </wp:inline>
              </w:drawing>
            </w:r>
          </w:p>
        </w:tc>
        <w:tc>
          <w:tcPr>
            <w:tcW w:w="301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828800" cy="18288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828800" cy="1828800"/>
                          </a:xfrm>
                          <a:prstGeom prst="rect">
                            <a:avLst/>
                          </a:prstGeom>
                        </pic:spPr>
                      </pic:pic>
                    </a:graphicData>
                  </a:graphic>
                </wp:inline>
              </w:drawing>
            </w:r>
          </w:p>
        </w:tc>
      </w:tr>
      <w:tr>
        <w:trPr/>
        <w:tc>
          <w:tcPr>
            <w:tcW w:w="2981"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color w:val="0091BD"/>
                <w:sz w:val="20"/>
              </w:rPr>
            </w:pPr>
            <w:r>
              <w:rPr>
                <w:rFonts w:ascii="Times New Roman;sans-serif" w:hAnsi="Times New Roman;sans-serif"/>
                <w:b/>
                <w:color w:val="0091BD"/>
                <w:sz w:val="20"/>
              </w:rPr>
              <w:t xml:space="preserve">Investor Contact </w:t>
            </w:r>
          </w:p>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Ian Thornton</w:t>
            </w:r>
          </w:p>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Investor.Relations@arm.com</w:t>
            </w:r>
          </w:p>
        </w:tc>
        <w:tc>
          <w:tcPr>
            <w:tcW w:w="3011"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color w:val="0091BD"/>
                <w:sz w:val="20"/>
              </w:rPr>
            </w:pPr>
            <w:r>
              <w:rPr>
                <w:rFonts w:ascii="Times New Roman;sans-serif" w:hAnsi="Times New Roman;sans-serif"/>
                <w:b/>
                <w:color w:val="0091BD"/>
                <w:sz w:val="20"/>
              </w:rPr>
              <w:t xml:space="preserve">Media Contact </w:t>
            </w:r>
          </w:p>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Phil Hughes</w:t>
            </w:r>
          </w:p>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Global-PRteam@arm.com</w:t>
            </w:r>
          </w:p>
        </w:tc>
      </w:tr>
    </w:tbl>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8110"/>
                <wp:effectExtent l="0" t="0" r="0" b="0"/>
                <wp:wrapNone/>
                <wp:docPr id="9" name="Frame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Fourth Quarter 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Revenues of $928 million, up 47% year-over-year, with record royalty revenue and strong growth in license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Royalty revenue of $514 million, up 37% year-over-year was driven by the rapidly increasing penetration of Armv9-based chips which typically command a higher royalty rate, and the recovery in the semiconductor industry.</w:t>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231F20"/>
          <w:sz w:val="20"/>
        </w:rPr>
        <w:t xml:space="preserve">License revenue of </w:t>
      </w:r>
      <w:r>
        <w:rPr>
          <w:rFonts w:ascii="Times New Roman;sans-serif" w:hAnsi="Times New Roman;sans-serif"/>
          <w:b w:val="false"/>
          <w:color w:val="000000"/>
          <w:sz w:val="20"/>
        </w:rPr>
        <w:t>$414 million</w:t>
      </w:r>
      <w:r>
        <w:rPr>
          <w:rFonts w:ascii="Times New Roman;sans-serif" w:hAnsi="Times New Roman;sans-serif"/>
          <w:b w:val="false"/>
          <w:color w:val="231F20"/>
          <w:sz w:val="20"/>
        </w:rPr>
        <w:t>, up 60%</w:t>
      </w:r>
      <w:r>
        <w:rPr>
          <w:color w:val="000000"/>
        </w:rPr>
        <w:t xml:space="preserve"> </w:t>
      </w:r>
      <w:r>
        <w:rPr>
          <w:rFonts w:ascii="Times New Roman;sans-serif" w:hAnsi="Times New Roman;sans-serif"/>
          <w:b w:val="false"/>
          <w:color w:val="231F20"/>
          <w:sz w:val="20"/>
        </w:rPr>
        <w:t>year-over-year, was due to multiple high-value license agreements being signed as companies increase investment in Arm-based technology for AI</w:t>
      </w:r>
      <w:r>
        <w:rPr>
          <w:color w:val="000000"/>
        </w:rPr>
        <w:t xml:space="preserve"> </w:t>
      </w:r>
      <w:r>
        <w:rPr>
          <w:rFonts w:ascii="Times New Roman;sans-serif" w:hAnsi="Times New Roman;sans-serif"/>
          <w:b w:val="false"/>
          <w:color w:val="000000"/>
          <w:sz w:val="20"/>
        </w:rPr>
        <w:t xml:space="preserve">across all end markets.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Strong non-GAAP operating profit growth to $391 million resulting in a 42.1% non-GAAP operating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Full Year 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Revenues of $3,233 million, up 21% year-over-year, with record royalty and license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Royalty revenue of $1,802 million, up 8% year-over-year, was driven by the semiconductor industry recovery in the second half of the fiscal year, especially related to smartphones, increasing penetration of Armv9-based chips, and on-going share gains in automotive and at cloud hyperscalers.</w:t>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231F20"/>
          <w:sz w:val="20"/>
        </w:rPr>
        <w:t xml:space="preserve">Strong license revenue of </w:t>
      </w:r>
      <w:r>
        <w:rPr>
          <w:rFonts w:ascii="Times New Roman;sans-serif" w:hAnsi="Times New Roman;sans-serif"/>
          <w:b w:val="false"/>
          <w:color w:val="000000"/>
          <w:sz w:val="20"/>
        </w:rPr>
        <w:t xml:space="preserve">$1,431 million, up 43% </w:t>
      </w:r>
      <w:r>
        <w:rPr>
          <w:rFonts w:ascii="Times New Roman;sans-serif" w:hAnsi="Times New Roman;sans-serif"/>
          <w:b w:val="false"/>
          <w:color w:val="231F20"/>
          <w:sz w:val="20"/>
        </w:rPr>
        <w:t>year-over-year, was due to leading technology companies aligning their future roadmaps with Arm's product portfolio, many signing long-term, high-value Arm Total Access agreements. This demand has been accelerated by the need for energy-efficient AI capability across a wide range of end-markets, from servers to smartphones to sensors, which only Arm's technology can provide.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Full year non-GAAP operating profit of $1,408 million, up 80% year-over-year, delivered a 43.6% non-GAAP operating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Guidance and Results</w:t>
      </w:r>
    </w:p>
    <w:p>
      <w:pPr>
        <w:pStyle w:val="TextBody"/>
        <w:bidi w:val="0"/>
        <w:spacing w:before="0" w:after="0"/>
        <w:jc w:val="left"/>
        <w:rPr/>
      </w:pPr>
      <w:r>
        <w:rPr/>
      </w:r>
    </w:p>
    <w:tbl>
      <w:tblPr>
        <w:tblW w:w="8550" w:type="dxa"/>
        <w:jc w:val="left"/>
        <w:tblInd w:w="0" w:type="dxa"/>
        <w:tblLayout w:type="fixed"/>
        <w:tblCellMar>
          <w:top w:w="28" w:type="dxa"/>
          <w:left w:w="28" w:type="dxa"/>
          <w:bottom w:w="28" w:type="dxa"/>
          <w:right w:w="28" w:type="dxa"/>
        </w:tblCellMar>
      </w:tblPr>
      <w:tblGrid>
        <w:gridCol w:w="1441"/>
        <w:gridCol w:w="1267"/>
        <w:gridCol w:w="1273"/>
        <w:gridCol w:w="564"/>
        <w:gridCol w:w="564"/>
        <w:gridCol w:w="567"/>
        <w:gridCol w:w="378"/>
        <w:gridCol w:w="378"/>
        <w:gridCol w:w="378"/>
        <w:gridCol w:w="510"/>
        <w:gridCol w:w="510"/>
        <w:gridCol w:w="720"/>
      </w:tblGrid>
      <w:tr>
        <w:trPr/>
        <w:tc>
          <w:tcPr>
            <w:tcW w:w="144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op w:val="single" w:sz="8" w:space="0" w:color="000000"/>
              <w:left w:val="single" w:sz="8" w:space="0" w:color="000000"/>
              <w:bottom w:val="single" w:sz="8" w:space="0" w:color="000000"/>
            </w:tcBorders>
            <w:shd w:fill="0091BD" w:val="clear"/>
            <w:tcMar>
              <w:top w:w="30" w:type="dxa"/>
              <w:bottom w:w="3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ans-serif" w:hAnsi="Times New Roman;sans-serif"/>
                <w:b/>
                <w:color w:val="FFFFFF"/>
                <w:sz w:val="20"/>
              </w:rPr>
              <w:t>Quarterly Guidance &amp; Results</w:t>
            </w:r>
          </w:p>
        </w:tc>
        <w:tc>
          <w:tcPr>
            <w:tcW w:w="1695" w:type="dxa"/>
            <w:gridSpan w:val="3"/>
            <w:tcBorders>
              <w:top w:val="single" w:sz="8" w:space="0" w:color="000000"/>
              <w:left w:val="single" w:sz="8" w:space="0" w:color="000000"/>
              <w:bottom w:val="single" w:sz="8" w:space="0" w:color="000000"/>
            </w:tcBorders>
            <w:shd w:fill="0091BD" w:val="clear"/>
            <w:tcMar>
              <w:top w:w="30" w:type="dxa"/>
              <w:bottom w:w="30" w:type="dxa"/>
              <w:right w:w="0" w:type="dxa"/>
            </w:tcMar>
            <w:vAlign w:val="center"/>
          </w:tcPr>
          <w:p>
            <w:pPr>
              <w:pStyle w:val="TableContents"/>
              <w:bidi w:val="0"/>
              <w:spacing w:lineRule="auto" w:line="268" w:before="0" w:after="0"/>
              <w:ind w:left="0" w:right="0" w:firstLine="1"/>
              <w:jc w:val="center"/>
              <w:rPr>
                <w:rFonts w:ascii="Times New Roman;sans-serif" w:hAnsi="Times New Roman;sans-serif"/>
                <w:b/>
                <w:color w:val="FFFFFF"/>
                <w:sz w:val="20"/>
              </w:rPr>
            </w:pPr>
            <w:r>
              <w:rPr>
                <w:rFonts w:ascii="Times New Roman;sans-serif" w:hAnsi="Times New Roman;sans-serif"/>
                <w:b/>
                <w:color w:val="FFFFFF"/>
                <w:sz w:val="20"/>
              </w:rPr>
              <w:t>Q4 FYE24</w:t>
            </w:r>
          </w:p>
          <w:p>
            <w:pPr>
              <w:pStyle w:val="TableContents"/>
              <w:bidi w:val="0"/>
              <w:spacing w:lineRule="auto" w:line="268" w:before="0" w:after="0"/>
              <w:ind w:left="0" w:right="0" w:firstLine="1"/>
              <w:jc w:val="center"/>
              <w:rPr/>
            </w:pPr>
            <w:r>
              <w:rPr>
                <w:rFonts w:ascii="Times New Roman;sans-serif" w:hAnsi="Times New Roman;sans-serif"/>
                <w:b/>
                <w:color w:val="FFFFFF"/>
                <w:sz w:val="20"/>
              </w:rPr>
              <w:t>Guidance</w:t>
            </w:r>
            <w:r>
              <w:rPr>
                <w:rFonts w:ascii="Times New Roman;sans-serif" w:hAnsi="Times New Roman;sans-serif"/>
                <w:b/>
                <w:color w:val="FFFFFF"/>
                <w:sz w:val="13"/>
              </w:rPr>
              <w:t>(2)</w:t>
            </w:r>
          </w:p>
        </w:tc>
        <w:tc>
          <w:tcPr>
            <w:tcW w:w="1134" w:type="dxa"/>
            <w:gridSpan w:val="3"/>
            <w:tcBorders>
              <w:top w:val="single" w:sz="8" w:space="0" w:color="000000"/>
              <w:left w:val="single" w:sz="8" w:space="0" w:color="000000"/>
              <w:bottom w:val="single" w:sz="8" w:space="0" w:color="000000"/>
            </w:tcBorders>
            <w:shd w:fill="0091BD" w:val="clear"/>
            <w:tcMar>
              <w:top w:w="30" w:type="dxa"/>
              <w:bottom w:w="30" w:type="dxa"/>
              <w:right w:w="0" w:type="dxa"/>
            </w:tcMar>
            <w:vAlign w:val="center"/>
          </w:tcPr>
          <w:p>
            <w:pPr>
              <w:pStyle w:val="TableContents"/>
              <w:bidi w:val="0"/>
              <w:spacing w:lineRule="auto" w:line="268" w:before="0" w:after="0"/>
              <w:ind w:left="0" w:right="0" w:firstLine="128"/>
              <w:jc w:val="center"/>
              <w:rPr>
                <w:rFonts w:ascii="Times New Roman;sans-serif" w:hAnsi="Times New Roman;sans-serif"/>
                <w:b/>
                <w:color w:val="FFFFFF"/>
                <w:sz w:val="20"/>
              </w:rPr>
            </w:pPr>
            <w:r>
              <w:rPr>
                <w:rFonts w:ascii="Times New Roman;sans-serif" w:hAnsi="Times New Roman;sans-serif"/>
                <w:b/>
                <w:color w:val="FFFFFF"/>
                <w:sz w:val="20"/>
              </w:rPr>
              <w:t>Q4 FYE24</w:t>
            </w:r>
          </w:p>
          <w:p>
            <w:pPr>
              <w:pStyle w:val="TableContents"/>
              <w:bidi w:val="0"/>
              <w:spacing w:lineRule="auto" w:line="268" w:before="0" w:after="0"/>
              <w:ind w:left="0" w:right="0" w:firstLine="128"/>
              <w:jc w:val="center"/>
              <w:rPr/>
            </w:pPr>
            <w:r>
              <w:rPr>
                <w:rFonts w:ascii="Times New Roman;sans-serif" w:hAnsi="Times New Roman;sans-serif"/>
                <w:b/>
                <w:color w:val="FFFFFF"/>
                <w:sz w:val="20"/>
              </w:rPr>
              <w:t>Results</w:t>
            </w:r>
            <w:r>
              <w:rPr>
                <w:rFonts w:ascii="Times New Roman;sans-serif" w:hAnsi="Times New Roman;sans-serif"/>
                <w:b/>
                <w:color w:val="FFFFFF"/>
                <w:sz w:val="13"/>
              </w:rPr>
              <w:t>(2)</w:t>
            </w:r>
          </w:p>
        </w:tc>
        <w:tc>
          <w:tcPr>
            <w:tcW w:w="1740" w:type="dxa"/>
            <w:gridSpan w:val="3"/>
            <w:tcBorders>
              <w:top w:val="single" w:sz="8" w:space="0" w:color="000000"/>
              <w:left w:val="single" w:sz="8" w:space="0" w:color="000000"/>
              <w:bottom w:val="single" w:sz="8" w:space="0" w:color="000000"/>
              <w:right w:val="single" w:sz="8" w:space="0" w:color="000000"/>
            </w:tcBorders>
            <w:shd w:fill="0091BD" w:val="clear"/>
            <w:tcMar>
              <w:top w:w="30" w:type="dxa"/>
              <w:bottom w:w="30" w:type="dxa"/>
            </w:tcMar>
            <w:vAlign w:val="center"/>
          </w:tcPr>
          <w:p>
            <w:pPr>
              <w:pStyle w:val="TableContents"/>
              <w:bidi w:val="0"/>
              <w:spacing w:lineRule="auto" w:line="268" w:before="0" w:after="0"/>
              <w:ind w:left="0" w:right="0" w:firstLine="128"/>
              <w:jc w:val="center"/>
              <w:rPr>
                <w:rFonts w:ascii="Times New Roman;sans-serif" w:hAnsi="Times New Roman;sans-serif"/>
                <w:b/>
                <w:color w:val="FFFFFF"/>
                <w:sz w:val="20"/>
              </w:rPr>
            </w:pPr>
            <w:r>
              <w:rPr>
                <w:rFonts w:ascii="Times New Roman;sans-serif" w:hAnsi="Times New Roman;sans-serif"/>
                <w:b/>
                <w:color w:val="FFFFFF"/>
                <w:sz w:val="20"/>
              </w:rPr>
              <w:t>Q1 FYE25</w:t>
            </w:r>
          </w:p>
          <w:p>
            <w:pPr>
              <w:pStyle w:val="TableContents"/>
              <w:bidi w:val="0"/>
              <w:spacing w:lineRule="auto" w:line="268" w:before="0" w:after="0"/>
              <w:ind w:left="0" w:right="0" w:firstLine="80"/>
              <w:jc w:val="center"/>
              <w:rPr>
                <w:rFonts w:ascii="Times New Roman;sans-serif" w:hAnsi="Times New Roman;sans-serif"/>
                <w:b/>
                <w:color w:val="FFFFFF"/>
                <w:sz w:val="20"/>
              </w:rPr>
            </w:pPr>
            <w:r>
              <w:rPr>
                <w:rFonts w:ascii="Times New Roman;sans-serif" w:hAnsi="Times New Roman;sans-serif"/>
                <w:b/>
                <w:color w:val="FFFFFF"/>
                <w:sz w:val="20"/>
              </w:rPr>
              <w:t>Guidance</w:t>
            </w:r>
          </w:p>
        </w:tc>
      </w:tr>
      <w:tr>
        <w:trPr/>
        <w:tc>
          <w:tcPr>
            <w:tcW w:w="39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
              <w:jc w:val="left"/>
              <w:rPr>
                <w:rFonts w:ascii="Times New Roman;sans-serif" w:hAnsi="Times New Roman;sans-serif"/>
                <w:b w:val="false"/>
                <w:color w:val="333E48"/>
                <w:sz w:val="20"/>
              </w:rPr>
            </w:pPr>
            <w:r>
              <w:rPr>
                <w:rFonts w:ascii="Times New Roman;sans-serif" w:hAnsi="Times New Roman;sans-serif"/>
                <w:b w:val="false"/>
                <w:color w:val="333E48"/>
                <w:sz w:val="20"/>
              </w:rPr>
              <w:t>Revenue</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$850m - $900m</w:t>
            </w:r>
          </w:p>
        </w:tc>
        <w:tc>
          <w:tcPr>
            <w:tcW w:w="1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center"/>
              <w:rPr>
                <w:rFonts w:ascii="Times New Roman;sans-serif" w:hAnsi="Times New Roman;sans-serif"/>
                <w:b w:val="false"/>
                <w:color w:val="231F20"/>
                <w:sz w:val="20"/>
              </w:rPr>
            </w:pPr>
            <w:r>
              <w:rPr>
                <w:rFonts w:ascii="Times New Roman;sans-serif" w:hAnsi="Times New Roman;sans-serif"/>
                <w:b w:val="false"/>
                <w:color w:val="231F20"/>
                <w:sz w:val="20"/>
              </w:rPr>
              <w:t>$928m</w:t>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$875m - $925m</w:t>
            </w:r>
          </w:p>
        </w:tc>
      </w:tr>
      <w:tr>
        <w:trPr/>
        <w:tc>
          <w:tcPr>
            <w:tcW w:w="39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left"/>
              <w:rPr/>
            </w:pPr>
            <w:r>
              <w:rPr>
                <w:rFonts w:ascii="Times New Roman;sans-serif" w:hAnsi="Times New Roman;sans-serif"/>
                <w:b w:val="false"/>
                <w:color w:val="231F20"/>
                <w:sz w:val="20"/>
              </w:rPr>
              <w:t>Non-GAAP operating expense</w:t>
            </w:r>
            <w:r>
              <w:rPr>
                <w:color w:val="231F20"/>
              </w:rPr>
              <w:t xml:space="preserve"> </w:t>
            </w:r>
            <w:r>
              <w:rPr>
                <w:rFonts w:ascii="Times New Roman;sans-serif" w:hAnsi="Times New Roman;sans-serif"/>
                <w:b w:val="false"/>
                <w:color w:val="231F20"/>
                <w:sz w:val="13"/>
              </w:rPr>
              <w:t>(1)(2)</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~$490m</w:t>
            </w:r>
          </w:p>
        </w:tc>
        <w:tc>
          <w:tcPr>
            <w:tcW w:w="1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center"/>
              <w:rPr>
                <w:rFonts w:ascii="Times New Roman;sans-serif" w:hAnsi="Times New Roman;sans-serif"/>
                <w:b w:val="false"/>
                <w:color w:val="231F20"/>
                <w:sz w:val="20"/>
              </w:rPr>
            </w:pPr>
            <w:r>
              <w:rPr>
                <w:rFonts w:ascii="Times New Roman;sans-serif" w:hAnsi="Times New Roman;sans-serif"/>
                <w:b w:val="false"/>
                <w:color w:val="231F20"/>
                <w:sz w:val="20"/>
              </w:rPr>
              <w:t>$511m</w:t>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~$475m</w:t>
            </w:r>
          </w:p>
        </w:tc>
      </w:tr>
      <w:tr>
        <w:trPr/>
        <w:tc>
          <w:tcPr>
            <w:tcW w:w="39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26" w:before="0" w:after="0"/>
              <w:ind w:left="0" w:right="0" w:firstLine="6"/>
              <w:jc w:val="left"/>
              <w:rPr/>
            </w:pPr>
            <w:r>
              <w:rPr>
                <w:rFonts w:ascii="Times New Roman;sans-serif" w:hAnsi="Times New Roman;sans-serif"/>
                <w:b w:val="false"/>
                <w:color w:val="231F20"/>
                <w:sz w:val="20"/>
              </w:rPr>
              <w:t xml:space="preserve">Non-GAAP fully diluted earnings per share </w:t>
            </w:r>
            <w:r>
              <w:rPr>
                <w:rFonts w:ascii="Times New Roman;sans-serif" w:hAnsi="Times New Roman;sans-serif"/>
                <w:b w:val="false"/>
                <w:color w:val="231F20"/>
                <w:sz w:val="13"/>
              </w:rPr>
              <w:t>(1)(2)</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$0.28 - $0.32</w:t>
            </w:r>
          </w:p>
        </w:tc>
        <w:tc>
          <w:tcPr>
            <w:tcW w:w="1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6"/>
              <w:jc w:val="center"/>
              <w:rPr>
                <w:rFonts w:ascii="Times New Roman;sans-serif" w:hAnsi="Times New Roman;sans-serif"/>
                <w:b w:val="false"/>
                <w:color w:val="231F20"/>
                <w:sz w:val="20"/>
              </w:rPr>
            </w:pPr>
            <w:r>
              <w:rPr>
                <w:rFonts w:ascii="Times New Roman;sans-serif" w:hAnsi="Times New Roman;sans-serif"/>
                <w:b w:val="false"/>
                <w:color w:val="231F20"/>
                <w:sz w:val="20"/>
              </w:rPr>
              <w:t>$0.36</w:t>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$0.32 - $0.36</w:t>
            </w:r>
          </w:p>
        </w:tc>
      </w:tr>
      <w:tr>
        <w:trPr/>
        <w:tc>
          <w:tcPr>
            <w:tcW w:w="3981" w:type="dxa"/>
            <w:gridSpan w:val="3"/>
            <w:tcBorders>
              <w:top w:val="single" w:sz="8" w:space="0" w:color="000000"/>
              <w:left w:val="single" w:sz="8" w:space="0" w:color="000000"/>
            </w:tcBorders>
            <w:shd w:fill="0091BD" w:val="clear"/>
            <w:tcMar>
              <w:top w:w="3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ans-serif" w:hAnsi="Times New Roman;sans-serif"/>
                <w:b/>
                <w:color w:val="FFFFFF"/>
                <w:sz w:val="20"/>
              </w:rPr>
              <w:t>Annual Guidance</w:t>
            </w:r>
          </w:p>
        </w:tc>
        <w:tc>
          <w:tcPr>
            <w:tcW w:w="1695" w:type="dxa"/>
            <w:gridSpan w:val="3"/>
            <w:tcBorders>
              <w:top w:val="single" w:sz="8" w:space="0" w:color="000000"/>
              <w:left w:val="single" w:sz="8" w:space="0" w:color="000000"/>
            </w:tcBorders>
            <w:shd w:fill="0091BD" w:val="clear"/>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FFFFFF"/>
                <w:sz w:val="20"/>
              </w:rPr>
            </w:pPr>
            <w:r>
              <w:rPr>
                <w:rFonts w:ascii="Times New Roman;sans-serif" w:hAnsi="Times New Roman;sans-serif"/>
                <w:b/>
                <w:color w:val="FFFFFF"/>
                <w:sz w:val="20"/>
              </w:rPr>
              <w:t>FYE24</w:t>
            </w:r>
          </w:p>
          <w:p>
            <w:pPr>
              <w:pStyle w:val="TableContents"/>
              <w:bidi w:val="0"/>
              <w:spacing w:lineRule="auto" w:line="240" w:before="0" w:after="0"/>
              <w:jc w:val="center"/>
              <w:rPr/>
            </w:pPr>
            <w:r>
              <w:rPr>
                <w:rFonts w:ascii="Times New Roman;sans-serif" w:hAnsi="Times New Roman;sans-serif"/>
                <w:b/>
                <w:color w:val="FFFFFF"/>
                <w:sz w:val="20"/>
              </w:rPr>
              <w:t>Guidance</w:t>
            </w:r>
            <w:r>
              <w:rPr>
                <w:rFonts w:ascii="Times New Roman;sans-serif" w:hAnsi="Times New Roman;sans-serif"/>
                <w:b/>
                <w:color w:val="FFFFFF"/>
                <w:sz w:val="13"/>
              </w:rPr>
              <w:t>(2)</w:t>
            </w:r>
          </w:p>
        </w:tc>
        <w:tc>
          <w:tcPr>
            <w:tcW w:w="1134" w:type="dxa"/>
            <w:gridSpan w:val="3"/>
            <w:tcBorders>
              <w:top w:val="single" w:sz="8" w:space="0" w:color="000000"/>
              <w:left w:val="single" w:sz="8" w:space="0" w:color="000000"/>
            </w:tcBorders>
            <w:shd w:fill="0091BD" w:val="clear"/>
            <w:tcMar>
              <w:top w:w="30" w:type="dxa"/>
              <w:bottom w:w="0" w:type="dxa"/>
              <w:right w:w="0" w:type="dxa"/>
            </w:tcMar>
            <w:vAlign w:val="center"/>
          </w:tcPr>
          <w:p>
            <w:pPr>
              <w:pStyle w:val="TableContents"/>
              <w:bidi w:val="0"/>
              <w:spacing w:lineRule="auto" w:line="268" w:before="0" w:after="0"/>
              <w:ind w:left="0" w:right="0" w:firstLine="128"/>
              <w:jc w:val="center"/>
              <w:rPr>
                <w:rFonts w:ascii="Times New Roman;sans-serif" w:hAnsi="Times New Roman;sans-serif"/>
                <w:b/>
                <w:color w:val="FFFFFF"/>
                <w:sz w:val="20"/>
              </w:rPr>
            </w:pPr>
            <w:r>
              <w:rPr>
                <w:rFonts w:ascii="Times New Roman;sans-serif" w:hAnsi="Times New Roman;sans-serif"/>
                <w:b/>
                <w:color w:val="FFFFFF"/>
                <w:sz w:val="20"/>
              </w:rPr>
              <w:t>FYE24</w:t>
            </w:r>
          </w:p>
          <w:p>
            <w:pPr>
              <w:pStyle w:val="TableContents"/>
              <w:bidi w:val="0"/>
              <w:spacing w:lineRule="auto" w:line="268" w:before="0" w:after="0"/>
              <w:ind w:left="0" w:right="0" w:firstLine="128"/>
              <w:jc w:val="center"/>
              <w:rPr/>
            </w:pPr>
            <w:r>
              <w:rPr>
                <w:rFonts w:ascii="Times New Roman;sans-serif" w:hAnsi="Times New Roman;sans-serif"/>
                <w:b/>
                <w:color w:val="FFFFFF"/>
                <w:sz w:val="20"/>
              </w:rPr>
              <w:t>Results</w:t>
            </w:r>
            <w:r>
              <w:rPr>
                <w:rFonts w:ascii="Times New Roman;sans-serif" w:hAnsi="Times New Roman;sans-serif"/>
                <w:b/>
                <w:color w:val="FFFFFF"/>
                <w:sz w:val="13"/>
              </w:rPr>
              <w:t>(2)</w:t>
            </w:r>
          </w:p>
        </w:tc>
        <w:tc>
          <w:tcPr>
            <w:tcW w:w="1740" w:type="dxa"/>
            <w:gridSpan w:val="3"/>
            <w:tcBorders>
              <w:top w:val="single" w:sz="8" w:space="0" w:color="000000"/>
              <w:left w:val="single" w:sz="8" w:space="0" w:color="000000"/>
              <w:right w:val="single" w:sz="8" w:space="0" w:color="000000"/>
            </w:tcBorders>
            <w:shd w:fill="0091BD" w:val="clear"/>
            <w:tcMar>
              <w:top w:w="30" w:type="dxa"/>
              <w:bottom w:w="0" w:type="dxa"/>
            </w:tcMar>
            <w:vAlign w:val="center"/>
          </w:tcPr>
          <w:p>
            <w:pPr>
              <w:pStyle w:val="TableContents"/>
              <w:bidi w:val="0"/>
              <w:spacing w:lineRule="auto" w:line="240" w:before="0" w:after="0"/>
              <w:jc w:val="center"/>
              <w:rPr>
                <w:rFonts w:ascii="Times New Roman;sans-serif" w:hAnsi="Times New Roman;sans-serif"/>
                <w:b/>
                <w:color w:val="FFFFFF"/>
                <w:sz w:val="20"/>
              </w:rPr>
            </w:pPr>
            <w:r>
              <w:rPr>
                <w:rFonts w:ascii="Times New Roman;sans-serif" w:hAnsi="Times New Roman;sans-serif"/>
                <w:b/>
                <w:color w:val="FFFFFF"/>
                <w:sz w:val="20"/>
              </w:rPr>
              <w:t>FYE25</w:t>
            </w:r>
          </w:p>
          <w:p>
            <w:pPr>
              <w:pStyle w:val="TableContents"/>
              <w:bidi w:val="0"/>
              <w:spacing w:lineRule="auto" w:line="240" w:before="0" w:after="0"/>
              <w:ind w:left="0" w:right="0" w:firstLine="80"/>
              <w:jc w:val="center"/>
              <w:rPr>
                <w:rFonts w:ascii="Times New Roman;sans-serif" w:hAnsi="Times New Roman;sans-serif"/>
                <w:b/>
                <w:color w:val="FFFFFF"/>
                <w:sz w:val="20"/>
              </w:rPr>
            </w:pPr>
            <w:r>
              <w:rPr>
                <w:rFonts w:ascii="Times New Roman;sans-serif" w:hAnsi="Times New Roman;sans-serif"/>
                <w:b/>
                <w:color w:val="FFFFFF"/>
                <w:sz w:val="20"/>
              </w:rPr>
              <w:t>Guidance</w:t>
            </w:r>
          </w:p>
        </w:tc>
      </w:tr>
      <w:tr>
        <w:trPr/>
        <w:tc>
          <w:tcPr>
            <w:tcW w:w="39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E48"/>
                <w:sz w:val="20"/>
              </w:rPr>
            </w:pPr>
            <w:r>
              <w:rPr>
                <w:rFonts w:ascii="Times New Roman;sans-serif" w:hAnsi="Times New Roman;sans-serif"/>
                <w:b w:val="false"/>
                <w:color w:val="333E48"/>
                <w:sz w:val="20"/>
              </w:rPr>
              <w:t>Revenue</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$3,155m - $3,205m</w:t>
            </w:r>
          </w:p>
        </w:tc>
        <w:tc>
          <w:tcPr>
            <w:tcW w:w="1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28"/>
              <w:jc w:val="center"/>
              <w:rPr>
                <w:rFonts w:ascii="Times New Roman;sans-serif" w:hAnsi="Times New Roman;sans-serif"/>
                <w:b w:val="false"/>
                <w:color w:val="231F20"/>
                <w:sz w:val="20"/>
              </w:rPr>
            </w:pPr>
            <w:r>
              <w:rPr>
                <w:rFonts w:ascii="Times New Roman;sans-serif" w:hAnsi="Times New Roman;sans-serif"/>
                <w:b w:val="false"/>
                <w:color w:val="231F20"/>
                <w:sz w:val="20"/>
              </w:rPr>
              <w:t>$3,233m</w:t>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$3,800m - $4,100m</w:t>
            </w:r>
          </w:p>
        </w:tc>
      </w:tr>
      <w:tr>
        <w:trPr/>
        <w:tc>
          <w:tcPr>
            <w:tcW w:w="39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231F20"/>
                <w:sz w:val="20"/>
              </w:rPr>
              <w:t>Non-GAAP operating expense</w:t>
            </w:r>
            <w:r>
              <w:rPr>
                <w:color w:val="231F20"/>
              </w:rPr>
              <w:t xml:space="preserve"> </w:t>
            </w:r>
            <w:r>
              <w:rPr>
                <w:rFonts w:ascii="Times New Roman;sans-serif" w:hAnsi="Times New Roman;sans-serif"/>
                <w:b w:val="false"/>
                <w:color w:val="231F20"/>
                <w:sz w:val="13"/>
              </w:rPr>
              <w:t>(1)(2)</w:t>
            </w:r>
          </w:p>
        </w:tc>
        <w:tc>
          <w:tcPr>
            <w:tcW w:w="1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~$1,700m</w:t>
            </w:r>
          </w:p>
        </w:tc>
        <w:tc>
          <w:tcPr>
            <w:tcW w:w="1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28"/>
              <w:jc w:val="center"/>
              <w:rPr>
                <w:rFonts w:ascii="Times New Roman;sans-serif" w:hAnsi="Times New Roman;sans-serif"/>
                <w:b w:val="false"/>
                <w:color w:val="231F20"/>
                <w:sz w:val="20"/>
              </w:rPr>
            </w:pPr>
            <w:r>
              <w:rPr>
                <w:rFonts w:ascii="Times New Roman;sans-serif" w:hAnsi="Times New Roman;sans-serif"/>
                <w:b w:val="false"/>
                <w:color w:val="231F20"/>
                <w:sz w:val="20"/>
              </w:rPr>
              <w:t>$1,723m</w:t>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~$2,050m</w:t>
            </w:r>
          </w:p>
        </w:tc>
      </w:tr>
      <w:tr>
        <w:trPr/>
        <w:tc>
          <w:tcPr>
            <w:tcW w:w="39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26" w:before="0" w:after="0"/>
              <w:jc w:val="left"/>
              <w:rPr/>
            </w:pPr>
            <w:r>
              <w:rPr>
                <w:rFonts w:ascii="Times New Roman;sans-serif" w:hAnsi="Times New Roman;sans-serif"/>
                <w:b w:val="false"/>
                <w:color w:val="231F20"/>
                <w:sz w:val="20"/>
              </w:rPr>
              <w:t xml:space="preserve">Non-GAAP fully diluted earnings per share </w:t>
            </w:r>
            <w:r>
              <w:rPr>
                <w:rFonts w:ascii="Times New Roman;sans-serif" w:hAnsi="Times New Roman;sans-serif"/>
                <w:b w:val="false"/>
                <w:color w:val="231F20"/>
                <w:sz w:val="13"/>
              </w:rPr>
              <w:t>(1)(2)</w:t>
            </w:r>
          </w:p>
        </w:tc>
        <w:tc>
          <w:tcPr>
            <w:tcW w:w="16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$1.20 - $1.24</w:t>
            </w:r>
          </w:p>
        </w:tc>
        <w:tc>
          <w:tcPr>
            <w:tcW w:w="1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7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$1.45 - $1.65</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Q4 FYE24 and FYE24 results, unaudited, are presented consistent with how guidance was set on February 7, 2024. FYE24 non-GAAP operating expense results of $1,723 million are net of non-GAAP adjustment of $181 million for employer taxes related to share-based compensation ("SBC") equity-classified awards, net of the research and development ("R&amp;D") tax incentive associated with these taxes. These amounts are dependent on our stock price at the time of vesting and as a result, these taxes may vary in any particular period independent of the financial and operating performance of our business. To improve comparability of our results, this net expense has been recast across historical periods for trend purposes.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8110"/>
                <wp:effectExtent l="0" t="0" r="0" b="0"/>
                <wp:wrapNone/>
                <wp:docPr id="10" name="Frame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4</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231F20"/>
          <w:sz w:val="20"/>
          <w:shd w:fill="FFFF00" w:val="clear"/>
        </w:rPr>
        <w:br/>
      </w:r>
      <w:r>
        <w:rPr>
          <w:rFonts w:ascii="Times New Roman;sans-serif" w:hAnsi="Times New Roman;sans-serif"/>
          <w:b/>
          <w:color w:val="0091BD"/>
          <w:sz w:val="20"/>
        </w:rPr>
        <w:t xml:space="preserve">Results for Q4 fiscal year ending 2024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91BD"/>
          <w:sz w:val="20"/>
        </w:rPr>
        <w:t xml:space="preserve">Financial Metrics </w:t>
      </w:r>
      <w:r>
        <w:rPr>
          <w:rFonts w:ascii="Times New Roman;sans-serif" w:hAnsi="Times New Roman;sans-serif"/>
          <w:b/>
          <w:color w:val="0091BD"/>
          <w:sz w:val="13"/>
        </w:rPr>
        <w:t xml:space="preserve">(1) </w:t>
      </w:r>
      <w:r>
        <w:rPr>
          <w:rFonts w:ascii="Times New Roman;sans-serif" w:hAnsi="Times New Roman;sans-serif"/>
          <w:b/>
          <w:color w:val="0091BD"/>
          <w:sz w:val="20"/>
        </w:rPr>
        <w:t>(Unaudited)</w:t>
      </w:r>
    </w:p>
    <w:tbl>
      <w:tblPr>
        <w:tblW w:w="9413" w:type="dxa"/>
        <w:jc w:val="left"/>
        <w:tblInd w:w="0" w:type="dxa"/>
        <w:tblLayout w:type="fixed"/>
        <w:tblCellMar>
          <w:top w:w="28" w:type="dxa"/>
          <w:left w:w="28" w:type="dxa"/>
          <w:bottom w:w="28" w:type="dxa"/>
          <w:right w:w="28" w:type="dxa"/>
        </w:tblCellMar>
      </w:tblPr>
      <w:tblGrid>
        <w:gridCol w:w="1484"/>
        <w:gridCol w:w="1301"/>
        <w:gridCol w:w="1309"/>
        <w:gridCol w:w="319"/>
        <w:gridCol w:w="319"/>
        <w:gridCol w:w="321"/>
        <w:gridCol w:w="319"/>
        <w:gridCol w:w="319"/>
        <w:gridCol w:w="321"/>
        <w:gridCol w:w="215"/>
        <w:gridCol w:w="215"/>
        <w:gridCol w:w="215"/>
        <w:gridCol w:w="319"/>
        <w:gridCol w:w="319"/>
        <w:gridCol w:w="321"/>
        <w:gridCol w:w="319"/>
        <w:gridCol w:w="319"/>
        <w:gridCol w:w="321"/>
        <w:gridCol w:w="211"/>
        <w:gridCol w:w="211"/>
        <w:gridCol w:w="416"/>
      </w:tblGrid>
      <w:tr>
        <w:trPr/>
        <w:tc>
          <w:tcPr>
            <w:tcW w:w="14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80"/>
              <w:jc w:val="left"/>
              <w:rPr>
                <w:sz w:val="4"/>
                <w:szCs w:val="4"/>
              </w:rPr>
            </w:pPr>
            <w:r>
              <w:rPr>
                <w:sz w:val="4"/>
                <w:szCs w:val="4"/>
              </w:rPr>
            </w:r>
          </w:p>
        </w:tc>
      </w:tr>
      <w:tr>
        <w:trPr/>
        <w:tc>
          <w:tcPr>
            <w:tcW w:w="4094" w:type="dxa"/>
            <w:gridSpan w:val="3"/>
            <w:vMerge w:val="restart"/>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E48"/>
                <w:sz w:val="20"/>
              </w:rPr>
            </w:pPr>
            <w:r>
              <w:rPr>
                <w:rFonts w:ascii="Times New Roman;sans-serif" w:hAnsi="Times New Roman;sans-serif"/>
                <w:b w:val="false"/>
                <w:color w:val="333E48"/>
                <w:sz w:val="20"/>
              </w:rPr>
              <w:t>$ million, unless stated</w:t>
            </w:r>
          </w:p>
        </w:tc>
        <w:tc>
          <w:tcPr>
            <w:tcW w:w="2563" w:type="dxa"/>
            <w:gridSpan w:val="9"/>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333E48"/>
                <w:sz w:val="20"/>
              </w:rPr>
            </w:pPr>
            <w:r>
              <w:rPr>
                <w:rFonts w:ascii="Times New Roman;sans-serif" w:hAnsi="Times New Roman;sans-serif"/>
                <w:b/>
                <w:color w:val="333E48"/>
                <w:sz w:val="20"/>
              </w:rPr>
              <w:t>GAAP</w:t>
            </w:r>
          </w:p>
        </w:tc>
        <w:tc>
          <w:tcPr>
            <w:tcW w:w="2756" w:type="dxa"/>
            <w:gridSpan w:val="9"/>
            <w:tcBorders>
              <w:top w:val="single" w:sz="8" w:space="0" w:color="231F20"/>
              <w:left w:val="single" w:sz="8" w:space="0" w:color="231F2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color w:val="333E48"/>
                <w:sz w:val="20"/>
              </w:rPr>
              <w:t xml:space="preserve">Non-GAAP </w:t>
            </w:r>
            <w:r>
              <w:rPr>
                <w:rFonts w:ascii="Times New Roman;sans-serif" w:hAnsi="Times New Roman;sans-serif"/>
                <w:b/>
                <w:color w:val="333E48"/>
                <w:sz w:val="13"/>
              </w:rPr>
              <w:t>(1)</w:t>
            </w:r>
          </w:p>
        </w:tc>
      </w:tr>
      <w:tr>
        <w:trPr/>
        <w:tc>
          <w:tcPr>
            <w:tcW w:w="4094" w:type="dxa"/>
            <w:gridSpan w:val="3"/>
            <w:vMerge w:val="continue"/>
            <w:tcBorders>
              <w:top w:val="single" w:sz="8" w:space="0" w:color="231F20"/>
              <w:left w:val="single" w:sz="8" w:space="0" w:color="231F20"/>
            </w:tcBorders>
            <w:tcMar>
              <w:top w:w="30" w:type="dxa"/>
              <w:bottom w:w="0" w:type="dxa"/>
              <w:right w:w="0" w:type="dxa"/>
            </w:tcMar>
            <w:vAlign w:val="center"/>
          </w:tcPr>
          <w:p>
            <w:pPr>
              <w:pStyle w:val="Normal"/>
              <w:bidi w:val="0"/>
              <w:jc w:val="left"/>
              <w:rPr/>
            </w:pPr>
            <w:r>
              <w:rPr/>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333E48"/>
                <w:sz w:val="20"/>
              </w:rPr>
            </w:pPr>
            <w:r>
              <w:rPr>
                <w:rFonts w:ascii="Times New Roman;sans-serif" w:hAnsi="Times New Roman;sans-serif"/>
                <w:b w:val="false"/>
                <w:color w:val="333E48"/>
                <w:sz w:val="20"/>
              </w:rPr>
              <w:t>Q4 FYE24</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333E48"/>
                <w:sz w:val="20"/>
              </w:rPr>
            </w:pPr>
            <w:r>
              <w:rPr>
                <w:rFonts w:ascii="Times New Roman;sans-serif" w:hAnsi="Times New Roman;sans-serif"/>
                <w:b w:val="false"/>
                <w:color w:val="333E48"/>
                <w:sz w:val="20"/>
              </w:rPr>
              <w:t>Q4 FYE23</w:t>
            </w:r>
          </w:p>
        </w:tc>
        <w:tc>
          <w:tcPr>
            <w:tcW w:w="645"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Y/Y %</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333E48"/>
                <w:sz w:val="20"/>
              </w:rPr>
            </w:pPr>
            <w:r>
              <w:rPr>
                <w:rFonts w:ascii="Times New Roman;sans-serif" w:hAnsi="Times New Roman;sans-serif"/>
                <w:b w:val="false"/>
                <w:color w:val="333E48"/>
                <w:sz w:val="20"/>
              </w:rPr>
              <w:t>Q4 FYE24</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333E48"/>
                <w:sz w:val="20"/>
              </w:rPr>
            </w:pPr>
            <w:r>
              <w:rPr>
                <w:rFonts w:ascii="Times New Roman;sans-serif" w:hAnsi="Times New Roman;sans-serif"/>
                <w:b w:val="false"/>
                <w:color w:val="333E48"/>
                <w:sz w:val="20"/>
              </w:rPr>
              <w:t>Q4 FYE23</w:t>
            </w:r>
          </w:p>
        </w:tc>
        <w:tc>
          <w:tcPr>
            <w:tcW w:w="838" w:type="dxa"/>
            <w:gridSpan w:val="3"/>
            <w:tcBorders>
              <w:top w:val="single" w:sz="8" w:space="0" w:color="231F2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333E48"/>
                <w:sz w:val="20"/>
              </w:rPr>
            </w:pPr>
            <w:r>
              <w:rPr>
                <w:rFonts w:ascii="Times New Roman;sans-serif" w:hAnsi="Times New Roman;sans-serif"/>
                <w:b w:val="false"/>
                <w:color w:val="333E48"/>
                <w:sz w:val="20"/>
              </w:rPr>
              <w:t>Y/Y %</w:t>
            </w:r>
          </w:p>
        </w:tc>
      </w:tr>
      <w:tr>
        <w:trPr/>
        <w:tc>
          <w:tcPr>
            <w:tcW w:w="40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333E48"/>
                <w:sz w:val="20"/>
              </w:rPr>
            </w:pPr>
            <w:r>
              <w:rPr>
                <w:rFonts w:ascii="Times New Roman;sans-serif" w:hAnsi="Times New Roman;sans-serif"/>
                <w:b/>
                <w:color w:val="333E48"/>
                <w:sz w:val="20"/>
              </w:rPr>
              <w:t>Total revenue</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928</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633</w:t>
            </w:r>
          </w:p>
        </w:tc>
        <w:tc>
          <w:tcPr>
            <w:tcW w:w="6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928</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633</w:t>
            </w:r>
          </w:p>
        </w:tc>
        <w:tc>
          <w:tcPr>
            <w:tcW w:w="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284"/>
              <w:jc w:val="center"/>
              <w:rPr>
                <w:rFonts w:ascii="Times New Roman;sans-serif" w:hAnsi="Times New Roman;sans-serif"/>
                <w:b/>
                <w:color w:val="231F20"/>
                <w:sz w:val="20"/>
              </w:rPr>
            </w:pPr>
            <w:r>
              <w:rPr>
                <w:rFonts w:ascii="Times New Roman;sans-serif" w:hAnsi="Times New Roman;sans-serif"/>
                <w:b/>
                <w:color w:val="231F20"/>
                <w:sz w:val="20"/>
              </w:rPr>
              <w:t>47%</w:t>
            </w:r>
          </w:p>
        </w:tc>
      </w:tr>
      <w:tr>
        <w:trPr/>
        <w:tc>
          <w:tcPr>
            <w:tcW w:w="409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E48"/>
                <w:sz w:val="20"/>
              </w:rPr>
            </w:pPr>
            <w:r>
              <w:rPr>
                <w:rFonts w:ascii="Times New Roman;sans-serif" w:hAnsi="Times New Roman;sans-serif"/>
                <w:b w:val="false"/>
                <w:color w:val="333E48"/>
                <w:sz w:val="20"/>
              </w:rPr>
              <w:t>License and other revenue</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414</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259</w:t>
            </w:r>
          </w:p>
        </w:tc>
        <w:tc>
          <w:tcPr>
            <w:tcW w:w="64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60%</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414</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259</w:t>
            </w:r>
          </w:p>
        </w:tc>
        <w:tc>
          <w:tcPr>
            <w:tcW w:w="838"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ind w:left="0" w:right="0" w:firstLine="284"/>
              <w:jc w:val="center"/>
              <w:rPr>
                <w:rFonts w:ascii="Times New Roman;sans-serif" w:hAnsi="Times New Roman;sans-serif"/>
                <w:b w:val="false"/>
                <w:color w:val="333E48"/>
                <w:sz w:val="20"/>
              </w:rPr>
            </w:pPr>
            <w:r>
              <w:rPr>
                <w:rFonts w:ascii="Times New Roman;sans-serif" w:hAnsi="Times New Roman;sans-serif"/>
                <w:b w:val="false"/>
                <w:color w:val="333E48"/>
                <w:sz w:val="20"/>
              </w:rPr>
              <w:t>60%</w:t>
            </w:r>
          </w:p>
        </w:tc>
      </w:tr>
      <w:tr>
        <w:trPr/>
        <w:tc>
          <w:tcPr>
            <w:tcW w:w="409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E48"/>
                <w:sz w:val="20"/>
              </w:rPr>
            </w:pPr>
            <w:r>
              <w:rPr>
                <w:rFonts w:ascii="Times New Roman;sans-serif" w:hAnsi="Times New Roman;sans-serif"/>
                <w:b w:val="false"/>
                <w:color w:val="333E48"/>
                <w:sz w:val="20"/>
              </w:rPr>
              <w:t>Royalty revenue</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514</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374</w:t>
            </w:r>
          </w:p>
        </w:tc>
        <w:tc>
          <w:tcPr>
            <w:tcW w:w="64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37%</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514</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374</w:t>
            </w:r>
          </w:p>
        </w:tc>
        <w:tc>
          <w:tcPr>
            <w:tcW w:w="838"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333E48"/>
                <w:sz w:val="20"/>
              </w:rPr>
            </w:pPr>
            <w:r>
              <w:rPr>
                <w:rFonts w:ascii="Times New Roman;sans-serif" w:hAnsi="Times New Roman;sans-serif"/>
                <w:b w:val="false"/>
                <w:color w:val="333E48"/>
                <w:sz w:val="20"/>
              </w:rPr>
              <w:t>37%</w:t>
            </w:r>
          </w:p>
        </w:tc>
      </w:tr>
      <w:tr>
        <w:trPr/>
        <w:tc>
          <w:tcPr>
            <w:tcW w:w="4094"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E48"/>
                <w:sz w:val="20"/>
              </w:rPr>
            </w:pPr>
            <w:r>
              <w:rPr>
                <w:rFonts w:ascii="Times New Roman;sans-serif" w:hAnsi="Times New Roman;sans-serif"/>
                <w:b w:val="false"/>
                <w:color w:val="333E48"/>
                <w:sz w:val="20"/>
              </w:rPr>
              <w:t>Cost of sales</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(41)</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(27)</w:t>
            </w:r>
          </w:p>
        </w:tc>
        <w:tc>
          <w:tcPr>
            <w:tcW w:w="645"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52%</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(26)</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(25)</w:t>
            </w:r>
          </w:p>
        </w:tc>
        <w:tc>
          <w:tcPr>
            <w:tcW w:w="838"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54"/>
              <w:jc w:val="center"/>
              <w:rPr>
                <w:rFonts w:ascii="Times New Roman;sans-serif" w:hAnsi="Times New Roman;sans-serif"/>
                <w:b w:val="false"/>
                <w:color w:val="333E48"/>
                <w:sz w:val="20"/>
              </w:rPr>
            </w:pPr>
            <w:r>
              <w:rPr>
                <w:rFonts w:ascii="Times New Roman;sans-serif" w:hAnsi="Times New Roman;sans-serif"/>
                <w:b w:val="false"/>
                <w:color w:val="333E48"/>
                <w:sz w:val="20"/>
              </w:rPr>
              <w:t>4%</w:t>
            </w:r>
          </w:p>
        </w:tc>
      </w:tr>
      <w:tr>
        <w:trPr/>
        <w:tc>
          <w:tcPr>
            <w:tcW w:w="40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333E48"/>
                <w:sz w:val="20"/>
              </w:rPr>
            </w:pPr>
            <w:r>
              <w:rPr>
                <w:rFonts w:ascii="Times New Roman;sans-serif" w:hAnsi="Times New Roman;sans-serif"/>
                <w:b/>
                <w:color w:val="333E48"/>
                <w:sz w:val="20"/>
              </w:rPr>
              <w:t>Gross profit</w:t>
            </w:r>
          </w:p>
        </w:tc>
        <w:tc>
          <w:tcPr>
            <w:tcW w:w="959"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887</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606</w:t>
            </w:r>
          </w:p>
        </w:tc>
        <w:tc>
          <w:tcPr>
            <w:tcW w:w="6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46%</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902</w:t>
            </w:r>
          </w:p>
        </w:tc>
        <w:tc>
          <w:tcPr>
            <w:tcW w:w="959"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608</w:t>
            </w:r>
          </w:p>
        </w:tc>
        <w:tc>
          <w:tcPr>
            <w:tcW w:w="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220"/>
              <w:jc w:val="center"/>
              <w:rPr>
                <w:rFonts w:ascii="Times New Roman;sans-serif" w:hAnsi="Times New Roman;sans-serif"/>
                <w:b/>
                <w:color w:val="231F20"/>
                <w:sz w:val="20"/>
              </w:rPr>
            </w:pPr>
            <w:r>
              <w:rPr>
                <w:rFonts w:ascii="Times New Roman;sans-serif" w:hAnsi="Times New Roman;sans-serif"/>
                <w:b/>
                <w:color w:val="231F20"/>
                <w:sz w:val="20"/>
              </w:rPr>
              <w:t>48%</w:t>
            </w:r>
          </w:p>
        </w:tc>
      </w:tr>
      <w:tr>
        <w:trPr/>
        <w:tc>
          <w:tcPr>
            <w:tcW w:w="409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333E48"/>
                <w:sz w:val="20"/>
              </w:rPr>
            </w:pPr>
            <w:r>
              <w:rPr>
                <w:rFonts w:ascii="Times New Roman;sans-serif" w:hAnsi="Times New Roman;sans-serif"/>
                <w:b w:val="false"/>
                <w:i/>
                <w:color w:val="333E48"/>
                <w:sz w:val="20"/>
              </w:rPr>
              <w:t>Gross margin (%)</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95.6%</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95.7%</w:t>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97.2%</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96.1%</w:t>
            </w:r>
          </w:p>
        </w:tc>
        <w:tc>
          <w:tcPr>
            <w:tcW w:w="838"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firstLine="80"/>
              <w:jc w:val="left"/>
              <w:rPr>
                <w:sz w:val="4"/>
                <w:szCs w:val="4"/>
              </w:rPr>
            </w:pPr>
            <w:r>
              <w:rPr>
                <w:sz w:val="4"/>
                <w:szCs w:val="4"/>
              </w:rPr>
            </w:r>
          </w:p>
        </w:tc>
      </w:tr>
      <w:tr>
        <w:trPr/>
        <w:tc>
          <w:tcPr>
            <w:tcW w:w="4094"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333E48"/>
                <w:sz w:val="20"/>
              </w:rPr>
            </w:pPr>
            <w:r>
              <w:rPr>
                <w:rFonts w:ascii="Times New Roman;sans-serif" w:hAnsi="Times New Roman;sans-serif"/>
                <w:b w:val="false"/>
                <w:color w:val="333E48"/>
                <w:sz w:val="20"/>
              </w:rPr>
              <w:t>Operating expenses</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(865)</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(656)</w:t>
            </w:r>
          </w:p>
        </w:tc>
        <w:tc>
          <w:tcPr>
            <w:tcW w:w="645"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32%</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(511)</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(609)</w:t>
            </w:r>
          </w:p>
        </w:tc>
        <w:tc>
          <w:tcPr>
            <w:tcW w:w="838"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333E48"/>
                <w:sz w:val="20"/>
              </w:rPr>
            </w:pPr>
            <w:r>
              <w:rPr>
                <w:rFonts w:ascii="Times New Roman;sans-serif" w:hAnsi="Times New Roman;sans-serif"/>
                <w:b w:val="false"/>
                <w:color w:val="333E48"/>
                <w:sz w:val="20"/>
              </w:rPr>
              <w:t>(16)%</w:t>
            </w:r>
          </w:p>
        </w:tc>
      </w:tr>
      <w:tr>
        <w:trPr/>
        <w:tc>
          <w:tcPr>
            <w:tcW w:w="40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Operating profit</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22</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(50)</w:t>
            </w:r>
          </w:p>
        </w:tc>
        <w:tc>
          <w:tcPr>
            <w:tcW w:w="6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nm</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391</w:t>
            </w:r>
          </w:p>
        </w:tc>
        <w:tc>
          <w:tcPr>
            <w:tcW w:w="959"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(1)</w:t>
            </w:r>
          </w:p>
        </w:tc>
        <w:tc>
          <w:tcPr>
            <w:tcW w:w="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220"/>
              <w:jc w:val="center"/>
              <w:rPr>
                <w:rFonts w:ascii="Times New Roman;sans-serif" w:hAnsi="Times New Roman;sans-serif"/>
                <w:b/>
                <w:color w:val="231F20"/>
                <w:sz w:val="20"/>
              </w:rPr>
            </w:pPr>
            <w:r>
              <w:rPr>
                <w:rFonts w:ascii="Times New Roman;sans-serif" w:hAnsi="Times New Roman;sans-serif"/>
                <w:b/>
                <w:color w:val="231F20"/>
                <w:sz w:val="20"/>
              </w:rPr>
              <w:t>nm</w:t>
            </w:r>
          </w:p>
        </w:tc>
      </w:tr>
      <w:tr>
        <w:trPr/>
        <w:tc>
          <w:tcPr>
            <w:tcW w:w="409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333E48"/>
                <w:sz w:val="20"/>
              </w:rPr>
            </w:pPr>
            <w:r>
              <w:rPr>
                <w:rFonts w:ascii="Times New Roman;sans-serif" w:hAnsi="Times New Roman;sans-serif"/>
                <w:b w:val="false"/>
                <w:i/>
                <w:color w:val="333E48"/>
                <w:sz w:val="20"/>
              </w:rPr>
              <w:t>Operating margin (%)</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2.4%</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(7.9)%</w:t>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42.1%</w:t>
            </w:r>
          </w:p>
        </w:tc>
        <w:tc>
          <w:tcPr>
            <w:tcW w:w="95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(0.2)%</w:t>
            </w:r>
          </w:p>
        </w:tc>
        <w:tc>
          <w:tcPr>
            <w:tcW w:w="838"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firstLine="80"/>
              <w:jc w:val="left"/>
              <w:rPr>
                <w:sz w:val="4"/>
                <w:szCs w:val="4"/>
              </w:rPr>
            </w:pPr>
            <w:r>
              <w:rPr>
                <w:sz w:val="4"/>
                <w:szCs w:val="4"/>
              </w:rPr>
            </w:r>
          </w:p>
        </w:tc>
      </w:tr>
      <w:tr>
        <w:trPr/>
        <w:tc>
          <w:tcPr>
            <w:tcW w:w="4094"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Net income</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224</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3</w:t>
            </w:r>
          </w:p>
        </w:tc>
        <w:tc>
          <w:tcPr>
            <w:tcW w:w="645"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nm</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376</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18</w:t>
            </w:r>
          </w:p>
        </w:tc>
        <w:tc>
          <w:tcPr>
            <w:tcW w:w="838"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color w:val="231F20"/>
                <w:sz w:val="20"/>
              </w:rPr>
            </w:pPr>
            <w:r>
              <w:rPr>
                <w:rFonts w:ascii="Times New Roman;sans-serif" w:hAnsi="Times New Roman;sans-serif"/>
                <w:b/>
                <w:color w:val="231F20"/>
                <w:sz w:val="20"/>
              </w:rPr>
              <w:t>nm</w:t>
            </w:r>
          </w:p>
        </w:tc>
      </w:tr>
      <w:tr>
        <w:trPr/>
        <w:tc>
          <w:tcPr>
            <w:tcW w:w="4094"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Diluted earnings per share ($)</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0.21</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0.00</w:t>
            </w:r>
          </w:p>
        </w:tc>
        <w:tc>
          <w:tcPr>
            <w:tcW w:w="645"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nm</w:t>
            </w:r>
          </w:p>
        </w:tc>
        <w:tc>
          <w:tcPr>
            <w:tcW w:w="959"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0.36</w:t>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0.02</w:t>
            </w:r>
          </w:p>
        </w:tc>
        <w:tc>
          <w:tcPr>
            <w:tcW w:w="838" w:type="dxa"/>
            <w:gridSpan w:val="3"/>
            <w:tcBorders>
              <w:top w:val="single" w:sz="8" w:space="0" w:color="231F20"/>
              <w:left w:val="single" w:sz="8" w:space="0" w:color="00000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nm</w:t>
            </w:r>
          </w:p>
        </w:tc>
      </w:tr>
      <w:tr>
        <w:trPr/>
        <w:tc>
          <w:tcPr>
            <w:tcW w:w="4094"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Free cash flow</w:t>
            </w:r>
          </w:p>
        </w:tc>
        <w:tc>
          <w:tcPr>
            <w:tcW w:w="959" w:type="dxa"/>
            <w:gridSpan w:val="3"/>
            <w:tcBorders>
              <w:top w:val="single" w:sz="8" w:space="0" w:color="231F20"/>
              <w:left w:val="single" w:sz="8" w:space="0" w:color="231F20"/>
            </w:tcBorders>
            <w:shd w:fill="E5ECEB" w:val="clear"/>
            <w:tcMar>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231F20"/>
              <w:left w:val="single" w:sz="8" w:space="0" w:color="231F20"/>
            </w:tcBorders>
            <w:shd w:fill="E5ECEB" w:val="clear"/>
            <w:tcMar>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231F20"/>
              <w:left w:val="single" w:sz="8" w:space="0" w:color="231F20"/>
            </w:tcBorders>
            <w:shd w:fill="E5ECEB" w:val="clear"/>
            <w:tcMar>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637</w:t>
            </w:r>
          </w:p>
        </w:tc>
        <w:tc>
          <w:tcPr>
            <w:tcW w:w="959"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454</w:t>
            </w:r>
          </w:p>
        </w:tc>
        <w:tc>
          <w:tcPr>
            <w:tcW w:w="838" w:type="dxa"/>
            <w:gridSpan w:val="3"/>
            <w:tcBorders>
              <w:top w:val="single" w:sz="8" w:space="0" w:color="231F20"/>
              <w:left w:val="single" w:sz="8" w:space="0" w:color="231F2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40%</w:t>
            </w:r>
          </w:p>
        </w:tc>
      </w:tr>
      <w:tr>
        <w:trPr/>
        <w:tc>
          <w:tcPr>
            <w:tcW w:w="4094" w:type="dxa"/>
            <w:gridSpan w:val="3"/>
            <w:tcBorders>
              <w:top w:val="single" w:sz="8" w:space="0" w:color="000000"/>
              <w:left w:val="single" w:sz="8" w:space="0" w:color="231F20"/>
            </w:tcBorders>
            <w:tcMar>
              <w:top w:w="30" w:type="dxa"/>
              <w:left w:w="11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Free cash flow trailing twelve months ("TTM")</w:t>
            </w:r>
          </w:p>
        </w:tc>
        <w:tc>
          <w:tcPr>
            <w:tcW w:w="959" w:type="dxa"/>
            <w:gridSpan w:val="3"/>
            <w:tcBorders>
              <w:top w:val="single" w:sz="8" w:space="0" w:color="231F20"/>
              <w:left w:val="single" w:sz="8" w:space="0" w:color="231F20"/>
            </w:tcBorders>
            <w:shd w:fill="E5ECEB" w:val="clear"/>
            <w:tcMar>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231F20"/>
              <w:left w:val="single" w:sz="8" w:space="0" w:color="231F20"/>
            </w:tcBorders>
            <w:shd w:fill="E5ECEB" w:val="clear"/>
            <w:tcMar>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231F20"/>
              <w:left w:val="single" w:sz="8" w:space="0" w:color="231F20"/>
            </w:tcBorders>
            <w:shd w:fill="E5ECEB" w:val="clear"/>
            <w:tcMar>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907</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606</w:t>
            </w:r>
          </w:p>
        </w:tc>
        <w:tc>
          <w:tcPr>
            <w:tcW w:w="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w:t>
            </w:r>
          </w:p>
        </w:tc>
      </w:tr>
      <w:tr>
        <w:trPr/>
        <w:tc>
          <w:tcPr>
            <w:tcW w:w="4094" w:type="dxa"/>
            <w:gridSpan w:val="3"/>
            <w:tcBorders>
              <w:top w:val="single" w:sz="8" w:space="0" w:color="000000"/>
              <w:left w:val="single" w:sz="8" w:space="0" w:color="000000"/>
              <w:bottom w:val="single" w:sz="8" w:space="0" w:color="000000"/>
            </w:tcBorders>
            <w:tcMar>
              <w:top w:w="30" w:type="dxa"/>
              <w:left w:w="11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Remaining performance obligations ("RPO")</w:t>
            </w:r>
          </w:p>
        </w:tc>
        <w:tc>
          <w:tcPr>
            <w:tcW w:w="9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2,484</w:t>
            </w:r>
          </w:p>
        </w:tc>
        <w:tc>
          <w:tcPr>
            <w:tcW w:w="9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1,712</w:t>
            </w:r>
          </w:p>
        </w:tc>
        <w:tc>
          <w:tcPr>
            <w:tcW w:w="6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59" w:type="dxa"/>
            <w:gridSpan w:val="3"/>
            <w:tcBorders>
              <w:top w:val="single" w:sz="8" w:space="0" w:color="000000"/>
              <w:left w:val="single" w:sz="8" w:space="0" w:color="000000"/>
              <w:bottom w:val="single" w:sz="8" w:space="0" w:color="000000"/>
            </w:tcBorders>
            <w:shd w:fill="E5ECEB" w:val="clear"/>
            <w:tcMar>
              <w:right w:w="0" w:type="dxa"/>
            </w:tcMar>
            <w:vAlign w:val="center"/>
          </w:tcPr>
          <w:p>
            <w:pPr>
              <w:pStyle w:val="TableContents"/>
              <w:bidi w:val="0"/>
              <w:spacing w:before="0" w:after="283"/>
              <w:ind w:left="0" w:right="0" w:firstLine="125"/>
              <w:jc w:val="left"/>
              <w:rPr>
                <w:sz w:val="4"/>
                <w:szCs w:val="4"/>
              </w:rPr>
            </w:pPr>
            <w:r>
              <w:rPr>
                <w:sz w:val="4"/>
                <w:szCs w:val="4"/>
              </w:rPr>
            </w:r>
          </w:p>
        </w:tc>
        <w:tc>
          <w:tcPr>
            <w:tcW w:w="959" w:type="dxa"/>
            <w:gridSpan w:val="3"/>
            <w:tcBorders>
              <w:top w:val="single" w:sz="8" w:space="0" w:color="000000"/>
              <w:left w:val="single" w:sz="8" w:space="0" w:color="000000"/>
              <w:bottom w:val="single" w:sz="8" w:space="0" w:color="000000"/>
            </w:tcBorders>
            <w:shd w:fill="E5ECEB" w:val="clear"/>
            <w:tcMar>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left w:val="single" w:sz="8" w:space="0" w:color="000000"/>
              <w:bottom w:val="single" w:sz="8" w:space="0" w:color="000000"/>
              <w:right w:val="single" w:sz="8" w:space="0" w:color="000000"/>
            </w:tcBorders>
            <w:shd w:fill="E5ECE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For more information, definitions, and reconciliations of Non-GAAP measures see the “Key Financial and Operating Metrics” section below. Percentage changes that are considered not meaningful are presented as "nm."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91BD"/>
          <w:sz w:val="20"/>
        </w:rPr>
        <w:t xml:space="preserve">Non-Financial Metrics </w:t>
      </w:r>
      <w:r>
        <w:rPr>
          <w:rFonts w:ascii="Times New Roman;sans-serif" w:hAnsi="Times New Roman;sans-serif"/>
          <w:b/>
          <w:color w:val="0091BD"/>
          <w:sz w:val="13"/>
        </w:rPr>
        <w:t>(1)</w:t>
      </w:r>
      <w:r>
        <w:rPr>
          <w:color w:val="0091BD"/>
        </w:rPr>
        <w:t xml:space="preserve"> </w:t>
      </w:r>
      <w:r>
        <w:rPr>
          <w:rFonts w:ascii="Times New Roman;sans-serif" w:hAnsi="Times New Roman;sans-serif"/>
          <w:b/>
          <w:color w:val="0091BD"/>
          <w:sz w:val="20"/>
        </w:rPr>
        <w:t>(Unaudited)</w:t>
      </w:r>
    </w:p>
    <w:tbl>
      <w:tblPr>
        <w:tblW w:w="7479" w:type="dxa"/>
        <w:jc w:val="left"/>
        <w:tblInd w:w="0" w:type="dxa"/>
        <w:tblLayout w:type="fixed"/>
        <w:tblCellMar>
          <w:top w:w="28" w:type="dxa"/>
          <w:left w:w="28" w:type="dxa"/>
          <w:bottom w:w="28" w:type="dxa"/>
          <w:right w:w="28" w:type="dxa"/>
        </w:tblCellMar>
      </w:tblPr>
      <w:tblGrid>
        <w:gridCol w:w="1463"/>
        <w:gridCol w:w="1284"/>
        <w:gridCol w:w="1292"/>
        <w:gridCol w:w="439"/>
        <w:gridCol w:w="439"/>
        <w:gridCol w:w="442"/>
        <w:gridCol w:w="439"/>
        <w:gridCol w:w="439"/>
        <w:gridCol w:w="442"/>
        <w:gridCol w:w="233"/>
        <w:gridCol w:w="233"/>
        <w:gridCol w:w="334"/>
      </w:tblGrid>
      <w:tr>
        <w:trPr/>
        <w:tc>
          <w:tcPr>
            <w:tcW w:w="146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333E48"/>
                <w:sz w:val="20"/>
              </w:rPr>
            </w:pPr>
            <w:r>
              <w:rPr>
                <w:rFonts w:ascii="Times New Roman;sans-serif" w:hAnsi="Times New Roman;sans-serif"/>
                <w:b/>
                <w:color w:val="333E48"/>
                <w:sz w:val="20"/>
              </w:rPr>
              <w:t>Q4 FYE24</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333E48"/>
                <w:sz w:val="20"/>
              </w:rPr>
            </w:pPr>
            <w:r>
              <w:rPr>
                <w:rFonts w:ascii="Times New Roman;sans-serif" w:hAnsi="Times New Roman;sans-serif"/>
                <w:b/>
                <w:color w:val="333E48"/>
                <w:sz w:val="20"/>
              </w:rPr>
              <w:t>Q4 FYE23</w:t>
            </w:r>
          </w:p>
        </w:tc>
        <w:tc>
          <w:tcPr>
            <w:tcW w:w="80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color w:val="333E48"/>
                <w:sz w:val="20"/>
              </w:rPr>
            </w:pPr>
            <w:r>
              <w:rPr>
                <w:rFonts w:ascii="Times New Roman;sans-serif" w:hAnsi="Times New Roman;sans-serif"/>
                <w:b/>
                <w:color w:val="333E48"/>
                <w:sz w:val="20"/>
              </w:rPr>
              <w:t>Y/Y %</w:t>
            </w:r>
          </w:p>
        </w:tc>
      </w:tr>
      <w:tr>
        <w:trPr/>
        <w:tc>
          <w:tcPr>
            <w:tcW w:w="403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Annualized contract value ("ACV")</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$1,182 million</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$1,030 million</w:t>
            </w:r>
          </w:p>
        </w:tc>
        <w:tc>
          <w:tcPr>
            <w:tcW w:w="8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403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Arm Total Access licenses</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31</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18</w:t>
            </w:r>
          </w:p>
        </w:tc>
        <w:tc>
          <w:tcPr>
            <w:tcW w:w="800" w:type="dxa"/>
            <w:gridSpan w:val="3"/>
            <w:tcBorders>
              <w:top w:val="single" w:sz="8" w:space="0" w:color="000000"/>
              <w:left w:val="single" w:sz="8" w:space="0" w:color="000000"/>
              <w:right w:val="single" w:sz="8" w:space="0" w:color="000000"/>
            </w:tcBorders>
            <w:shd w:fill="E5ECEB" w:val="clear"/>
            <w:tcMar>
              <w:bottom w:w="0" w:type="dxa"/>
            </w:tcMar>
            <w:vAlign w:val="center"/>
          </w:tcPr>
          <w:p>
            <w:pPr>
              <w:pStyle w:val="TableContents"/>
              <w:bidi w:val="0"/>
              <w:spacing w:before="0" w:after="283"/>
              <w:ind w:left="0" w:right="0" w:firstLine="80"/>
              <w:jc w:val="left"/>
              <w:rPr>
                <w:sz w:val="4"/>
                <w:szCs w:val="4"/>
              </w:rPr>
            </w:pPr>
            <w:r>
              <w:rPr>
                <w:sz w:val="4"/>
                <w:szCs w:val="4"/>
              </w:rPr>
            </w:r>
          </w:p>
        </w:tc>
      </w:tr>
      <w:tr>
        <w:trPr/>
        <w:tc>
          <w:tcPr>
            <w:tcW w:w="403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Arm Flexible Access licenses</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222</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203</w:t>
            </w:r>
          </w:p>
        </w:tc>
        <w:tc>
          <w:tcPr>
            <w:tcW w:w="800" w:type="dxa"/>
            <w:gridSpan w:val="3"/>
            <w:tcBorders>
              <w:top w:val="single" w:sz="8" w:space="0" w:color="000000"/>
              <w:left w:val="single" w:sz="8" w:space="0" w:color="231F20"/>
              <w:right w:val="single" w:sz="8" w:space="0" w:color="231F20"/>
            </w:tcBorders>
            <w:shd w:fill="E5ECEB" w:val="clear"/>
            <w:tcMar>
              <w:bottom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80"/>
              <w:jc w:val="left"/>
              <w:rPr/>
            </w:pPr>
            <w:r>
              <w:rPr>
                <w:rFonts w:ascii="Times New Roman;sans-serif" w:hAnsi="Times New Roman;sans-serif"/>
                <w:b w:val="false"/>
                <w:color w:val="231F20"/>
                <w:sz w:val="20"/>
              </w:rPr>
              <w:t xml:space="preserve">Chips reported as shipped </w:t>
            </w:r>
            <w:r>
              <w:rPr>
                <w:rFonts w:ascii="Times New Roman;sans-serif" w:hAnsi="Times New Roman;sans-serif"/>
                <w:b w:val="false"/>
                <w:color w:val="231F20"/>
                <w:sz w:val="13"/>
              </w:rPr>
              <w:t>(2)</w:t>
            </w:r>
            <w:r>
              <w:rPr>
                <w:color w:val="231F20"/>
              </w:rPr>
              <w:t xml:space="preserve"> </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7.0 billion</w:t>
            </w:r>
          </w:p>
        </w:tc>
        <w:tc>
          <w:tcPr>
            <w:tcW w:w="1320"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7.8 billion</w:t>
            </w:r>
          </w:p>
        </w:tc>
        <w:tc>
          <w:tcPr>
            <w:tcW w:w="80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(10)%</w:t>
            </w:r>
          </w:p>
        </w:tc>
      </w:tr>
      <w:tr>
        <w:trPr/>
        <w:tc>
          <w:tcPr>
            <w:tcW w:w="4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number of employees</w:t>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7,096</w:t>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5,963</w:t>
            </w:r>
          </w:p>
        </w:tc>
        <w:tc>
          <w:tcPr>
            <w:tcW w:w="8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19%</w:t>
            </w:r>
          </w:p>
        </w:tc>
      </w:tr>
      <w:tr>
        <w:trPr/>
        <w:tc>
          <w:tcPr>
            <w:tcW w:w="40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80"/>
              <w:jc w:val="left"/>
              <w:rPr/>
            </w:pPr>
            <w:r>
              <w:rPr>
                <w:rFonts w:ascii="Times New Roman;sans-serif" w:hAnsi="Times New Roman;sans-serif"/>
                <w:b w:val="false"/>
                <w:color w:val="231F20"/>
                <w:sz w:val="20"/>
              </w:rPr>
              <w:t xml:space="preserve">Engineers as a percentage of total employees </w:t>
            </w:r>
            <w:r>
              <w:rPr>
                <w:rFonts w:ascii="Times New Roman;sans-serif" w:hAnsi="Times New Roman;sans-serif"/>
                <w:b w:val="false"/>
                <w:color w:val="231F20"/>
                <w:sz w:val="13"/>
              </w:rPr>
              <w:t>(3)</w:t>
            </w:r>
          </w:p>
        </w:tc>
        <w:tc>
          <w:tcPr>
            <w:tcW w:w="13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83%</w:t>
            </w:r>
          </w:p>
        </w:tc>
        <w:tc>
          <w:tcPr>
            <w:tcW w:w="13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80%</w:t>
            </w:r>
          </w:p>
        </w:tc>
        <w:tc>
          <w:tcPr>
            <w:tcW w:w="800" w:type="dxa"/>
            <w:gridSpan w:val="3"/>
            <w:tcBorders>
              <w:top w:val="single" w:sz="8" w:space="0" w:color="000000"/>
              <w:left w:val="single" w:sz="8" w:space="0" w:color="000000"/>
              <w:bottom w:val="single" w:sz="8" w:space="0" w:color="000000"/>
              <w:right w:val="single" w:sz="8" w:space="0" w:color="000000"/>
            </w:tcBorders>
            <w:shd w:fill="E5ECE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For more information and definitions of Non-Financial Metrics see the “Key Financial and Operating Metrics” section below.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Chips reported as shipped reflect actual chip shipments from the prior quarter and are based off customers' reports received in the quarter presented.</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In Q4 FYE24, 180 application engineers were reclassified from Non-Engineering to Engineering.</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8110"/>
                <wp:effectExtent l="0" t="0" r="0" b="0"/>
                <wp:wrapNone/>
                <wp:docPr id="11" name="Frame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Financial Overview</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(US GAAP unless otherwise stated)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Total revenue</w:t>
      </w:r>
    </w:p>
    <w:p>
      <w:pPr>
        <w:pStyle w:val="TextBody"/>
        <w:bidi w:val="0"/>
        <w:spacing w:lineRule="auto" w:line="288" w:before="0" w:after="0"/>
        <w:jc w:val="left"/>
        <w:rPr/>
      </w:pPr>
      <w:r>
        <w:rPr>
          <w:rFonts w:ascii="Times New Roman;sans-serif" w:hAnsi="Times New Roman;sans-serif"/>
          <w:b w:val="false"/>
          <w:color w:val="231F20"/>
          <w:sz w:val="20"/>
        </w:rPr>
        <w:t xml:space="preserve">Total revenue 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FYE24 was a record $928 million, an increase of 47% year-over-year. This was driven by record royalty revenue and better than expected license and other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Royalty revenue</w:t>
      </w:r>
    </w:p>
    <w:p>
      <w:pPr>
        <w:pStyle w:val="TextBody"/>
        <w:bidi w:val="0"/>
        <w:spacing w:lineRule="auto" w:line="288" w:before="0" w:after="0"/>
        <w:jc w:val="left"/>
        <w:rPr/>
      </w:pPr>
      <w:r>
        <w:rPr>
          <w:rFonts w:ascii="Times New Roman;sans-serif" w:hAnsi="Times New Roman;sans-serif"/>
          <w:b w:val="false"/>
          <w:color w:val="000000"/>
          <w:sz w:val="20"/>
        </w:rPr>
        <w:t xml:space="preserve">Royalty revenue was </w:t>
      </w:r>
      <w:r>
        <w:rPr>
          <w:rFonts w:ascii="Times New Roman;sans-serif" w:hAnsi="Times New Roman;sans-serif"/>
          <w:b w:val="false"/>
          <w:color w:val="231F20"/>
          <w:sz w:val="20"/>
        </w:rPr>
        <w:t>$514 million</w:t>
      </w:r>
      <w:r>
        <w:rPr>
          <w:rFonts w:ascii="Times New Roman;sans-serif" w:hAnsi="Times New Roman;sans-serif"/>
          <w:b w:val="false"/>
          <w:color w:val="000000"/>
          <w:sz w:val="20"/>
        </w:rPr>
        <w:t>, up 37% year-over-year, reflecting increasing penetration of Armv9 in multiple markets, recovery in semiconductor industry growth, and strong year-over-year growth in smartphones, custom Arm-based chips by cloud hyperscalers, and advanced chips for automotive.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 </w:t>
      </w:r>
      <w:r>
        <w:rPr>
          <w:rFonts w:ascii="Times New Roman;sans-serif" w:hAnsi="Times New Roman;sans-serif"/>
          <w:b/>
          <w:color w:val="000000"/>
          <w:sz w:val="20"/>
        </w:rPr>
        <w:t>cloud servers</w:t>
      </w:r>
      <w:r>
        <w:rPr>
          <w:color w:val="000000"/>
        </w:rPr>
        <w:t xml:space="preserve"> </w:t>
      </w:r>
      <w:r>
        <w:rPr>
          <w:rFonts w:ascii="Times New Roman;sans-serif" w:hAnsi="Times New Roman;sans-serif"/>
          <w:b w:val="false"/>
          <w:color w:val="000000"/>
          <w:sz w:val="20"/>
        </w:rPr>
        <w:t xml:space="preserve">we continue to see the early benefits from the adoption of Armv9-based chips and market share gains as more cloud companies start to deploy Arm-based server chips. Royalty revenue from </w:t>
      </w:r>
      <w:r>
        <w:rPr>
          <w:rFonts w:ascii="Times New Roman;sans-serif" w:hAnsi="Times New Roman;sans-serif"/>
          <w:b/>
          <w:color w:val="000000"/>
          <w:sz w:val="20"/>
        </w:rPr>
        <w:t>smartphones</w:t>
      </w:r>
      <w:r>
        <w:rPr>
          <w:color w:val="000000"/>
        </w:rPr>
        <w:t xml:space="preserve"> </w:t>
      </w:r>
      <w:r>
        <w:rPr>
          <w:rFonts w:ascii="Times New Roman;sans-serif" w:hAnsi="Times New Roman;sans-serif"/>
          <w:b w:val="false"/>
          <w:color w:val="000000"/>
          <w:sz w:val="20"/>
        </w:rPr>
        <w:t xml:space="preserve">grew strongly year-over-year as AI-enabled Armv9 based handsets, which have a higher royalty rate, continued to gain share. In the </w:t>
      </w:r>
      <w:r>
        <w:rPr>
          <w:rFonts w:ascii="Times New Roman;sans-serif" w:hAnsi="Times New Roman;sans-serif"/>
          <w:b/>
          <w:color w:val="000000"/>
          <w:sz w:val="20"/>
        </w:rPr>
        <w:t>automotive</w:t>
      </w:r>
      <w:r>
        <w:rPr>
          <w:color w:val="000000"/>
        </w:rPr>
        <w:t xml:space="preserve"> </w:t>
      </w:r>
      <w:r>
        <w:rPr>
          <w:rFonts w:ascii="Times New Roman;sans-serif" w:hAnsi="Times New Roman;sans-serif"/>
          <w:b w:val="false"/>
          <w:color w:val="000000"/>
          <w:sz w:val="20"/>
        </w:rPr>
        <w:t>market, more cars are deploying ADAS and digital cockpits creating more opportunity for Arm-based chips, leading to strong year-over-year royalty revenue growth. Royalty revenue from the</w:t>
      </w:r>
      <w:r>
        <w:rPr>
          <w:color w:val="000000"/>
        </w:rPr>
        <w:t xml:space="preserve"> </w:t>
      </w:r>
      <w:r>
        <w:rPr>
          <w:rFonts w:ascii="Times New Roman;sans-serif" w:hAnsi="Times New Roman;sans-serif"/>
          <w:b/>
          <w:color w:val="000000"/>
          <w:sz w:val="20"/>
        </w:rPr>
        <w:t>IoT/embedded</w:t>
      </w:r>
      <w:r>
        <w:rPr>
          <w:color w:val="000000"/>
        </w:rPr>
        <w:t xml:space="preserve"> </w:t>
      </w:r>
      <w:r>
        <w:rPr>
          <w:rFonts w:ascii="Times New Roman;sans-serif" w:hAnsi="Times New Roman;sans-serif"/>
          <w:b w:val="false"/>
          <w:color w:val="000000"/>
          <w:sz w:val="20"/>
        </w:rPr>
        <w:t xml:space="preserve">market was down slightly due to semiconductor industry weakness, with industrial and general purpose microcontrollers being more impacted than consumer electronics.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Chips reported as shipped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and report actual chip shipments in the subsequent quarter. During the current quarter, Arm’s customers reported that they had shipped 7.0 billion Arm-based chips for the December quarter shipping period. This takes the cumulative number of Arm-based chips reported as shipped since inception to 287.4 billion.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License and other revenue</w:t>
      </w:r>
    </w:p>
    <w:p>
      <w:pPr>
        <w:pStyle w:val="TextBody"/>
        <w:bidi w:val="0"/>
        <w:spacing w:lineRule="auto" w:line="288" w:before="0" w:after="0"/>
        <w:jc w:val="left"/>
        <w:rPr/>
      </w:pPr>
      <w:r>
        <w:rPr>
          <w:rFonts w:ascii="Times New Roman;sans-serif" w:hAnsi="Times New Roman;sans-serif"/>
          <w:b w:val="false"/>
          <w:color w:val="231F20"/>
          <w:sz w:val="20"/>
        </w:rPr>
        <w:t xml:space="preserve">License and other revenue for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 xml:space="preserve">FYE24 was $414 million, </w:t>
      </w:r>
      <w:r>
        <w:rPr>
          <w:rFonts w:ascii="Times New Roman;sans-serif" w:hAnsi="Times New Roman;sans-serif"/>
          <w:b w:val="false"/>
          <w:color w:val="000000"/>
          <w:sz w:val="20"/>
        </w:rPr>
        <w:t>up</w:t>
      </w:r>
      <w:r>
        <w:rPr>
          <w:color w:val="231F20"/>
        </w:rPr>
        <w:t xml:space="preserve"> </w:t>
      </w:r>
      <w:r>
        <w:rPr>
          <w:rFonts w:ascii="Times New Roman;sans-serif" w:hAnsi="Times New Roman;sans-serif"/>
          <w:b w:val="false"/>
          <w:color w:val="231F20"/>
          <w:sz w:val="20"/>
        </w:rPr>
        <w:t xml:space="preserve">60% year-over-year. This better-than-expected result was driven by </w:t>
      </w:r>
      <w:r>
        <w:rPr>
          <w:rFonts w:ascii="Times New Roman;sans-serif" w:hAnsi="Times New Roman;sans-serif"/>
          <w:b w:val="false"/>
          <w:color w:val="000000"/>
          <w:sz w:val="20"/>
        </w:rPr>
        <w:t>multiple high-value, long-term license agreements signed in the quarter with leading technology companies, the delivery of Arm's latest technologies generating revenue under agreements signed in prior quarters, and by more companies choosing Arm's latest and most advanced CPUs to run AI, which typically command a higher license fee.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Annualized contract value</w:t>
      </w:r>
    </w:p>
    <w:p>
      <w:pPr>
        <w:pStyle w:val="TextBody"/>
        <w:bidi w:val="0"/>
        <w:spacing w:lineRule="auto" w:line="288" w:before="0" w:after="0"/>
        <w:jc w:val="left"/>
        <w:rPr/>
      </w:pPr>
      <w:r>
        <w:rPr>
          <w:rFonts w:ascii="Times New Roman;sans-serif" w:hAnsi="Times New Roman;sans-serif"/>
          <w:b w:val="false"/>
          <w:color w:val="231F20"/>
          <w:sz w:val="20"/>
        </w:rPr>
        <w:t xml:space="preserve">ACV at the end of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 xml:space="preserve">FYE24 was $1,182 million, up 15% year-over-year and up 2% compared with Q3 FYE24. Sequential growth was primarily driven by the high-value Arm Total Access license agreements signed during the quarter.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Remaining performance obligations</w:t>
      </w:r>
    </w:p>
    <w:p>
      <w:pPr>
        <w:pStyle w:val="TextBody"/>
        <w:bidi w:val="0"/>
        <w:spacing w:lineRule="auto" w:line="288" w:before="0" w:after="0"/>
        <w:jc w:val="left"/>
        <w:rPr/>
      </w:pPr>
      <w:r>
        <w:rPr>
          <w:rFonts w:ascii="Times New Roman;sans-serif" w:hAnsi="Times New Roman;sans-serif"/>
          <w:b w:val="false"/>
          <w:color w:val="231F20"/>
          <w:sz w:val="20"/>
        </w:rPr>
        <w:t xml:space="preserve">As of the end of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FYE24, RPO was $2,484 million, up 45% year-on-year and up slightly compared with Q3 FYE24, driven by multiple high-value license agreements. We expect to recognize approximately 28% of RPO as revenue over the next 12 months, 14% over the subsequent 13-to-24-month period, and the remainder thereafter.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Licenses signed</w:t>
      </w:r>
    </w:p>
    <w:p>
      <w:pPr>
        <w:pStyle w:val="TextBody"/>
        <w:bidi w:val="0"/>
        <w:spacing w:lineRule="auto" w:line="288" w:before="0" w:after="0"/>
        <w:jc w:val="left"/>
        <w:rPr/>
      </w:pPr>
      <w:r>
        <w:rPr>
          <w:rFonts w:ascii="Times New Roman;sans-serif" w:hAnsi="Times New Roman;sans-serif"/>
          <w:b w:val="false"/>
          <w:color w:val="231F20"/>
          <w:sz w:val="20"/>
        </w:rPr>
        <w:t xml:space="preserve">During the quarter, Arm signed four additional Arm Total Access agreements, taking the total number of extant licenses to 31, which now includes more than half of our top 30 customers. The new Arm Total Access agreements were signed </w:t>
      </w:r>
      <w:r>
        <w:rPr>
          <w:rFonts w:ascii="Times New Roman;sans-serif" w:hAnsi="Times New Roman;sans-serif"/>
          <w:b w:val="false"/>
          <w:color w:val="000000"/>
          <w:sz w:val="20"/>
        </w:rPr>
        <w:t>with semiconductor companies developing chips for a wide range of end markets, including AI-enabled smartphones, servers and embedded computing.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Arm Flexible Access program enables early-stage companies to take advantage of the benefits of the broad Arm ecosystem. The program now has 222 customers developing products for a wide range of applications including multiple AI accelerators, automotive applications, consumer electronics, robotics and smart sensors.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Gross profit and margin</w:t>
      </w:r>
    </w:p>
    <w:p>
      <w:pPr>
        <w:pStyle w:val="TextBody"/>
        <w:bidi w:val="0"/>
        <w:spacing w:lineRule="auto" w:line="288" w:before="0" w:after="0"/>
        <w:jc w:val="left"/>
        <w:rPr/>
      </w:pPr>
      <w:r>
        <w:rPr>
          <w:rFonts w:ascii="Times New Roman;sans-serif" w:hAnsi="Times New Roman;sans-serif"/>
          <w:b w:val="false"/>
          <w:color w:val="231F20"/>
          <w:sz w:val="20"/>
        </w:rPr>
        <w:t xml:space="preserve">Cost of sales 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FYE24 was $41 million, including $6 million of share-based compensation (SBC) cost (equity-settled) and $7 million of employer taxes related to SBC net of R&amp;D tax incentives, resulting in a Gross Profit of $887 million and a 95.6% Gross Margin. Non-GAAP cost of sales was $26 million, resulting in a non-GAAP Gross Profit of $902 million and a 97.2% non-GAAP Gross Margin.</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8110"/>
                <wp:effectExtent l="0" t="0" r="0" b="0"/>
                <wp:wrapNone/>
                <wp:docPr id="12" name="Frame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Operating expense and margin</w:t>
      </w:r>
    </w:p>
    <w:p>
      <w:pPr>
        <w:pStyle w:val="TextBody"/>
        <w:bidi w:val="0"/>
        <w:spacing w:lineRule="auto" w:line="288" w:before="0" w:after="0"/>
        <w:jc w:val="left"/>
        <w:rPr/>
      </w:pPr>
      <w:r>
        <w:rPr>
          <w:rFonts w:ascii="Times New Roman;sans-serif" w:hAnsi="Times New Roman;sans-serif"/>
          <w:b w:val="false"/>
          <w:color w:val="231F20"/>
          <w:sz w:val="20"/>
        </w:rPr>
        <w:t xml:space="preserve">Total operating expense 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 xml:space="preserve">FYE24 was $865 million, including $180 million of SBC cost (equity-settled), </w:t>
      </w:r>
      <w:r>
        <w:rPr>
          <w:rFonts w:ascii="Times New Roman;sans-serif" w:hAnsi="Times New Roman;sans-serif"/>
          <w:b w:val="false"/>
          <w:color w:val="000000"/>
          <w:sz w:val="20"/>
        </w:rPr>
        <w:t>$156 million</w:t>
      </w:r>
      <w:r>
        <w:rPr>
          <w:color w:val="231F20"/>
        </w:rPr>
        <w:t xml:space="preserve"> </w:t>
      </w:r>
      <w:r>
        <w:rPr>
          <w:rFonts w:ascii="Times New Roman;sans-serif" w:hAnsi="Times New Roman;sans-serif"/>
          <w:b w:val="false"/>
          <w:color w:val="231F20"/>
          <w:sz w:val="20"/>
        </w:rPr>
        <w:t xml:space="preserve">of employer taxes related to SBC net of R&amp;D tax incentives, and a one-time employee benefit related to the settlement of the </w:t>
      </w:r>
      <w:r>
        <w:rPr>
          <w:rFonts w:ascii="Times New Roman;sans-serif" w:hAnsi="Times New Roman;sans-serif"/>
          <w:b w:val="false"/>
          <w:color w:val="000000"/>
          <w:sz w:val="20"/>
        </w:rPr>
        <w:t xml:space="preserve">Arm Limited All Employee Plan 2019 (“2019 AEP”) </w:t>
      </w:r>
      <w:r>
        <w:rPr>
          <w:rFonts w:ascii="Times New Roman;sans-serif" w:hAnsi="Times New Roman;sans-serif"/>
          <w:b w:val="false"/>
          <w:color w:val="231F20"/>
          <w:sz w:val="20"/>
        </w:rPr>
        <w:t xml:space="preserve">of </w:t>
      </w:r>
      <w:r>
        <w:rPr>
          <w:rFonts w:ascii="Times New Roman;sans-serif" w:hAnsi="Times New Roman;sans-serif"/>
          <w:b w:val="false"/>
          <w:color w:val="000000"/>
          <w:sz w:val="20"/>
        </w:rPr>
        <w:t>$18 million</w:t>
      </w:r>
      <w:r>
        <w:rPr>
          <w:rFonts w:ascii="Times New Roman;sans-serif" w:hAnsi="Times New Roman;sans-serif"/>
          <w:b w:val="false"/>
          <w:color w:val="231F20"/>
          <w:sz w:val="20"/>
        </w:rPr>
        <w:t xml:space="preserve">. Total non-GAAP operating expense of $511 million was down </w:t>
      </w:r>
      <w:r>
        <w:rPr>
          <w:rFonts w:ascii="Times New Roman;sans-serif" w:hAnsi="Times New Roman;sans-serif"/>
          <w:b w:val="false"/>
          <w:color w:val="000000"/>
          <w:sz w:val="20"/>
        </w:rPr>
        <w:t>16%</w:t>
      </w:r>
      <w:r>
        <w:rPr>
          <w:color w:val="231F20"/>
        </w:rPr>
        <w:t xml:space="preserve"> </w:t>
      </w:r>
      <w:r>
        <w:rPr>
          <w:rFonts w:ascii="Times New Roman;sans-serif" w:hAnsi="Times New Roman;sans-serif"/>
          <w:b w:val="false"/>
          <w:color w:val="231F20"/>
          <w:sz w:val="20"/>
        </w:rPr>
        <w:t>year-over-year. Headcount increased 19% year-over-year, but this was more than offset by the change in mix of SBC cost from liability-settled to equity-settled and a favorable year-over-year comparison in legal and bonus costs. For more detail on SBC cost see table in "GAAP to Non-GAAP Reconciliation" below.</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Research and development ("R&amp;D") expense 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FYE24 was $584 million, representing 62.9% of revenue. Non-GAAP R&amp;D expense was $326 million, representing 35.1% of revenue, and down 9% year-over-year. Engineering headcount increased 24% year-over-year, but this was more than offset by the shift in SBC costs from liability-settled to equity-settled.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Selling, general and administrative ("SG&amp;A") expense 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FYE24 was $281 million, representing 30.3% of revenue. Non-GAAP SG&amp;A expense was $185 million, representing 19.9% of revenue, down 26% year-over-year. The decline was due to the shift from liability-settled to equity-settled SBC costs and the favorable year-over-year comparison in legal costs previously mentioned.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 xml:space="preserve">FYE24, GAAP operating profit of $22 million was an improvement from the </w:t>
      </w:r>
      <w:r>
        <w:rPr>
          <w:rFonts w:ascii="Times New Roman;sans-serif" w:hAnsi="Times New Roman;sans-serif"/>
          <w:b w:val="false"/>
          <w:color w:val="000000"/>
          <w:sz w:val="20"/>
        </w:rPr>
        <w:t>$50 million</w:t>
      </w:r>
      <w:r>
        <w:rPr>
          <w:color w:val="231F20"/>
        </w:rPr>
        <w:t xml:space="preserve"> </w:t>
      </w:r>
      <w:r>
        <w:rPr>
          <w:rFonts w:ascii="Times New Roman;sans-serif" w:hAnsi="Times New Roman;sans-serif"/>
          <w:b w:val="false"/>
          <w:color w:val="231F20"/>
          <w:sz w:val="20"/>
        </w:rPr>
        <w:t xml:space="preserve">loss from same period a year ago. The increase was driven by higher revenue, partially offset by higher SBC cost and employer taxes related to SBC net of R&amp;D tax incentives. Non-GAAP operating profit was $391 million, much improved from the </w:t>
      </w:r>
      <w:r>
        <w:rPr>
          <w:rFonts w:ascii="Times New Roman;sans-serif" w:hAnsi="Times New Roman;sans-serif"/>
          <w:b w:val="false"/>
          <w:color w:val="000000"/>
          <w:sz w:val="20"/>
        </w:rPr>
        <w:t>$1 million</w:t>
      </w:r>
      <w:r>
        <w:rPr>
          <w:color w:val="231F20"/>
        </w:rPr>
        <w:t xml:space="preserve"> </w:t>
      </w:r>
      <w:r>
        <w:rPr>
          <w:rFonts w:ascii="Times New Roman;sans-serif" w:hAnsi="Times New Roman;sans-serif"/>
          <w:b w:val="false"/>
          <w:color w:val="231F20"/>
          <w:sz w:val="20"/>
        </w:rPr>
        <w:t>loss a year ago, and represents a 42.1% non-GAAP operating margin, compared with (0.2)% for the same period last year. The primary difference between GAAP and non-GAAP operating profit was SBC cost (equity-settled) and employer taxes related to SBC net of R&amp;D tax incentives.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FYE24, total SBC cost (equity-settled) was $186 million with $6 million included in cost of sales, $127 million included in R&amp;D and $53 million included in SG&amp;A. Total employer taxes related to SBC net of R&amp;D tax incentives were $163 million with $7 million included in cost of sales, $118 million included in R&amp;D and $38 million included in SG&amp;A.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 xml:space="preserve">Income before income taxes, effective tax rate, net income, earnings per share, and share count </w:t>
      </w:r>
    </w:p>
    <w:p>
      <w:pPr>
        <w:pStyle w:val="TextBody"/>
        <w:bidi w:val="0"/>
        <w:spacing w:lineRule="auto" w:line="288" w:before="0" w:after="0"/>
        <w:jc w:val="left"/>
        <w:rPr/>
      </w:pPr>
      <w:r>
        <w:rPr>
          <w:rFonts w:ascii="Times New Roman;sans-serif" w:hAnsi="Times New Roman;sans-serif"/>
          <w:b w:val="false"/>
          <w:color w:val="231F20"/>
          <w:sz w:val="20"/>
        </w:rPr>
        <w:t xml:space="preserve">Income before income taxes 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 xml:space="preserve">FYE24 was $58 million, up more than 10-fold when compared with the same period one year ago. We recorded a tax benefit of </w:t>
      </w:r>
      <w:r>
        <w:rPr>
          <w:rFonts w:ascii="Times New Roman;sans-serif" w:hAnsi="Times New Roman;sans-serif"/>
          <w:b w:val="false"/>
          <w:color w:val="000000"/>
          <w:sz w:val="20"/>
        </w:rPr>
        <w:t xml:space="preserve">$166 million </w:t>
      </w:r>
      <w:r>
        <w:rPr>
          <w:rFonts w:ascii="Times New Roman;sans-serif" w:hAnsi="Times New Roman;sans-serif"/>
          <w:b w:val="false"/>
          <w:color w:val="231F20"/>
          <w:sz w:val="20"/>
        </w:rPr>
        <w:t>for the quarter due to a windfall tax benefit associated with SBC cost. As a result, net income was $224 million, much improved from the $3 million from a year ago.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Non-GAAP Income before income taxes was $434 million, much improved from </w:t>
      </w:r>
      <w:r>
        <w:rPr>
          <w:rFonts w:ascii="Times New Roman;sans-serif" w:hAnsi="Times New Roman;sans-serif"/>
          <w:b w:val="false"/>
          <w:color w:val="000000"/>
          <w:sz w:val="20"/>
        </w:rPr>
        <w:t xml:space="preserve">$15 million </w:t>
      </w:r>
      <w:r>
        <w:rPr>
          <w:rFonts w:ascii="Times New Roman;sans-serif" w:hAnsi="Times New Roman;sans-serif"/>
          <w:b w:val="false"/>
          <w:color w:val="231F20"/>
          <w:sz w:val="20"/>
        </w:rPr>
        <w:t>a year ago. The non-GAAP effective tax rate was 13.4%, and we expect it to remain in the mid-teens on a go-forward basis. Non-GAAP net income was $376 million, much improved from the $18 million from a year ago.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 xml:space="preserve">FYE24 fully diluted earnings per share were $0.21 (non-GAAP: $0.36 per share) compared with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FYE23 fully diluted earnings per share of $0.00 (non-GAAP: $0.02 per share).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In </w:t>
      </w:r>
      <w:r>
        <w:rPr>
          <w:rFonts w:ascii="Times New Roman;sans-serif" w:hAnsi="Times New Roman;sans-serif"/>
          <w:b w:val="false"/>
          <w:color w:val="000000"/>
          <w:sz w:val="20"/>
        </w:rPr>
        <w:t>Q4</w:t>
      </w:r>
      <w:r>
        <w:rPr>
          <w:color w:val="231F20"/>
        </w:rPr>
        <w:t xml:space="preserve"> </w:t>
      </w:r>
      <w:r>
        <w:rPr>
          <w:rFonts w:ascii="Times New Roman;sans-serif" w:hAnsi="Times New Roman;sans-serif"/>
          <w:b w:val="false"/>
          <w:color w:val="231F20"/>
          <w:sz w:val="20"/>
        </w:rPr>
        <w:t>FYE24, on a GAAP and a non-GAAP basis, our basic weighted average share count was 1,032,360,816 and our fully diluted weighted average share count was 1,057,533,533.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Free cash flow</w:t>
      </w:r>
    </w:p>
    <w:p>
      <w:pPr>
        <w:pStyle w:val="TextBody"/>
        <w:bidi w:val="0"/>
        <w:spacing w:lineRule="auto" w:line="288" w:before="0" w:after="0"/>
        <w:jc w:val="left"/>
        <w:rPr/>
      </w:pPr>
      <w:r>
        <w:rPr>
          <w:rFonts w:ascii="Times New Roman;sans-serif" w:hAnsi="Times New Roman;sans-serif"/>
          <w:b w:val="false"/>
          <w:color w:val="231F20"/>
          <w:sz w:val="20"/>
        </w:rPr>
        <w:t xml:space="preserve">Non-GAAP free cash flow was $637 million for the quarter, with non-GAAP free cash flow for the trailing twelve months totaling $907 million, up 50% year-over-year. Q4 FYE24 non-GAAP free cash flow includes a </w:t>
      </w:r>
      <w:r>
        <w:rPr>
          <w:rFonts w:ascii="Times New Roman;sans-serif" w:hAnsi="Times New Roman;sans-serif"/>
          <w:b w:val="false"/>
          <w:color w:val="000000"/>
          <w:sz w:val="20"/>
        </w:rPr>
        <w:t xml:space="preserve">$573 million change in working capital benefit that is primarily related to cash held for payroll taxes expected to be paid in Q1 FYE25. </w:t>
      </w:r>
      <w:r>
        <w:rPr>
          <w:rFonts w:ascii="Times New Roman;sans-serif" w:hAnsi="Times New Roman;sans-serif"/>
          <w:b w:val="false"/>
          <w:color w:val="231F20"/>
          <w:sz w:val="20"/>
        </w:rPr>
        <w:t xml:space="preserve">At the end of FYE24, Arm’s cash and cash equivalents, and short-term investments, totaled </w:t>
      </w:r>
      <w:r>
        <w:rPr>
          <w:rFonts w:ascii="Times New Roman;sans-serif" w:hAnsi="Times New Roman;sans-serif"/>
          <w:b w:val="false"/>
          <w:color w:val="000000"/>
          <w:sz w:val="20"/>
        </w:rPr>
        <w:t>$2,923 million</w:t>
      </w:r>
      <w:r>
        <w:rPr>
          <w:rFonts w:ascii="Times New Roman;sans-serif" w:hAnsi="Times New Roman;sans-serif"/>
          <w:b w:val="false"/>
          <w:color w:val="231F20"/>
          <w:sz w:val="20"/>
        </w:rPr>
        <w:t xml:space="preserve">, up </w:t>
      </w:r>
      <w:r>
        <w:rPr>
          <w:rFonts w:ascii="Times New Roman;sans-serif" w:hAnsi="Times New Roman;sans-serif"/>
          <w:b w:val="false"/>
          <w:color w:val="000000"/>
          <w:sz w:val="20"/>
        </w:rPr>
        <w:t>22%</w:t>
      </w:r>
      <w:r>
        <w:rPr>
          <w:color w:val="231F20"/>
        </w:rPr>
        <w:t xml:space="preserve"> </w:t>
      </w:r>
      <w:r>
        <w:rPr>
          <w:rFonts w:ascii="Times New Roman;sans-serif" w:hAnsi="Times New Roman;sans-serif"/>
          <w:b w:val="false"/>
          <w:color w:val="231F20"/>
          <w:sz w:val="20"/>
        </w:rPr>
        <w:t xml:space="preserve">from </w:t>
      </w:r>
      <w:r>
        <w:rPr>
          <w:rFonts w:ascii="Times New Roman;sans-serif" w:hAnsi="Times New Roman;sans-serif"/>
          <w:b w:val="false"/>
          <w:color w:val="000000"/>
          <w:sz w:val="20"/>
        </w:rPr>
        <w:t>$2,401 million</w:t>
      </w:r>
      <w:r>
        <w:rPr>
          <w:color w:val="231F20"/>
        </w:rPr>
        <w:t xml:space="preserve"> </w:t>
      </w:r>
      <w:r>
        <w:rPr>
          <w:rFonts w:ascii="Times New Roman;sans-serif" w:hAnsi="Times New Roman;sans-serif"/>
          <w:b w:val="false"/>
          <w:color w:val="231F20"/>
          <w:sz w:val="20"/>
        </w:rPr>
        <w:t xml:space="preserve">in the prior quarter and </w:t>
      </w:r>
      <w:r>
        <w:rPr>
          <w:rFonts w:ascii="Times New Roman;sans-serif" w:hAnsi="Times New Roman;sans-serif"/>
          <w:b w:val="false"/>
          <w:color w:val="000000"/>
          <w:sz w:val="20"/>
        </w:rPr>
        <w:t xml:space="preserve">32% </w:t>
      </w:r>
      <w:r>
        <w:rPr>
          <w:rFonts w:ascii="Times New Roman;sans-serif" w:hAnsi="Times New Roman;sans-serif"/>
          <w:b w:val="false"/>
          <w:color w:val="231F20"/>
          <w:sz w:val="20"/>
        </w:rPr>
        <w:t>year-over-year.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8110"/>
                <wp:effectExtent l="0" t="0" r="0" b="0"/>
                <wp:wrapNone/>
                <wp:docPr id="13" name="Frame1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Income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44"/>
        <w:gridCol w:w="1421"/>
        <w:gridCol w:w="1442"/>
        <w:gridCol w:w="290"/>
        <w:gridCol w:w="689"/>
        <w:gridCol w:w="162"/>
        <w:gridCol w:w="137"/>
        <w:gridCol w:w="137"/>
        <w:gridCol w:w="137"/>
        <w:gridCol w:w="290"/>
        <w:gridCol w:w="689"/>
        <w:gridCol w:w="162"/>
        <w:gridCol w:w="109"/>
        <w:gridCol w:w="109"/>
        <w:gridCol w:w="109"/>
        <w:gridCol w:w="259"/>
        <w:gridCol w:w="736"/>
        <w:gridCol w:w="146"/>
        <w:gridCol w:w="116"/>
        <w:gridCol w:w="116"/>
        <w:gridCol w:w="116"/>
        <w:gridCol w:w="256"/>
        <w:gridCol w:w="727"/>
        <w:gridCol w:w="206"/>
      </w:tblGrid>
      <w:tr>
        <w:trPr/>
        <w:tc>
          <w:tcPr>
            <w:tcW w:w="164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March 31,</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from external customers</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from related parties</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2,573 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from continuing operations</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1,032,360,816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1,027,443,122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1,057,533,533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1,029,150,740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1,044,497,032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1,027,505,008</w:t>
            </w:r>
          </w:p>
        </w:tc>
      </w:tr>
    </w:tbl>
    <w:p>
      <w:pPr>
        <w:pStyle w:val="TextBody"/>
        <w:bidi w:val="0"/>
        <w:spacing w:before="12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8110"/>
                <wp:effectExtent l="0" t="0" r="0" b="0"/>
                <wp:wrapNone/>
                <wp:docPr id="14" name="Frame1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65"/>
        <w:gridCol w:w="2556"/>
        <w:gridCol w:w="2588"/>
        <w:gridCol w:w="196"/>
        <w:gridCol w:w="556"/>
        <w:gridCol w:w="109"/>
        <w:gridCol w:w="109"/>
        <w:gridCol w:w="109"/>
        <w:gridCol w:w="109"/>
        <w:gridCol w:w="196"/>
        <w:gridCol w:w="556"/>
        <w:gridCol w:w="156"/>
      </w:tblGrid>
      <w:tr>
        <w:trPr/>
        <w:tc>
          <w:tcPr>
            <w:tcW w:w="2965"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(including receivables from related parties of $296 and $402 as of March 31, 2024 and 2023, respectively)</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 (including contract assets from related parties of $22 and $9 as of March 31, 2024 and 2023, respectively)</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assets: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investments (including investments held at fair value of $573 and $592 as of March 31, 2024 and 2023, respectively)</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contract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 and share-based compensation</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 (including contract liabilities from related parties of $107 and $135 as of March 31, 2024 and 2023, respectively)</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 (including payables to related parties of $7 and $17 as of March 31, 2024 and 2023, respectively)</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liabilities: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accrued compensation and share-based compensation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contract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operating lease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liabilities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7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8110"/>
                <wp:effectExtent l="0" t="0" r="0" b="0"/>
                <wp:wrapNone/>
                <wp:docPr id="15" name="Frame1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6"/>
        <w:gridCol w:w="2456"/>
        <w:gridCol w:w="2470"/>
        <w:gridCol w:w="236"/>
        <w:gridCol w:w="672"/>
        <w:gridCol w:w="131"/>
        <w:gridCol w:w="109"/>
        <w:gridCol w:w="109"/>
        <w:gridCol w:w="109"/>
        <w:gridCol w:w="234"/>
        <w:gridCol w:w="666"/>
        <w:gridCol w:w="187"/>
      </w:tblGrid>
      <w:tr>
        <w:trPr/>
        <w:tc>
          <w:tcPr>
            <w:tcW w:w="282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7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Ordinary shares, $0.001 par value; 1,088,334,144 shares authorized and 1,040,330,497 shares issued and outstanding as of March 31, 2024; and 1,025,234,000 shares authorized, issued and outstanding as of March 31, 2023 </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1,216 </w:t>
            </w:r>
          </w:p>
        </w:tc>
        <w:tc>
          <w:tcPr>
            <w:tcW w:w="18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8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2,457 </w:t>
            </w:r>
          </w:p>
        </w:tc>
        <w:tc>
          <w:tcPr>
            <w:tcW w:w="18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5,295 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4,051 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7,927 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6,866 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8110"/>
                <wp:effectExtent l="0" t="0" r="0" b="0"/>
                <wp:wrapNone/>
                <wp:docPr id="16" name="Frame1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89"/>
        <w:gridCol w:w="1680"/>
        <w:gridCol w:w="1687"/>
        <w:gridCol w:w="220"/>
        <w:gridCol w:w="626"/>
        <w:gridCol w:w="122"/>
        <w:gridCol w:w="122"/>
        <w:gridCol w:w="122"/>
        <w:gridCol w:w="122"/>
        <w:gridCol w:w="220"/>
        <w:gridCol w:w="626"/>
        <w:gridCol w:w="122"/>
        <w:gridCol w:w="109"/>
        <w:gridCol w:w="109"/>
        <w:gridCol w:w="109"/>
        <w:gridCol w:w="207"/>
        <w:gridCol w:w="589"/>
        <w:gridCol w:w="114"/>
        <w:gridCol w:w="114"/>
        <w:gridCol w:w="114"/>
        <w:gridCol w:w="114"/>
        <w:gridCol w:w="207"/>
        <w:gridCol w:w="589"/>
        <w:gridCol w:w="172"/>
      </w:tblGrid>
      <w:tr>
        <w:trPr/>
        <w:tc>
          <w:tcPr>
            <w:tcW w:w="198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March 31,</w:t>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operating activities:</w:t>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for) operating activities:</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loss from equity investments, net </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cost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expense</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operating activities, net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(including receivables from related parties)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Contract assets, net (including contract assets from related parties) </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 and share-based compensation</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 (including contract liabilities from related parties)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liabilities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liabilities (including payables to related parties) </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cash provided by (used for) operating activities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investing activities</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short-term investments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maturity of short-term investments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equity investments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7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 net, including investments in convertible loans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for) investing activities</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financing activities</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intangible asset obligations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 net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withholding tax on vested shares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cash provided by (used for) financing activities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and cash equivalents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increase (decrease) in cash and cash equivalents </w:t>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at the beginning of the period </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the end of the period</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8110"/>
                <wp:effectExtent l="0" t="0" r="0" b="0"/>
                <wp:wrapNone/>
                <wp:docPr id="17" name="Frame1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Financial and Operating Metrics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key performance indicators and non-GAAP financial measures to analyze our business performance and financial forecasts and to develop strategic plans, which we believe provide useful information to the market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key financial and operating metrics:</w:t>
      </w:r>
    </w:p>
    <w:tbl>
      <w:tblPr>
        <w:tblW w:w="10205" w:type="dxa"/>
        <w:jc w:val="left"/>
        <w:tblInd w:w="0" w:type="dxa"/>
        <w:tblLayout w:type="fixed"/>
        <w:tblCellMar>
          <w:top w:w="28" w:type="dxa"/>
          <w:left w:w="28" w:type="dxa"/>
          <w:bottom w:w="28" w:type="dxa"/>
          <w:right w:w="28" w:type="dxa"/>
        </w:tblCellMar>
      </w:tblPr>
      <w:tblGrid>
        <w:gridCol w:w="2140"/>
        <w:gridCol w:w="1765"/>
        <w:gridCol w:w="1771"/>
        <w:gridCol w:w="224"/>
        <w:gridCol w:w="482"/>
        <w:gridCol w:w="124"/>
        <w:gridCol w:w="124"/>
        <w:gridCol w:w="124"/>
        <w:gridCol w:w="124"/>
        <w:gridCol w:w="224"/>
        <w:gridCol w:w="482"/>
        <w:gridCol w:w="124"/>
        <w:gridCol w:w="109"/>
        <w:gridCol w:w="109"/>
        <w:gridCol w:w="109"/>
        <w:gridCol w:w="202"/>
        <w:gridCol w:w="574"/>
        <w:gridCol w:w="112"/>
        <w:gridCol w:w="112"/>
        <w:gridCol w:w="112"/>
        <w:gridCol w:w="112"/>
        <w:gridCol w:w="202"/>
        <w:gridCol w:w="574"/>
        <w:gridCol w:w="170"/>
      </w:tblGrid>
      <w:tr>
        <w:trPr/>
        <w:tc>
          <w:tcPr>
            <w:tcW w:w="214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for Number of Arm-based Chips, Number of extant Arm Total Access and Arm Flexible Access licenses, and Total number of employees and engineers)</w:t>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March 31,</w:t>
            </w:r>
          </w:p>
        </w:tc>
      </w:tr>
      <w:tr>
        <w:trPr/>
        <w:tc>
          <w:tcPr>
            <w:tcW w:w="5676" w:type="dxa"/>
            <w:gridSpan w:val="3"/>
            <w:vMerge w:val="continue"/>
            <w:tcBorders/>
            <w:tcMar>
              <w:top w:w="0" w:type="dxa"/>
              <w:left w:w="0" w:type="dxa"/>
              <w:bottom w:w="0" w:type="dxa"/>
              <w:right w:w="0" w:type="dxa"/>
            </w:tcMar>
            <w:vAlign w:val="center"/>
          </w:tcPr>
          <w:p>
            <w:pPr>
              <w:pStyle w:val="Normal"/>
              <w:bidi w:val="0"/>
              <w:jc w:val="left"/>
              <w:rPr/>
            </w:pPr>
            <w:r>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License and other revenue</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Royalty revenue</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operating income (loss) (1)</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continuing operations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net income (1)</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free cash flow (1)</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free cash flow TTM (1)</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metrics:</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Arm-based chips reported as shipped (billions)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w:t>
            </w:r>
          </w:p>
        </w:tc>
      </w:tr>
      <w:tr>
        <w:trPr/>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metrics:</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number of Arm-based chips reported as shipped (billions)</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extant Arm Total Access licenses (2)</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extant Arm Flexible Access licenses (2)</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Annualized contract value</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Remaining performance obligation</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employees (at end of period)</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5,963</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engineers</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non-engineers</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w:t>
            </w:r>
          </w:p>
        </w:tc>
      </w:tr>
    </w:tbl>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Non-GAAP operating income (loss), Non-GAAP net income from continuing operations,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As of the last day of the applicable period.</w:t>
      </w:r>
    </w:p>
    <w:p>
      <w:pPr>
        <w:pStyle w:val="TextBody"/>
        <w:bidi w:val="0"/>
        <w:spacing w:before="0" w:after="0"/>
        <w:ind w:left="0" w:right="0" w:hanging="27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8110"/>
                <wp:effectExtent l="0" t="0" r="0" b="0"/>
                <wp:wrapNone/>
                <wp:docPr id="18" name="Frame1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12</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Total revenue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product offerings consist of the following:</w:t>
      </w:r>
    </w:p>
    <w:p>
      <w:pPr>
        <w:pStyle w:val="TextBody"/>
        <w:bidi w:val="0"/>
        <w:spacing w:lineRule="auto" w:line="288" w:before="120" w:after="120"/>
        <w:jc w:val="left"/>
        <w:rPr>
          <w:rFonts w:ascii="Times New Roman;sans-serif" w:hAnsi="Times New Roman;sans-serif"/>
          <w:b/>
          <w:color w:val="0091BD"/>
          <w:sz w:val="20"/>
        </w:rPr>
      </w:pPr>
      <w:r>
        <w:rPr>
          <w:rFonts w:ascii="Times New Roman;sans-serif" w:hAnsi="Times New Roman;sans-serif"/>
          <w:b/>
          <w:color w:val="0091BD"/>
          <w:sz w:val="20"/>
        </w:rPr>
        <w:t>License and other revenue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Intellectual property license</w:t>
      </w:r>
      <w:r>
        <w:rPr>
          <w:color w:val="231F20"/>
        </w:rPr>
        <w:t xml:space="preserve"> — </w:t>
      </w:r>
      <w:r>
        <w:rPr>
          <w:rFonts w:ascii="Times New Roman;sans-serif" w:hAnsi="Times New Roman;sans-serif"/>
          <w:b w:val="false"/>
          <w:color w:val="231F20"/>
          <w:sz w:val="20"/>
        </w:rPr>
        <w:t>We generally license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the support term, are recognized at a point in time upon the delivery or beginning of license term, whichever is later.</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Software sales, including development systems</w:t>
      </w:r>
      <w:r>
        <w:rPr>
          <w:color w:val="231F20"/>
        </w:rPr>
        <w:t xml:space="preserve"> — </w:t>
      </w:r>
      <w:r>
        <w:rPr>
          <w:rFonts w:ascii="Times New Roman;sans-serif" w:hAnsi="Times New Roman;sans-serif"/>
          <w:b w:val="false"/>
          <w:color w:val="231F20"/>
          <w:sz w:val="20"/>
        </w:rPr>
        <w:t>Sales of software, including development systems, which are not specifically designed for a given license (such as off-the-shelf software), are recognized upon delivery when control has been transferred and customer can begin to use and benefit from the license.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Professional services</w:t>
      </w:r>
      <w:r>
        <w:rPr>
          <w:color w:val="231F20"/>
        </w:rPr>
        <w:t xml:space="preserve"> — </w:t>
      </w:r>
      <w:r>
        <w:rPr>
          <w:rFonts w:ascii="Times New Roman;sans-serif" w:hAnsi="Times New Roman;sans-serif"/>
          <w:b w:val="false"/>
          <w:color w:val="231F20"/>
          <w:sz w:val="20"/>
        </w:rPr>
        <w:t>Services (such as training and professional and design services) that we provide, which are not 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Support and maintenance</w:t>
      </w:r>
      <w:r>
        <w:rPr>
          <w:color w:val="231F20"/>
        </w:rPr>
        <w:t xml:space="preserve"> — </w:t>
      </w:r>
      <w:r>
        <w:rPr>
          <w:rFonts w:ascii="Times New Roman;sans-serif" w:hAnsi="Times New Roman;sans-serif"/>
          <w:b w:val="false"/>
          <w:color w:val="231F2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120" w:after="120"/>
        <w:jc w:val="left"/>
        <w:rPr>
          <w:rFonts w:ascii="Times New Roman;sans-serif" w:hAnsi="Times New Roman;sans-serif"/>
          <w:b/>
          <w:color w:val="0091BD"/>
          <w:sz w:val="20"/>
        </w:rPr>
      </w:pPr>
      <w:r>
        <w:rPr>
          <w:rFonts w:ascii="Times New Roman;sans-serif" w:hAnsi="Times New Roman;sans-serif"/>
          <w:b/>
          <w:color w:val="0091BD"/>
          <w:sz w:val="20"/>
        </w:rPr>
        <w:t>Royalty revenue</w:t>
      </w:r>
    </w:p>
    <w:p>
      <w:pPr>
        <w:pStyle w:val="TextBody"/>
        <w:bidi w:val="0"/>
        <w:spacing w:lineRule="auto" w:line="276"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For certain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w: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Royalty technology mix</w:t>
      </w:r>
    </w:p>
    <w:p>
      <w:pPr>
        <w:pStyle w:val="TextBody"/>
        <w:bidi w:val="0"/>
        <w:spacing w:lineRule="auto" w:line="276"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Royalty mix by architecture such as Armv9 is estimated at the system-on-a-chip (SoC) level based on the architecture of the primary CPU or an approximation of the IP mix and is subject to change based on the availability of additional product detail.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8110"/>
                <wp:effectExtent l="0" t="0" r="0" b="0"/>
                <wp:wrapNone/>
                <wp:docPr id="19" name="Frame1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91BD"/>
          <w:sz w:val="20"/>
        </w:rPr>
      </w:pPr>
      <w:r>
        <w:rPr>
          <w:rFonts w:ascii="Times New Roman;sans-serif" w:hAnsi="Times New Roman;sans-serif"/>
          <w:b/>
          <w:color w:val="0091BD"/>
          <w:sz w:val="20"/>
        </w:rPr>
        <w:t>Number of Arm-based chips reported as shipped - for the period and cumulative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most of our customers, and those contracted through Arm China, furnish us (directly or via Arm China) with royalty reports setting forth the actual number of Arm-powered chips they shipped in the immediately preceding quarter. Royalty reports received in the 12-month period from April 1 to March 31 of each year relate to chip shipments made in the period from January 1 to December 31 of each year. We also perform various procedures to assess customer data related to royalties for reasonableness, and our license agreements generally include rights for us to audit the books and records of our customers to verify certain types of customer data.</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number of chips reported as shipped by our customers as a key performance indicator because it represents the acceptance of our products by companies who use chips in their products (e.g., our customers’ customers). The number of chips shipped also provides insight into chip pricing and volumes in different end markets, which helps inform our pricing models and competitive positioning.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number of Arm-based chips reported as shipped are from inception to date. This figure includes our customers' adjustments on the number of Arm-based chips reported as shipped in prior periods. We consider the cumulative number of Arm-based chips reported as shipped by our customers as a key performance indicator because it represents the scale of expansion of Arm-based products.</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Number of extant Arm Total Access and Arm Flexible Access licenses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we track the number of extant Arm Total Access and Arm Flexible Access licenses with our customers, and those contracted through Arm China. We believe that, over time, many of our customers will transition to either an Arm Total Access or Arm Flexible Access license to access our products. This transition enables us and our customers to focus less on contract negotiations and more on how our products can be deployed in our customers’ future chips.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Annualized contract value ("ACV")</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we track the ACV relating to licensing agreements signed with our customers and those contracted through Arm China per the aggregate license fee as shared under the IPLA.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TLA, are deemed to be active for, and annualized over, three years based on the historical licensing patterns of our customers. The aggregate license fee shared by Arm China is also deemed to be active for, and annualized over, three years.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Remaining performance obligations ("RPO")</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RPO represents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Arm has elected to exclude potential future royalty receipts from the disclosure of RPO. Revenue recognition occurs upon delivery or beginning of license term, whichever is later.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8110"/>
                <wp:effectExtent l="0" t="0" r="0" b="0"/>
                <wp:wrapNone/>
                <wp:docPr id="20" name="Frame1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14</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Non-GAAP financial measures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utilize and present financial measures that are not calculated and presented in accordance with GAAP. Our non-GAAP financial measures include non-GAAP cost of sales, non-GAAP gross profit, non-GAAP gross profit margin, non-GAAP research and development operating expenses, non-GAAP selling, general and administrative operating expenses, non-GAAP impairment of long-lived assets operating expenses, non-GAAP disposal, restructuring and other operating expense, net, non-GAAP operating expense, non-GAAP operating income (loss), non-GAAP operating profit margin, non-GAAP income (loss) from equity investments, net, non-GAAP interest income, net, non-GAAP other non-operating income (loss), net, non-GAAP income before income taxes, net, non-GAAP net income (loss), non-GAAP basic and diluted net income per share attributable to ordinary shareholders, free cash flow, and free cash flow TTM.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measures because they 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pStyle w:val="TextBody"/>
        <w:bidi w:val="0"/>
        <w:spacing w:lineRule="auto" w:line="268" w:before="0" w:after="0"/>
        <w:jc w:val="both"/>
        <w:rPr/>
      </w:pPr>
      <w:r>
        <w:rPr>
          <w:rFonts w:ascii="Times New Roman;sans-serif" w:hAnsi="Times New Roman;sans-serif"/>
          <w:b w:val="false"/>
          <w:color w:val="000000"/>
          <w:sz w:val="20"/>
        </w:rPr>
        <w:t xml:space="preserve">Non-GAAP financial measures presented herein exclude acquisition-related intangible asset amortization,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w:t>
      </w:r>
      <w:r>
        <w:rPr>
          <w:rFonts w:ascii="Times New Roman;sans-serif" w:hAnsi="Times New Roman;sans-serif"/>
          <w:b w:val="false"/>
          <w:color w:val="231F20"/>
          <w:sz w:val="20"/>
        </w:rPr>
        <w:t xml:space="preserve">one-time employee benefit related to the </w:t>
      </w:r>
      <w:r>
        <w:rPr>
          <w:rFonts w:ascii="Times New Roman;sans-serif" w:hAnsi="Times New Roman;sans-serif"/>
          <w:b w:val="false"/>
          <w:color w:val="000000"/>
          <w:sz w:val="20"/>
        </w:rPr>
        <w:t>Arm Limited All Employee Plan 2019 (“2019 AEP”), costs associated with disposal activities, impairment of long-lived assets, restructuring and related costs, public company readiness costs, other operating income (expenses), net, (income) loss from equity method investments, gain on disposal of business, and income tax effect on non-GAAP adjustments.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8110"/>
                <wp:effectExtent l="0" t="0" r="0" b="0"/>
                <wp:wrapNone/>
                <wp:docPr id="21" name="Frame1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GAAP to Non-GAAP results:</w:t>
      </w:r>
    </w:p>
    <w:tbl>
      <w:tblPr>
        <w:tblW w:w="10560"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47"/>
        <w:gridCol w:w="588"/>
        <w:gridCol w:w="306"/>
        <w:gridCol w:w="409"/>
        <w:gridCol w:w="848"/>
        <w:gridCol w:w="229"/>
        <w:gridCol w:w="295"/>
        <w:gridCol w:w="635"/>
        <w:gridCol w:w="166"/>
        <w:gridCol w:w="218"/>
        <w:gridCol w:w="470"/>
        <w:gridCol w:w="123"/>
        <w:gridCol w:w="215"/>
        <w:gridCol w:w="445"/>
        <w:gridCol w:w="121"/>
        <w:gridCol w:w="109"/>
        <w:gridCol w:w="109"/>
        <w:gridCol w:w="109"/>
        <w:gridCol w:w="109"/>
        <w:gridCol w:w="109"/>
        <w:gridCol w:w="109"/>
        <w:gridCol w:w="273"/>
        <w:gridCol w:w="565"/>
        <w:gridCol w:w="153"/>
        <w:gridCol w:w="258"/>
        <w:gridCol w:w="574"/>
        <w:gridCol w:w="144"/>
        <w:gridCol w:w="319"/>
        <w:gridCol w:w="713"/>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18"/>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480"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 (equity settled) (1)(2)(3)</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Employer taxes related to SBC, net of R&amp;D tax incentives (4)</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One-time employee benefit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loss from equity method investments, net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1,032,360,816</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1,032,360,816</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1,057,533,533</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1,057,533,533</w:t>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$195 million for the three months ended March 31, 2024.</w:t>
      </w:r>
    </w:p>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(2)    Refer to page </w:t>
      </w:r>
      <w:hyperlink w:anchor="i9c3c15d17b444d27a262ae7b0c7a2196_216">
        <w:r>
          <w:rPr>
            <w:rStyle w:val="InternetLink"/>
            <w:rFonts w:ascii="Times New Roman;sans-serif" w:hAnsi="Times New Roman;sans-serif"/>
            <w:b w:val="false"/>
            <w:color w:val="000000"/>
            <w:sz w:val="16"/>
            <w:u w:val="single"/>
          </w:rPr>
          <w:t>20</w:t>
        </w:r>
      </w:hyperlink>
      <w:r>
        <w:rPr>
          <w:color w:val="000000"/>
        </w:rPr>
        <w:t xml:space="preserve"> </w:t>
      </w:r>
      <w:r>
        <w:rPr>
          <w:rFonts w:ascii="Times New Roman;sans-serif" w:hAnsi="Times New Roman;sans-serif"/>
          <w:b w:val="false"/>
          <w:color w:val="000000"/>
          <w:sz w:val="16"/>
        </w:rPr>
        <w:t>for a summary of share-based compensation cost recognized in the Condensed Consolidated Income Statements.</w:t>
      </w:r>
    </w:p>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(3)    Refer to page </w:t>
      </w:r>
      <w:hyperlink w:anchor="i9c3c15d17b444d27a262ae7b0c7a2196_216">
        <w:r>
          <w:rPr>
            <w:rStyle w:val="InternetLink"/>
            <w:rFonts w:ascii="Times New Roman;sans-serif" w:hAnsi="Times New Roman;sans-serif"/>
            <w:b w:val="false"/>
            <w:color w:val="000000"/>
            <w:sz w:val="16"/>
            <w:u w:val="single"/>
          </w:rPr>
          <w:t>20</w:t>
        </w:r>
      </w:hyperlink>
      <w:r>
        <w:rPr>
          <w:color w:val="000000"/>
        </w:rPr>
        <w:t xml:space="preserve"> </w:t>
      </w:r>
      <w:r>
        <w:rPr>
          <w:rFonts w:ascii="Times New Roman;sans-serif" w:hAnsi="Times New Roman;sans-serif"/>
          <w:b w:val="false"/>
          <w:color w:val="000000"/>
          <w:sz w:val="16"/>
        </w:rPr>
        <w:t>for a summary of share-based compensation liability-classified cost recognized in the Condensed Consolidated Income Statements.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employer taxes related to share-based compensation (“SBC”) for equity-classified awards, net of the research and development ("R&amp;D") tax incentives associated with these taxes.</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one-time employee benefit related to the Arm Limited All Employee Plan 2019 (“2019 AEP”).</w:t>
      </w:r>
    </w:p>
    <w:p>
      <w:pPr>
        <w:pStyle w:val="TextBody"/>
        <w:bidi w:val="0"/>
        <w:spacing w:before="60" w:after="283"/>
        <w:jc w:val="both"/>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8110"/>
                <wp:effectExtent l="0" t="0" r="0" b="0"/>
                <wp:wrapNone/>
                <wp:docPr id="22" name="Frame1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177"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47"/>
        <w:gridCol w:w="588"/>
        <w:gridCol w:w="306"/>
        <w:gridCol w:w="409"/>
        <w:gridCol w:w="848"/>
        <w:gridCol w:w="229"/>
        <w:gridCol w:w="302"/>
        <w:gridCol w:w="625"/>
        <w:gridCol w:w="169"/>
        <w:gridCol w:w="109"/>
        <w:gridCol w:w="109"/>
        <w:gridCol w:w="211"/>
        <w:gridCol w:w="437"/>
        <w:gridCol w:w="118"/>
        <w:gridCol w:w="109"/>
        <w:gridCol w:w="231"/>
        <w:gridCol w:w="480"/>
        <w:gridCol w:w="130"/>
        <w:gridCol w:w="109"/>
        <w:gridCol w:w="109"/>
        <w:gridCol w:w="196"/>
        <w:gridCol w:w="406"/>
        <w:gridCol w:w="109"/>
        <w:gridCol w:w="273"/>
        <w:gridCol w:w="565"/>
        <w:gridCol w:w="153"/>
        <w:gridCol w:w="269"/>
        <w:gridCol w:w="557"/>
        <w:gridCol w:w="150"/>
        <w:gridCol w:w="319"/>
        <w:gridCol w:w="713"/>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1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973" w:type="dxa"/>
            <w:gridSpan w:val="13"/>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 (equity settled) (1)(2)(3)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on disposal of business</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loss from equity method investments, net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1,029,150,740</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1,029,150,740</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$164 million for the three months ended March 31, 2023. For non-GAAP purposes, we adjust for those awards that are liability-classified pre-IPO but will be equity settled after IPO.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(2)    Refer to page </w:t>
      </w:r>
      <w:hyperlink w:anchor="i9c3c15d17b444d27a262ae7b0c7a2196_216">
        <w:r>
          <w:rPr>
            <w:rStyle w:val="InternetLink"/>
            <w:rFonts w:ascii="Times New Roman;sans-serif" w:hAnsi="Times New Roman;sans-serif"/>
            <w:b w:val="false"/>
            <w:color w:val="000000"/>
            <w:sz w:val="16"/>
            <w:u w:val="single"/>
          </w:rPr>
          <w:t>20</w:t>
        </w:r>
      </w:hyperlink>
      <w:r>
        <w:rPr>
          <w:color w:val="000000"/>
        </w:rPr>
        <w:t xml:space="preserve"> </w:t>
      </w:r>
      <w:r>
        <w:rPr>
          <w:rFonts w:ascii="Times New Roman;sans-serif" w:hAnsi="Times New Roman;sans-serif"/>
          <w:b w:val="false"/>
          <w:color w:val="000000"/>
          <w:sz w:val="16"/>
        </w:rPr>
        <w:t>for a summary of share-based compensation cost recognized in the Condensed Consolidated Income Statements.</w:t>
      </w:r>
    </w:p>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(3)    Refer to page </w:t>
      </w:r>
      <w:hyperlink w:anchor="i9c3c15d17b444d27a262ae7b0c7a2196_216">
        <w:r>
          <w:rPr>
            <w:rStyle w:val="InternetLink"/>
            <w:rFonts w:ascii="Times New Roman;sans-serif" w:hAnsi="Times New Roman;sans-serif"/>
            <w:b w:val="false"/>
            <w:color w:val="000000"/>
            <w:sz w:val="16"/>
            <w:u w:val="single"/>
          </w:rPr>
          <w:t>20</w:t>
        </w:r>
      </w:hyperlink>
      <w:r>
        <w:rPr>
          <w:color w:val="000000"/>
        </w:rPr>
        <w:t xml:space="preserve"> </w:t>
      </w:r>
      <w:r>
        <w:rPr>
          <w:rFonts w:ascii="Times New Roman;sans-serif" w:hAnsi="Times New Roman;sans-serif"/>
          <w:b w:val="false"/>
          <w:color w:val="000000"/>
          <w:sz w:val="16"/>
        </w:rPr>
        <w:t>for a summary of share-based compensation liability-classified cost recognized in the Condensed Consolidated Income Statements.</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8110"/>
                <wp:effectExtent l="0" t="0" r="0" b="0"/>
                <wp:wrapNone/>
                <wp:docPr id="23" name="Frame2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949"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25"/>
        <w:gridCol w:w="638"/>
        <w:gridCol w:w="278"/>
        <w:gridCol w:w="409"/>
        <w:gridCol w:w="848"/>
        <w:gridCol w:w="229"/>
        <w:gridCol w:w="249"/>
        <w:gridCol w:w="707"/>
        <w:gridCol w:w="140"/>
        <w:gridCol w:w="218"/>
        <w:gridCol w:w="470"/>
        <w:gridCol w:w="123"/>
        <w:gridCol w:w="215"/>
        <w:gridCol w:w="445"/>
        <w:gridCol w:w="121"/>
        <w:gridCol w:w="211"/>
        <w:gridCol w:w="437"/>
        <w:gridCol w:w="118"/>
        <w:gridCol w:w="231"/>
        <w:gridCol w:w="480"/>
        <w:gridCol w:w="130"/>
        <w:gridCol w:w="109"/>
        <w:gridCol w:w="109"/>
        <w:gridCol w:w="109"/>
        <w:gridCol w:w="109"/>
        <w:gridCol w:w="273"/>
        <w:gridCol w:w="565"/>
        <w:gridCol w:w="153"/>
        <w:gridCol w:w="258"/>
        <w:gridCol w:w="574"/>
        <w:gridCol w:w="144"/>
        <w:gridCol w:w="291"/>
        <w:gridCol w:w="74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Fiscal Year Ended March 31, 2024</w:t>
            </w:r>
          </w:p>
        </w:tc>
        <w:tc>
          <w:tcPr>
            <w:tcW w:w="3262" w:type="dxa"/>
            <w:gridSpan w:val="10"/>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 (equity settled) (1)(2)(3)</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Employer taxes related to SBC, net of R&amp;D tax incentives (4)</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One-time employee benefit (5)</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income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loss from equity method investments, net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from continuing operations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1,027,443,122</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1,027,443,122</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1,044,497,032</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1,044,497,032</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$1,070 million for the fiscal year ended March 31, 2024. For non-GAAP purposes, we adjust for those awards that are liability-classified pre-IPO but will be equity settled after IPO.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(2)    Refer to page </w:t>
      </w:r>
      <w:hyperlink w:anchor="i9c3c15d17b444d27a262ae7b0c7a2196_216">
        <w:r>
          <w:rPr>
            <w:rStyle w:val="InternetLink"/>
            <w:rFonts w:ascii="Times New Roman;sans-serif" w:hAnsi="Times New Roman;sans-serif"/>
            <w:b w:val="false"/>
            <w:color w:val="000000"/>
            <w:sz w:val="16"/>
            <w:u w:val="single"/>
          </w:rPr>
          <w:t>20</w:t>
        </w:r>
      </w:hyperlink>
      <w:r>
        <w:rPr>
          <w:color w:val="000000"/>
        </w:rPr>
        <w:t xml:space="preserve"> </w:t>
      </w:r>
      <w:r>
        <w:rPr>
          <w:rFonts w:ascii="Times New Roman;sans-serif" w:hAnsi="Times New Roman;sans-serif"/>
          <w:b w:val="false"/>
          <w:color w:val="000000"/>
          <w:sz w:val="16"/>
        </w:rPr>
        <w:t>for a summary of share-based compensation cost recognized in the Condensed Consolidated Income Statements.</w:t>
      </w:r>
    </w:p>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(3)    Refer to page </w:t>
      </w:r>
      <w:hyperlink w:anchor="i9c3c15d17b444d27a262ae7b0c7a2196_216">
        <w:r>
          <w:rPr>
            <w:rStyle w:val="InternetLink"/>
            <w:rFonts w:ascii="Times New Roman;sans-serif" w:hAnsi="Times New Roman;sans-serif"/>
            <w:b w:val="false"/>
            <w:color w:val="000000"/>
            <w:sz w:val="16"/>
            <w:u w:val="single"/>
          </w:rPr>
          <w:t>20</w:t>
        </w:r>
      </w:hyperlink>
      <w:r>
        <w:rPr>
          <w:color w:val="000000"/>
        </w:rPr>
        <w:t xml:space="preserve"> </w:t>
      </w:r>
      <w:r>
        <w:rPr>
          <w:rFonts w:ascii="Times New Roman;sans-serif" w:hAnsi="Times New Roman;sans-serif"/>
          <w:b w:val="false"/>
          <w:color w:val="000000"/>
          <w:sz w:val="16"/>
        </w:rPr>
        <w:t>for a summary of share-based compensation liability-classified cost recognized in the Condensed Consolidated Income Statements.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employer taxes related to share-based compensation for equity-classified awards, net of the research and development tax incentives associated with these taxes.</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one-time employee benefit related to the Arm Limited All Employee Plan 2019 (“2019 AEP”).</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(6)    Non-GAAP net income from continuing operations includes $26 million of employer taxes related to SBC, net of the R&amp;D tax incentives and the associated $9 million of income tax effect on non-GAAP adjustments which has been recast across historical periods for trend purposes.</w:t>
      </w:r>
    </w:p>
    <w:p>
      <w:pPr>
        <w:pStyle w:val="TextBody"/>
        <w:bidi w:val="0"/>
        <w:spacing w:before="60" w:after="283"/>
        <w:ind w:left="0" w:right="0" w:hanging="27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8110"/>
                <wp:effectExtent l="0" t="0" r="0" b="0"/>
                <wp:wrapNone/>
                <wp:docPr id="24" name="Frame2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both"/>
        <w:rPr/>
      </w:pPr>
      <w:r>
        <w:rPr/>
      </w:r>
    </w:p>
    <w:tbl>
      <w:tblPr>
        <w:tblW w:w="12494"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25"/>
        <w:gridCol w:w="638"/>
        <w:gridCol w:w="278"/>
        <w:gridCol w:w="409"/>
        <w:gridCol w:w="848"/>
        <w:gridCol w:w="229"/>
        <w:gridCol w:w="302"/>
        <w:gridCol w:w="625"/>
        <w:gridCol w:w="169"/>
        <w:gridCol w:w="109"/>
        <w:gridCol w:w="109"/>
        <w:gridCol w:w="211"/>
        <w:gridCol w:w="437"/>
        <w:gridCol w:w="118"/>
        <w:gridCol w:w="109"/>
        <w:gridCol w:w="231"/>
        <w:gridCol w:w="480"/>
        <w:gridCol w:w="130"/>
        <w:gridCol w:w="109"/>
        <w:gridCol w:w="393"/>
        <w:gridCol w:w="814"/>
        <w:gridCol w:w="219"/>
        <w:gridCol w:w="196"/>
        <w:gridCol w:w="406"/>
        <w:gridCol w:w="109"/>
        <w:gridCol w:w="273"/>
        <w:gridCol w:w="565"/>
        <w:gridCol w:w="153"/>
        <w:gridCol w:w="269"/>
        <w:gridCol w:w="557"/>
        <w:gridCol w:w="150"/>
        <w:gridCol w:w="291"/>
        <w:gridCol w:w="74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2" w:type="dxa"/>
            <w:gridSpan w:val="22"/>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Fiscal Year Ended March 31, 2023</w:t>
            </w:r>
          </w:p>
        </w:tc>
        <w:tc>
          <w:tcPr>
            <w:tcW w:w="3864"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 (equity settled) (1)(2)(3)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on disposal of business</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loss from equity method investments, net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2,573 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1,027,505,008</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1,027,505,008</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$326 million for the fiscal year ended March 31, 2023. For non-GAAP purposes, we adjust for those awards that are liability-classified pre-IPO but will be equity settled after IPO.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(2)    Refer to page </w:t>
      </w:r>
      <w:hyperlink w:anchor="i9c3c15d17b444d27a262ae7b0c7a2196_216">
        <w:r>
          <w:rPr>
            <w:rStyle w:val="InternetLink"/>
            <w:rFonts w:ascii="Times New Roman;sans-serif" w:hAnsi="Times New Roman;sans-serif"/>
            <w:b w:val="false"/>
            <w:color w:val="000000"/>
            <w:sz w:val="16"/>
            <w:u w:val="single"/>
          </w:rPr>
          <w:t>20</w:t>
        </w:r>
      </w:hyperlink>
      <w:r>
        <w:rPr>
          <w:color w:val="000000"/>
        </w:rPr>
        <w:t xml:space="preserve"> </w:t>
      </w:r>
      <w:r>
        <w:rPr>
          <w:rFonts w:ascii="Times New Roman;sans-serif" w:hAnsi="Times New Roman;sans-serif"/>
          <w:b w:val="false"/>
          <w:color w:val="000000"/>
          <w:sz w:val="16"/>
        </w:rPr>
        <w:t>for a summary of share-based compensation cost recognized in the Condensed Consolidated Income Statements.</w:t>
      </w:r>
    </w:p>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(3)    Refer to page </w:t>
      </w:r>
      <w:hyperlink w:anchor="i9c3c15d17b444d27a262ae7b0c7a2196_216">
        <w:r>
          <w:rPr>
            <w:rStyle w:val="InternetLink"/>
            <w:rFonts w:ascii="Times New Roman;sans-serif" w:hAnsi="Times New Roman;sans-serif"/>
            <w:b w:val="false"/>
            <w:color w:val="000000"/>
            <w:sz w:val="16"/>
            <w:u w:val="single"/>
          </w:rPr>
          <w:t>20</w:t>
        </w:r>
      </w:hyperlink>
      <w:r>
        <w:rPr>
          <w:color w:val="000000"/>
        </w:rPr>
        <w:t xml:space="preserve"> </w:t>
      </w:r>
      <w:r>
        <w:rPr>
          <w:rFonts w:ascii="Times New Roman;sans-serif" w:hAnsi="Times New Roman;sans-serif"/>
          <w:b w:val="false"/>
          <w:color w:val="000000"/>
          <w:sz w:val="16"/>
        </w:rPr>
        <w:t>for a summary of share-based compensation liability-classified cost recognized in the Condensed Consolidated Income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120" w:after="12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8110"/>
                <wp:effectExtent l="0" t="0" r="0" b="0"/>
                <wp:wrapNone/>
                <wp:docPr id="25" name="Frame2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20" w:after="120"/>
        <w:ind w:left="0" w:right="0" w:hanging="270"/>
        <w:jc w:val="left"/>
        <w:rPr/>
      </w:pPr>
      <w:r>
        <w:rPr/>
      </w:r>
    </w:p>
    <w:p>
      <w:pPr>
        <w:pStyle w:val="TextBody"/>
        <w:bidi w:val="0"/>
        <w:spacing w:lineRule="auto" w:line="288" w:before="120" w:after="12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(2) A summary of share-based compensation cost recognized in the Condensed Consolidated Income Statements is as follows:</w:t>
      </w:r>
    </w:p>
    <w:tbl>
      <w:tblPr>
        <w:tblW w:w="7835" w:type="dxa"/>
        <w:jc w:val="left"/>
        <w:tblInd w:w="0" w:type="dxa"/>
        <w:tblLayout w:type="fixed"/>
        <w:tblCellMar>
          <w:top w:w="28" w:type="dxa"/>
          <w:left w:w="28" w:type="dxa"/>
          <w:bottom w:w="28" w:type="dxa"/>
          <w:right w:w="28" w:type="dxa"/>
        </w:tblCellMar>
      </w:tblPr>
      <w:tblGrid>
        <w:gridCol w:w="913"/>
        <w:gridCol w:w="799"/>
        <w:gridCol w:w="807"/>
        <w:gridCol w:w="109"/>
        <w:gridCol w:w="109"/>
        <w:gridCol w:w="109"/>
        <w:gridCol w:w="264"/>
        <w:gridCol w:w="568"/>
        <w:gridCol w:w="147"/>
        <w:gridCol w:w="147"/>
        <w:gridCol w:w="147"/>
        <w:gridCol w:w="147"/>
        <w:gridCol w:w="264"/>
        <w:gridCol w:w="568"/>
        <w:gridCol w:w="147"/>
        <w:gridCol w:w="109"/>
        <w:gridCol w:w="109"/>
        <w:gridCol w:w="109"/>
        <w:gridCol w:w="226"/>
        <w:gridCol w:w="643"/>
        <w:gridCol w:w="126"/>
        <w:gridCol w:w="126"/>
        <w:gridCol w:w="126"/>
        <w:gridCol w:w="126"/>
        <w:gridCol w:w="226"/>
        <w:gridCol w:w="486"/>
        <w:gridCol w:w="178"/>
      </w:tblGrid>
      <w:tr>
        <w:trPr/>
        <w:tc>
          <w:tcPr>
            <w:tcW w:w="91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March 31,</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(3) A summary of share-based compensation liability-classified cost recognized in the Condensed Consolidated Income Statements is as follows:</w:t>
      </w:r>
    </w:p>
    <w:tbl>
      <w:tblPr>
        <w:tblW w:w="7833" w:type="dxa"/>
        <w:jc w:val="left"/>
        <w:tblInd w:w="0" w:type="dxa"/>
        <w:tblLayout w:type="fixed"/>
        <w:tblCellMar>
          <w:top w:w="28" w:type="dxa"/>
          <w:left w:w="28" w:type="dxa"/>
          <w:bottom w:w="28" w:type="dxa"/>
          <w:right w:w="28" w:type="dxa"/>
        </w:tblCellMar>
      </w:tblPr>
      <w:tblGrid>
        <w:gridCol w:w="913"/>
        <w:gridCol w:w="799"/>
        <w:gridCol w:w="807"/>
        <w:gridCol w:w="109"/>
        <w:gridCol w:w="109"/>
        <w:gridCol w:w="109"/>
        <w:gridCol w:w="266"/>
        <w:gridCol w:w="552"/>
        <w:gridCol w:w="148"/>
        <w:gridCol w:w="148"/>
        <w:gridCol w:w="148"/>
        <w:gridCol w:w="148"/>
        <w:gridCol w:w="266"/>
        <w:gridCol w:w="573"/>
        <w:gridCol w:w="148"/>
        <w:gridCol w:w="109"/>
        <w:gridCol w:w="109"/>
        <w:gridCol w:w="109"/>
        <w:gridCol w:w="256"/>
        <w:gridCol w:w="432"/>
        <w:gridCol w:w="142"/>
        <w:gridCol w:w="142"/>
        <w:gridCol w:w="142"/>
        <w:gridCol w:w="142"/>
        <w:gridCol w:w="256"/>
        <w:gridCol w:w="550"/>
        <w:gridCol w:w="201"/>
      </w:tblGrid>
      <w:tr>
        <w:trPr/>
        <w:tc>
          <w:tcPr>
            <w:tcW w:w="91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March 31,</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Non-GAAP free cash flow to Net cash provided by operating activities, the most directly comparable GAAP cash flow measure:</w:t>
      </w:r>
    </w:p>
    <w:p>
      <w:pPr>
        <w:pStyle w:val="TextBody"/>
        <w:bidi w:val="0"/>
        <w:spacing w:before="0" w:after="0"/>
        <w:jc w:val="center"/>
        <w:rPr/>
      </w:pPr>
      <w:r>
        <w:rPr/>
      </w:r>
    </w:p>
    <w:tbl>
      <w:tblPr>
        <w:tblW w:w="8270" w:type="dxa"/>
        <w:jc w:val="left"/>
        <w:tblInd w:w="0" w:type="dxa"/>
        <w:tblLayout w:type="fixed"/>
        <w:tblCellMar>
          <w:top w:w="28" w:type="dxa"/>
          <w:left w:w="28" w:type="dxa"/>
          <w:bottom w:w="28" w:type="dxa"/>
          <w:right w:w="28" w:type="dxa"/>
        </w:tblCellMar>
      </w:tblPr>
      <w:tblGrid>
        <w:gridCol w:w="1071"/>
        <w:gridCol w:w="940"/>
        <w:gridCol w:w="943"/>
        <w:gridCol w:w="109"/>
        <w:gridCol w:w="109"/>
        <w:gridCol w:w="109"/>
        <w:gridCol w:w="264"/>
        <w:gridCol w:w="568"/>
        <w:gridCol w:w="147"/>
        <w:gridCol w:w="147"/>
        <w:gridCol w:w="147"/>
        <w:gridCol w:w="147"/>
        <w:gridCol w:w="264"/>
        <w:gridCol w:w="568"/>
        <w:gridCol w:w="147"/>
        <w:gridCol w:w="109"/>
        <w:gridCol w:w="109"/>
        <w:gridCol w:w="109"/>
        <w:gridCol w:w="226"/>
        <w:gridCol w:w="643"/>
        <w:gridCol w:w="126"/>
        <w:gridCol w:w="126"/>
        <w:gridCol w:w="126"/>
        <w:gridCol w:w="126"/>
        <w:gridCol w:w="226"/>
        <w:gridCol w:w="486"/>
        <w:gridCol w:w="178"/>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March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Adjusted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intangible asset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8110"/>
                <wp:effectExtent l="0" t="0" r="0" b="0"/>
                <wp:wrapNone/>
                <wp:docPr id="26" name="Frame2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20</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This shareholder letter contains forward-looking statements that reflect our plans, beliefs, expectations and current views with respect to, among other things, future events and financial performance. Our actual results could differ materially from the forward-looking statements included herein. Statements regarding our future and projections relating to revenue, cost of sales expenses, costs, income (loss), and potential growth opportunities are typical of such statements. Factors that could cause or contribute to such differences include, but are not limited to, those discussed in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IPO Prospectus.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contains forward-looking statements within the meaning of Section 27A of the Securities Act of 1933, as amended, and Section 21E of the Securities Exchange Act of 1934, as amended, relating to our operations, results of operations and other matters that are based on our current expectations, estimates, assumptions and projections.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are based upon current expectations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 We caution that you should not place undue reliance on any of our forward-looking statements. We undertake no obligation to update forward-looking statements to reflect developments or information obtained after the date hereof and disclaim any obligation to do so except as required by applicable laws.</w:t>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8110"/>
                <wp:effectExtent l="0" t="0" r="0" b="0"/>
                <wp:wrapNone/>
                <wp:docPr id="27" name="Frame2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9032</Words>
  <Characters>50041</Characters>
  <CharactersWithSpaces>58328</CharactersWithSpaces>
  <Paragraphs>1855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