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8c1b28ac898243e7b65bfdb5ec79cb49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month of July, 2026 </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40"/>
        </w:rPr>
      </w:pPr>
      <w:r>
        <w:rPr>
          <w:rFonts w:ascii="Times New Roman;serif" w:hAnsi="Times New Roman;serif"/>
          <w:b/>
          <w:color w:val="000000"/>
          <w:sz w:val="40"/>
        </w:rPr>
        <w:t>Arm Holdings plc</w:t>
      </w:r>
    </w:p>
    <w:p>
      <w:pPr>
        <w:pStyle w:val="TextBody"/>
        <w:bidi w:val="0"/>
        <w:spacing w:before="100" w:after="283"/>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1"/>
        <w:gridCol w:w="1304"/>
      </w:tblGrid>
      <w:tr>
        <w:trPr/>
        <w:tc>
          <w:tcPr>
            <w:tcW w:w="10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110 Fulbourn Road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Cambridge CB1 9NJ</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68" w:before="60" w:after="283"/>
        <w:jc w:val="center"/>
        <w:rPr/>
      </w:pPr>
      <w:r>
        <w:rPr>
          <w:rFonts w:ascii="Times New Roman;serif" w:hAnsi="Times New Roman;serif"/>
          <w:b w:val="false"/>
          <w:color w:val="000000"/>
          <w:sz w:val="20"/>
          <w:shd w:fill="FFFFFF" w:val="clear"/>
        </w:rPr>
        <w:t xml:space="preserve">Quarterly report for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w:t>
      </w:r>
    </w:p>
    <w:p>
      <w:pPr>
        <w:pStyle w:val="TextBody"/>
        <w:bidi w:val="0"/>
        <w:spacing w:before="0" w:after="0"/>
        <w:jc w:val="center"/>
        <w:rPr/>
      </w:pPr>
      <w:r>
        <w:rPr/>
      </w:r>
    </w:p>
    <w:p>
      <w:pPr>
        <w:pStyle w:val="TextBody"/>
        <w:bidi w:val="0"/>
        <w:spacing w:before="60" w:after="283"/>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on Form 6-K shall be deemed to be incorporated by reference into the registration statements on Form S-8 of Arm Holdings plc (File Nos. 333-274544, 333-287614, and 333-295884), including any prospectuses forming a part of such registration statements, and to be a part thereof from the date on which this Report on Form 6-K is filed with the U.S. Securities and Exchange Commission (the “SEC”), to the extent not superseded by documents or reports subsequently filed or furnished.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Background and Certain Defined Terms</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this Report, unless otherwise specified, “the Company,” “Arm,” “we,” “our” and “us” refer to Arm Holdings plc and its wholly owned subsidiaries, as the context may require.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231F20"/>
          <w:sz w:val="20"/>
        </w:rPr>
        <w:t xml:space="preserve">The term “Annual Report” refers to Arm’s annual report on Form 20-F for the fiscal year ended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filed with the SEC on </w:t>
      </w:r>
      <w:r>
        <w:rPr>
          <w:rFonts w:ascii="Times New Roman;serif" w:hAnsi="Times New Roman;serif"/>
          <w:b w:val="false"/>
          <w:color w:val="000000"/>
          <w:sz w:val="20"/>
        </w:rPr>
        <w:t>May 26, 2026</w:t>
      </w:r>
      <w:r>
        <w:rPr>
          <w:rFonts w:ascii="Times New Roman;serif" w:hAnsi="Times New Roman;serif"/>
          <w:b w:val="false"/>
          <w:color w:val="231F2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both"/>
        <w:rPr/>
      </w:pPr>
      <w:r>
        <w:rPr/>
      </w:r>
    </w:p>
    <w:tbl>
      <w:tblPr>
        <w:tblW w:w="10050" w:type="dxa"/>
        <w:jc w:val="left"/>
        <w:tblInd w:w="0" w:type="dxa"/>
        <w:tblLayout w:type="fixed"/>
        <w:tblCellMar>
          <w:top w:w="28" w:type="dxa"/>
          <w:left w:w="28" w:type="dxa"/>
          <w:bottom w:w="28" w:type="dxa"/>
          <w:right w:w="28" w:type="dxa"/>
        </w:tblCellMar>
      </w:tblPr>
      <w:tblGrid>
        <w:gridCol w:w="3431"/>
        <w:gridCol w:w="3019"/>
        <w:gridCol w:w="3029"/>
        <w:gridCol w:w="167"/>
        <w:gridCol w:w="167"/>
        <w:gridCol w:w="237"/>
      </w:tblGrid>
      <w:tr>
        <w:trPr/>
        <w:tc>
          <w:tcPr>
            <w:tcW w:w="3431"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1b28ac898243e7b65bfdb5ec79cb49_13">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1b28ac898243e7b65bfdb5ec79cb49_16">
              <w:r>
                <w:rPr>
                  <w:rStyle w:val="InternetLink"/>
                  <w:rFonts w:ascii="Times New Roman;serif" w:hAnsi="Times New Roman;serif"/>
                  <w:b w:val="false"/>
                  <w:strike w:val="false"/>
                  <w:dstrike w:val="false"/>
                  <w:color w:val="000000"/>
                  <w:sz w:val="20"/>
                  <w:u w:val="none"/>
                  <w:effect w:val="none"/>
                </w:rPr>
                <w:t>Condensed Consolidated Income Statements</w:t>
              </w:r>
            </w:hyperlink>
            <w:r>
              <w:rPr>
                <w:rFonts w:ascii="Times New Roman;serif" w:hAnsi="Times New Roman;serif"/>
                <w:b w:val="false"/>
                <w:color w:val="000000"/>
                <w:sz w:val="20"/>
              </w:rPr>
              <w:t xml:space="preserve"> for the three months ended June 30, 2026 and 2025</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1b28ac898243e7b65bfdb5ec79cb49_16">
              <w:r>
                <w:rPr>
                  <w:rStyle w:val="InternetLink"/>
                  <w:rFonts w:ascii="Times New Roman;serif" w:hAnsi="Times New Roman;serif"/>
                  <w:b w:val="false"/>
                  <w:strike w:val="false"/>
                  <w:dstrike w:val="false"/>
                  <w:color w:val="000000"/>
                  <w:sz w:val="20"/>
                  <w:u w:val="none"/>
                  <w:effect w:val="none"/>
                </w:rPr>
                <w:t>4</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1b28ac898243e7b65bfdb5ec79cb49_19">
              <w:r>
                <w:rPr>
                  <w:rStyle w:val="InternetLink"/>
                  <w:rFonts w:ascii="Times New Roman;serif" w:hAnsi="Times New Roman;serif"/>
                  <w:b w:val="false"/>
                  <w:strike w:val="false"/>
                  <w:dstrike w:val="false"/>
                  <w:color w:val="000000"/>
                  <w:sz w:val="20"/>
                  <w:u w:val="none"/>
                  <w:effect w:val="none"/>
                </w:rPr>
                <w:t xml:space="preserve">Condensed Consolidated Statements of Comprehensive Income </w:t>
              </w:r>
            </w:hyperlink>
            <w:r>
              <w:rPr>
                <w:rFonts w:ascii="Times New Roman;serif" w:hAnsi="Times New Roman;serif"/>
                <w:b w:val="false"/>
                <w:color w:val="000000"/>
                <w:sz w:val="20"/>
              </w:rPr>
              <w:t>for the three months ended June 30, 2026 and 2025</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1b28ac898243e7b65bfdb5ec79cb49_19">
              <w:r>
                <w:rPr>
                  <w:rStyle w:val="InternetLink"/>
                  <w:rFonts w:ascii="Times New Roman;serif" w:hAnsi="Times New Roman;serif"/>
                  <w:b w:val="false"/>
                  <w:strike w:val="false"/>
                  <w:dstrike w:val="false"/>
                  <w:color w:val="000000"/>
                  <w:sz w:val="20"/>
                  <w:u w:val="none"/>
                  <w:effect w:val="none"/>
                </w:rPr>
                <w:t>5</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1b28ac898243e7b65bfdb5ec79cb49_22">
              <w:r>
                <w:rPr>
                  <w:rStyle w:val="InternetLink"/>
                  <w:rFonts w:ascii="Times New Roman;serif" w:hAnsi="Times New Roman;serif"/>
                  <w:b w:val="false"/>
                  <w:strike w:val="false"/>
                  <w:dstrike w:val="false"/>
                  <w:color w:val="000000"/>
                  <w:sz w:val="20"/>
                  <w:u w:val="none"/>
                  <w:effect w:val="none"/>
                </w:rPr>
                <w:t>Condensed Consolidated Balance Sheets</w:t>
              </w:r>
            </w:hyperlink>
            <w:r>
              <w:rPr>
                <w:rFonts w:ascii="Times New Roman;serif" w:hAnsi="Times New Roman;serif"/>
                <w:b w:val="false"/>
                <w:color w:val="000000"/>
                <w:sz w:val="20"/>
              </w:rPr>
              <w:t xml:space="preserve"> as of June 30, 2026 and March 31, 2026</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1b28ac898243e7b65bfdb5ec79cb49_22">
              <w:r>
                <w:rPr>
                  <w:rStyle w:val="InternetLink"/>
                  <w:rFonts w:ascii="Times New Roman;serif" w:hAnsi="Times New Roman;serif"/>
                  <w:b w:val="false"/>
                  <w:strike w:val="false"/>
                  <w:dstrike w:val="false"/>
                  <w:color w:val="000000"/>
                  <w:sz w:val="20"/>
                  <w:u w:val="none"/>
                  <w:effect w:val="none"/>
                </w:rPr>
                <w:t>6</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1b28ac898243e7b65bfdb5ec79cb49_25">
              <w:r>
                <w:rPr>
                  <w:rStyle w:val="InternetLink"/>
                  <w:rFonts w:ascii="Times New Roman;serif" w:hAnsi="Times New Roman;serif"/>
                  <w:b w:val="false"/>
                  <w:strike w:val="false"/>
                  <w:dstrike w:val="false"/>
                  <w:color w:val="000000"/>
                  <w:sz w:val="20"/>
                  <w:u w:val="none"/>
                  <w:effect w:val="none"/>
                </w:rPr>
                <w:t>Condensed Consolidated Statements of Shareholders’ Equity</w:t>
              </w:r>
            </w:hyperlink>
            <w:r>
              <w:rPr>
                <w:rFonts w:ascii="Times New Roman;serif" w:hAnsi="Times New Roman;serif"/>
                <w:b w:val="false"/>
                <w:color w:val="000000"/>
                <w:sz w:val="20"/>
              </w:rPr>
              <w:t xml:space="preserve"> for the three months ended June 30, 2026 and 2025</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1b28ac898243e7b65bfdb5ec79cb49_25">
              <w:r>
                <w:rPr>
                  <w:rStyle w:val="InternetLink"/>
                  <w:rFonts w:ascii="Times New Roman;serif" w:hAnsi="Times New Roman;serif"/>
                  <w:b w:val="false"/>
                  <w:strike w:val="false"/>
                  <w:dstrike w:val="false"/>
                  <w:color w:val="000000"/>
                  <w:sz w:val="20"/>
                  <w:u w:val="none"/>
                  <w:effect w:val="none"/>
                </w:rPr>
                <w:t>8</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1b28ac898243e7b65bfdb5ec79cb49_31">
              <w:r>
                <w:rPr>
                  <w:rStyle w:val="InternetLink"/>
                  <w:rFonts w:ascii="Times New Roman;serif" w:hAnsi="Times New Roman;serif"/>
                  <w:b w:val="false"/>
                  <w:strike w:val="false"/>
                  <w:dstrike w:val="false"/>
                  <w:color w:val="000000"/>
                  <w:sz w:val="20"/>
                  <w:u w:val="none"/>
                  <w:effect w:val="none"/>
                </w:rPr>
                <w:t>Condensed Consolidated Statements of Cash Flows</w:t>
              </w:r>
            </w:hyperlink>
            <w:r>
              <w:rPr>
                <w:rFonts w:ascii="Times New Roman;serif" w:hAnsi="Times New Roman;serif"/>
                <w:b w:val="false"/>
                <w:color w:val="000000"/>
                <w:sz w:val="20"/>
              </w:rPr>
              <w:t xml:space="preserve"> for the three months ended June 30, 2026 and 2025</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1b28ac898243e7b65bfdb5ec79cb49_31">
              <w:r>
                <w:rPr>
                  <w:rStyle w:val="InternetLink"/>
                  <w:rFonts w:ascii="Times New Roman;serif" w:hAnsi="Times New Roman;serif"/>
                  <w:b w:val="false"/>
                  <w:strike w:val="false"/>
                  <w:dstrike w:val="false"/>
                  <w:color w:val="000000"/>
                  <w:sz w:val="20"/>
                  <w:u w:val="none"/>
                  <w:effect w:val="none"/>
                </w:rPr>
                <w:t>9</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1b28ac898243e7b65bfdb5ec79cb49_34">
              <w:r>
                <w:rPr>
                  <w:rStyle w:val="InternetLink"/>
                  <w:rFonts w:ascii="Times New Roman;serif" w:hAnsi="Times New Roman;serif"/>
                  <w:b w:val="false"/>
                  <w:strike w:val="false"/>
                  <w:dstrike w:val="false"/>
                  <w:color w:val="000000"/>
                  <w:sz w:val="20"/>
                  <w:u w:val="none"/>
                  <w:effect w:val="none"/>
                </w:rPr>
                <w:t>Notes to the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1b28ac898243e7b65bfdb5ec79cb49_34">
              <w:r>
                <w:rPr>
                  <w:rStyle w:val="InternetLink"/>
                  <w:rFonts w:ascii="Times New Roman;serif" w:hAnsi="Times New Roman;serif"/>
                  <w:b w:val="false"/>
                  <w:strike w:val="false"/>
                  <w:dstrike w:val="false"/>
                  <w:color w:val="000000"/>
                  <w:sz w:val="20"/>
                  <w:u w:val="none"/>
                  <w:effect w:val="none"/>
                </w:rPr>
                <w:t>11</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1b28ac898243e7b65bfdb5ec79cb49_121">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1b28ac898243e7b65bfdb5ec79cb49_121">
              <w:r>
                <w:rPr>
                  <w:rStyle w:val="InternetLink"/>
                  <w:rFonts w:ascii="Times New Roman;serif" w:hAnsi="Times New Roman;serif"/>
                  <w:b w:val="false"/>
                  <w:strike w:val="false"/>
                  <w:dstrike w:val="false"/>
                  <w:color w:val="000000"/>
                  <w:sz w:val="20"/>
                  <w:u w:val="none"/>
                  <w:effect w:val="none"/>
                </w:rPr>
                <w:t>30</w:t>
              </w:r>
            </w:hyperlink>
          </w:p>
        </w:tc>
      </w:tr>
      <w:tr>
        <w:trPr/>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1b28ac898243e7b65bfdb5ec79cb49_148">
              <w:r>
                <w:rPr>
                  <w:rStyle w:val="InternetLink"/>
                  <w:rFonts w:ascii="Times New Roman;serif" w:hAnsi="Times New Roman;serif"/>
                  <w:b w:val="false"/>
                  <w:strike w:val="false"/>
                  <w:dstrike w:val="false"/>
                  <w:color w:val="000000"/>
                  <w:sz w:val="20"/>
                  <w:u w:val="none"/>
                  <w:effect w:val="none"/>
                </w:rPr>
                <w:t>Signature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1b28ac898243e7b65bfdb5ec79cb49_148">
              <w:r>
                <w:rPr>
                  <w:rStyle w:val="InternetLink"/>
                  <w:rFonts w:ascii="Times New Roman;serif" w:hAnsi="Times New Roman;serif"/>
                  <w:b w:val="false"/>
                  <w:strike w:val="false"/>
                  <w:dstrike w:val="false"/>
                  <w:color w:val="000000"/>
                  <w:sz w:val="20"/>
                  <w:u w:val="none"/>
                  <w:effect w:val="none"/>
                </w:rPr>
                <w:t>44</w:t>
              </w:r>
            </w:hyperlink>
          </w:p>
        </w:tc>
      </w:tr>
    </w:tbl>
    <w:p>
      <w:pPr>
        <w:pStyle w:val="TextBody"/>
        <w:bidi w:val="0"/>
        <w:spacing w:before="0" w:after="0"/>
        <w:jc w:val="both"/>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120" w:after="240"/>
        <w:ind w:left="0" w:right="0" w:firstLine="540"/>
        <w:jc w:val="both"/>
        <w:rPr/>
      </w:pPr>
      <w:r>
        <w:rPr>
          <w:rFonts w:ascii="Times New Roman;serif" w:hAnsi="Times New Roman;serif"/>
          <w:b w:val="false"/>
          <w:color w:val="000000"/>
          <w:sz w:val="20"/>
        </w:rPr>
        <w:t>The following discussion and analysis of our financial condition, results of operations and notes to the unaudited condensed consolidated financial statements included herein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any of the following: Arm's dependence on the semiconductor and electronics industries and the demand for the products of its customers and customers’ customers; Arm's dependence on the compatibility of its products with the manufacturing and design processes of its customers; Arm’s ability to forecast demand for new products; intense competition; Arm’s development of production silicon products, such as the Arm AGI CPU, compute subsystems, chiplets, complete chip solutions, and other more integrated compute products; changes in Arm’s pricing or its business terms or business model; Arm’s ability to adequately fund its research and development efforts; Arm’s dependence on a limited number of customers for a significant portion of its revenue; Arm's reliance on third parties to market and sell chips and end products incorporating its products and to enhance the value of its licensed products; Arm’s ability to attract new customers and sell additional products to its existing customers; the loss of any of Arm's senior management personnel or one or more key employees or Arm's inability to attract and retain qualified personnel; Arm's ability to develop new products in response to, or in anticipation of, rapid technological changes; risks related to the availability of development tools, systems software, electronic design automation tools and operating systems compatible with its architecture; Arm's ability to protect its proprietary products and its brand, and the costs of protecting such intellectual property rights, particularly as a result of litigation; fluctuation and unpredictability of Arm’s results; Arm's ability to verify royalty amounts owed to it under its licensing agreements; risks related to foreign exchange fluctuations; changes in Arm's effective tax rate; risks associated with organic growth or growth from strategic investments or acquisitions Arm makes, and the risk of failing to effectively manage its growth; risks associated with the slow development of the market for Arm's connectivity, device and data management platform; the possibility of cyberattacks, breaches of Arm's security controls and unauthorized access to its data or a customer’s data; Arm's ability to satisfy data protection, security, privacy or other government- and industry-specific requirements; risks associated with the interests of SoftBank Group Corp., Arm's controlling shareholder, conflicting with the interests of other holders of Arm's ordinary shares and American depositary shares; and effects of global general economic conditions, political factors, war or hostility, pandemics and other events outside of Arm's control. Refer to “</w:t>
      </w:r>
      <w:r>
        <w:rPr>
          <w:rFonts w:ascii="Times New Roman;serif" w:hAnsi="Times New Roman;serif"/>
          <w:b w:val="false"/>
          <w:i/>
          <w:color w:val="000000"/>
          <w:sz w:val="20"/>
        </w:rPr>
        <w:t>Item 3. Key Information—D. Risk Factors</w:t>
      </w:r>
      <w:r>
        <w:rPr>
          <w:color w:val="000000"/>
        </w:rPr>
        <w:t xml:space="preserve">” </w:t>
      </w:r>
      <w:r>
        <w:rPr>
          <w:rFonts w:ascii="Times New Roman;serif" w:hAnsi="Times New Roman;serif"/>
          <w:b w:val="false"/>
          <w:color w:val="000000"/>
          <w:sz w:val="20"/>
        </w:rPr>
        <w:t xml:space="preserve">in our Annual Report for additional risks and uncertainties that may cause Arm’s actual results, levels of activity, performance or achievements to be materially different from the information expressed or implied by forward-looking statements included herein. </w:t>
      </w:r>
    </w:p>
    <w:p>
      <w:pPr>
        <w:pStyle w:val="TextBody"/>
        <w:bidi w:val="0"/>
        <w:spacing w:lineRule="auto" w:line="268" w:before="12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Report on Form 6-K (this “Quarterly Report”)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Quarterly Report, including in the section titled “Management’s Discussion and Analysis of Financial Condition and Results of Operations,”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Quarterly Report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Quarterly Report speaks only as of the date on which this Quarterly Report is furnished, and we do not undertake any obligation to update any forward-looking statement to reflect events or circumstances after the date on which this Quarterly Report is furnished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0" w:after="0"/>
        <w:jc w:val="left"/>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Income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center"/>
        <w:rPr/>
      </w:pPr>
      <w:r>
        <w:rPr/>
      </w:r>
    </w:p>
    <w:tbl>
      <w:tblPr>
        <w:tblW w:w="8064" w:type="dxa"/>
        <w:jc w:val="center"/>
        <w:tblInd w:w="0" w:type="dxa"/>
        <w:tblLayout w:type="fixed"/>
        <w:tblCellMar>
          <w:top w:w="28" w:type="dxa"/>
          <w:left w:w="28" w:type="dxa"/>
          <w:bottom w:w="28" w:type="dxa"/>
          <w:right w:w="28" w:type="dxa"/>
        </w:tblCellMar>
      </w:tblPr>
      <w:tblGrid>
        <w:gridCol w:w="2021"/>
        <w:gridCol w:w="1778"/>
        <w:gridCol w:w="1795"/>
        <w:gridCol w:w="211"/>
        <w:gridCol w:w="511"/>
        <w:gridCol w:w="109"/>
        <w:gridCol w:w="109"/>
        <w:gridCol w:w="109"/>
        <w:gridCol w:w="109"/>
        <w:gridCol w:w="211"/>
        <w:gridCol w:w="511"/>
        <w:gridCol w:w="109"/>
        <w:gridCol w:w="109"/>
        <w:gridCol w:w="109"/>
        <w:gridCol w:w="109"/>
        <w:gridCol w:w="154"/>
      </w:tblGrid>
      <w:tr>
        <w:trPr/>
        <w:tc>
          <w:tcPr>
            <w:tcW w:w="202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restructuring and other operating expenses, net</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operating expenses </w:t>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(loss), net</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before income taxes </w:t>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per share attributable to ordinary shareholders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outstanding</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192" w:before="0" w:after="240"/>
        <w:jc w:val="left"/>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919" w:type="dxa"/>
        <w:jc w:val="center"/>
        <w:tblInd w:w="0" w:type="dxa"/>
        <w:tblLayout w:type="fixed"/>
        <w:tblCellMar>
          <w:top w:w="28" w:type="dxa"/>
          <w:left w:w="28" w:type="dxa"/>
          <w:bottom w:w="28" w:type="dxa"/>
          <w:right w:w="28" w:type="dxa"/>
        </w:tblCellMar>
      </w:tblPr>
      <w:tblGrid>
        <w:gridCol w:w="2364"/>
        <w:gridCol w:w="2079"/>
        <w:gridCol w:w="2096"/>
        <w:gridCol w:w="211"/>
        <w:gridCol w:w="466"/>
        <w:gridCol w:w="109"/>
        <w:gridCol w:w="109"/>
        <w:gridCol w:w="109"/>
        <w:gridCol w:w="109"/>
        <w:gridCol w:w="211"/>
        <w:gridCol w:w="466"/>
        <w:gridCol w:w="109"/>
        <w:gridCol w:w="109"/>
        <w:gridCol w:w="109"/>
        <w:gridCol w:w="109"/>
        <w:gridCol w:w="154"/>
      </w:tblGrid>
      <w:tr>
        <w:trPr/>
        <w:tc>
          <w:tcPr>
            <w:tcW w:w="2364"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and (losses) on available-for-sale debt securities</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of the effective portion of designated cash flow hedges</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192" w:before="0" w:after="240"/>
        <w:jc w:val="left"/>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19"/>
        <w:gridCol w:w="2414"/>
        <w:gridCol w:w="2416"/>
        <w:gridCol w:w="211"/>
        <w:gridCol w:w="721"/>
        <w:gridCol w:w="109"/>
        <w:gridCol w:w="109"/>
        <w:gridCol w:w="109"/>
        <w:gridCol w:w="109"/>
        <w:gridCol w:w="211"/>
        <w:gridCol w:w="721"/>
        <w:gridCol w:w="156"/>
      </w:tblGrid>
      <w:tr>
        <w:trPr/>
        <w:tc>
          <w:tcPr>
            <w:tcW w:w="2919"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receivables from related parties of $281 and $270 as of June 30, 2026 and March 31, 2026, respectively)</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(including contract assets from related parties of $577 and $646 as of June 30, 2026 and March 31, 2026, respectively)</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investments (including investments held under fair value option of $141 and $148 as of June 30, 2026 and March 31, 2026, respectively)</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portion of contract assets </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liabilities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(including contract liabilities from related parties of $29 and $36 as of June 30, 2026 and March 31, 2026, respectively)</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 (including payables to related parties of $30 and $20 as of June 30, 2026 and March 31, 2026, respectively)</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accrued compensation</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portion of contract liabilities (including non-current portion of contract liabilities from related parties of $23 and $23 as of June 30, 2026 and March 31, 2026, respectively)</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liabilities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192" w:before="0" w:after="240"/>
        <w:jc w:val="left"/>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center"/>
        <w:rPr/>
      </w:pPr>
      <w:r>
        <w:rPr/>
      </w:r>
    </w:p>
    <w:tbl>
      <w:tblPr>
        <w:tblW w:w="10205" w:type="dxa"/>
        <w:jc w:val="center"/>
        <w:tblInd w:w="0" w:type="dxa"/>
        <w:tblLayout w:type="fixed"/>
        <w:tblCellMar>
          <w:top w:w="28" w:type="dxa"/>
          <w:left w:w="28" w:type="dxa"/>
          <w:bottom w:w="28" w:type="dxa"/>
          <w:right w:w="28" w:type="dxa"/>
        </w:tblCellMar>
      </w:tblPr>
      <w:tblGrid>
        <w:gridCol w:w="2825"/>
        <w:gridCol w:w="2458"/>
        <w:gridCol w:w="2466"/>
        <w:gridCol w:w="211"/>
        <w:gridCol w:w="721"/>
        <w:gridCol w:w="109"/>
        <w:gridCol w:w="109"/>
        <w:gridCol w:w="109"/>
        <w:gridCol w:w="109"/>
        <w:gridCol w:w="211"/>
        <w:gridCol w:w="721"/>
        <w:gridCol w:w="156"/>
      </w:tblGrid>
      <w:tr>
        <w:trPr/>
        <w:tc>
          <w:tcPr>
            <w:tcW w:w="2825"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Ordinary shares, $0.001 par value; 1,111 shares authorized and 1,068 shares issued and outstanding as of June 30, 2026; and 1,097 shares authorized and 1,064 shares issued and outstanding as of March 31, 2026 </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360" w:after="283"/>
        <w:jc w:val="center"/>
        <w:rPr/>
      </w:pPr>
      <w:r>
        <w:rPr/>
      </w:r>
    </w:p>
    <w:tbl>
      <w:tblPr>
        <w:tblW w:w="10205" w:type="dxa"/>
        <w:jc w:val="center"/>
        <w:tblInd w:w="0" w:type="dxa"/>
        <w:tblLayout w:type="fixed"/>
        <w:tblCellMar>
          <w:top w:w="28" w:type="dxa"/>
          <w:left w:w="28" w:type="dxa"/>
          <w:bottom w:w="28" w:type="dxa"/>
          <w:right w:w="28" w:type="dxa"/>
        </w:tblCellMar>
      </w:tblPr>
      <w:tblGrid>
        <w:gridCol w:w="1101"/>
        <w:gridCol w:w="583"/>
        <w:gridCol w:w="585"/>
        <w:gridCol w:w="278"/>
        <w:gridCol w:w="278"/>
        <w:gridCol w:w="279"/>
        <w:gridCol w:w="113"/>
        <w:gridCol w:w="113"/>
        <w:gridCol w:w="113"/>
        <w:gridCol w:w="278"/>
        <w:gridCol w:w="358"/>
        <w:gridCol w:w="145"/>
        <w:gridCol w:w="109"/>
        <w:gridCol w:w="109"/>
        <w:gridCol w:w="109"/>
        <w:gridCol w:w="243"/>
        <w:gridCol w:w="730"/>
        <w:gridCol w:w="126"/>
        <w:gridCol w:w="109"/>
        <w:gridCol w:w="109"/>
        <w:gridCol w:w="109"/>
        <w:gridCol w:w="375"/>
        <w:gridCol w:w="856"/>
        <w:gridCol w:w="195"/>
        <w:gridCol w:w="109"/>
        <w:gridCol w:w="109"/>
        <w:gridCol w:w="109"/>
        <w:gridCol w:w="211"/>
        <w:gridCol w:w="631"/>
        <w:gridCol w:w="109"/>
        <w:gridCol w:w="109"/>
        <w:gridCol w:w="109"/>
        <w:gridCol w:w="109"/>
        <w:gridCol w:w="251"/>
        <w:gridCol w:w="753"/>
        <w:gridCol w:w="193"/>
      </w:tblGrid>
      <w:tr>
        <w:trPr/>
        <w:tc>
          <w:tcPr>
            <w:tcW w:w="110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Total </w:t>
              <w:br/>
              <w:t>Shareholders’</w:t>
              <w:br/>
              <w:t>Equity</w:t>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1,064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3,467</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370</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4,447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8,286</w:t>
            </w: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vested shares from share-based payment arrangements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vested shares from share-based payment arrangements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83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1,068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3,538</w:t>
            </w:r>
            <w:r>
              <w:rPr>
                <w:color w:val="000000"/>
              </w:rPr>
              <w:t>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373</w:t>
            </w:r>
            <w:r>
              <w:rPr>
                <w:color w:val="000000"/>
              </w:rPr>
              <w:t>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4,717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8,630</w:t>
            </w:r>
            <w:r>
              <w:rPr>
                <w:color w:val="000000"/>
              </w:rPr>
              <w:t>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tbl>
      <w:tblPr>
        <w:tblW w:w="10205" w:type="dxa"/>
        <w:jc w:val="center"/>
        <w:tblInd w:w="0" w:type="dxa"/>
        <w:tblLayout w:type="fixed"/>
        <w:tblCellMar>
          <w:top w:w="28" w:type="dxa"/>
          <w:left w:w="28" w:type="dxa"/>
          <w:bottom w:w="28" w:type="dxa"/>
          <w:right w:w="28" w:type="dxa"/>
        </w:tblCellMar>
      </w:tblPr>
      <w:tblGrid>
        <w:gridCol w:w="1101"/>
        <w:gridCol w:w="583"/>
        <w:gridCol w:w="585"/>
        <w:gridCol w:w="278"/>
        <w:gridCol w:w="278"/>
        <w:gridCol w:w="279"/>
        <w:gridCol w:w="113"/>
        <w:gridCol w:w="113"/>
        <w:gridCol w:w="113"/>
        <w:gridCol w:w="278"/>
        <w:gridCol w:w="358"/>
        <w:gridCol w:w="145"/>
        <w:gridCol w:w="109"/>
        <w:gridCol w:w="109"/>
        <w:gridCol w:w="109"/>
        <w:gridCol w:w="243"/>
        <w:gridCol w:w="730"/>
        <w:gridCol w:w="126"/>
        <w:gridCol w:w="109"/>
        <w:gridCol w:w="109"/>
        <w:gridCol w:w="109"/>
        <w:gridCol w:w="375"/>
        <w:gridCol w:w="856"/>
        <w:gridCol w:w="195"/>
        <w:gridCol w:w="109"/>
        <w:gridCol w:w="109"/>
        <w:gridCol w:w="109"/>
        <w:gridCol w:w="211"/>
        <w:gridCol w:w="631"/>
        <w:gridCol w:w="109"/>
        <w:gridCol w:w="109"/>
        <w:gridCol w:w="109"/>
        <w:gridCol w:w="109"/>
        <w:gridCol w:w="251"/>
        <w:gridCol w:w="753"/>
        <w:gridCol w:w="193"/>
      </w:tblGrid>
      <w:tr>
        <w:trPr/>
        <w:tc>
          <w:tcPr>
            <w:tcW w:w="110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Total </w:t>
              <w:br/>
              <w:t>Shareholders’</w:t>
              <w:br/>
              <w:t>Equity</w:t>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2,922</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372</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6,839</w:t>
            </w: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vested shares from share-based payment arrangements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vested shares from share-based payment arrangements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83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1,059</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2,921</w:t>
            </w:r>
            <w:r>
              <w:rPr>
                <w:color w:val="000000"/>
              </w:rPr>
              <w:t>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411</w:t>
            </w:r>
            <w:r>
              <w:rPr>
                <w:color w:val="000000"/>
              </w:rPr>
              <w:t>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3,673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7,007</w:t>
            </w:r>
            <w:r>
              <w:rPr>
                <w:color w:val="000000"/>
              </w:rPr>
              <w:t>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192" w:before="0" w:after="240"/>
        <w:jc w:val="left"/>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85"/>
        <w:gridCol w:w="2533"/>
        <w:gridCol w:w="2541"/>
        <w:gridCol w:w="211"/>
        <w:gridCol w:w="616"/>
        <w:gridCol w:w="109"/>
        <w:gridCol w:w="109"/>
        <w:gridCol w:w="109"/>
        <w:gridCol w:w="109"/>
        <w:gridCol w:w="211"/>
        <w:gridCol w:w="616"/>
        <w:gridCol w:w="156"/>
      </w:tblGrid>
      <w:tr>
        <w:trPr/>
        <w:tc>
          <w:tcPr>
            <w:tcW w:w="2885"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provided by (used for) operating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for) 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receivables from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assets, net (including contract assets from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liabilities (including contract liabilities from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liabilities (including payables to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cash provided by (used for) operating activities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 provided by (used for) investing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maturity of short-term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equity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or liquidation of equity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 including investments in convertible loans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cash provided by (used for) investing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provided by (used for) 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intangible asset obligations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withholding tax on vested shares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Net cash provided by (used for) financing activities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192" w:before="0" w:after="240"/>
        <w:jc w:val="left"/>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598" w:type="dxa"/>
        <w:jc w:val="center"/>
        <w:tblInd w:w="0" w:type="dxa"/>
        <w:tblLayout w:type="fixed"/>
        <w:tblCellMar>
          <w:top w:w="28" w:type="dxa"/>
          <w:left w:w="28" w:type="dxa"/>
          <w:bottom w:w="28" w:type="dxa"/>
          <w:right w:w="28" w:type="dxa"/>
        </w:tblCellMar>
      </w:tblPr>
      <w:tblGrid>
        <w:gridCol w:w="1696"/>
        <w:gridCol w:w="1486"/>
        <w:gridCol w:w="1497"/>
        <w:gridCol w:w="215"/>
        <w:gridCol w:w="413"/>
        <w:gridCol w:w="111"/>
        <w:gridCol w:w="111"/>
        <w:gridCol w:w="111"/>
        <w:gridCol w:w="111"/>
        <w:gridCol w:w="215"/>
        <w:gridCol w:w="475"/>
        <w:gridCol w:w="157"/>
      </w:tblGrid>
      <w:tr>
        <w:trPr/>
        <w:tc>
          <w:tcPr>
            <w:tcW w:w="16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additions in property and equipment </w:t>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in finance lease right-of-use assets</w:t>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in intangible assets</w:t>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in operating lease right-of-use assets</w:t>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additions in operating lease liabilities </w:t>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withholding tax on vested shares</w:t>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1 - Description of Business and Summary of Significant Accounting Policies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40"/>
        <w:jc w:val="both"/>
        <w:rPr/>
      </w:pPr>
      <w:r>
        <w:rPr>
          <w:rFonts w:ascii="Times New Roman;serif" w:hAnsi="Times New Roman;serif"/>
          <w:b w:val="false"/>
          <w:color w:val="000000"/>
          <w:sz w:val="20"/>
        </w:rPr>
        <w:t>Arm Holdings plc and its wholly owned subsidiaries (the “Company” and also referred to as “we,” “our” or “us”)</w:t>
      </w:r>
      <w:r>
        <w:rPr>
          <w:color w:val="231F20"/>
        </w:rPr>
        <w:t xml:space="preserve"> </w:t>
      </w:r>
      <w:r>
        <w:rPr>
          <w:rFonts w:ascii="Times New Roman;serif" w:hAnsi="Times New Roman;serif"/>
          <w:b w:val="false"/>
          <w:color w:val="231F20"/>
          <w:sz w:val="20"/>
        </w:rPr>
        <w:t xml:space="preserve">is a global leader in the semiconductor industry. </w:t>
      </w:r>
      <w:r>
        <w:rPr>
          <w:rFonts w:ascii="Times New Roman;serif" w:hAnsi="Times New Roman;serif"/>
          <w:b w:val="false"/>
          <w:color w:val="000000"/>
          <w:sz w:val="20"/>
        </w:rPr>
        <w:t xml:space="preserve">The Company’s principal operations and activities are the licensing, marketing, research and development of central processing unit (“CPU”) intellectual property (“IP”), graphics processing unit IP, systems IP, compute subsystems (“CSS”), and associated software, tools and other related services. </w:t>
      </w:r>
      <w:r>
        <w:rPr>
          <w:rFonts w:ascii="Times New Roman;serif" w:hAnsi="Times New Roman;serif"/>
          <w:b w:val="false"/>
          <w:color w:val="231F20"/>
          <w:sz w:val="20"/>
        </w:rPr>
        <w:t>In March 2026, we announced the expansion of our compute platform into production silicon products with the Arm AGI CPU.</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conformity with accounting principles generally accepted in the U.S. (“GAAP”) and pursuant to the rules and regulations of the Securities and Exchange Commission (“SEC”) regarding interim financial information. Certain information and note disclosures normally included in the consolidated financial statements prepared in accordance with GAAP have been condensed or omitted pursuant to such rules and regulations. As such, the information included in the accompanying unaudited condensed consolidated financial statements should be read in conjunction with the audited consolidated financial statements and the related notes thereto as of and for the fiscal year ended March 31, 2026, in our Annual Report.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adjustments, consisting of only normal recurring adjustments, which are necessary for the fair statement of the unaudited condensed consolidated balance sheets, income statements, statements of comprehensive income, shareholders’ equity and cash flows for these interim periods. The results for the interim periods are not necessarily indicative of results for the full fiscal year.</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include the accounts of the Company, its wholly owned subsidiaries and the Arm Employee Benefit Trust (the “EBT”). All intercompany balances and transactions have been eliminated in consolidation.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 and expenses during the reporting periods. Significant items subject to such estimates include, but are not limited to, revenue recognition, allowance for expected credit losses,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Actual results could differ materially from the Company’s estimates.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40"/>
        <w:jc w:val="both"/>
        <w:rPr/>
      </w:pPr>
      <w:r>
        <w:rPr>
          <w:rFonts w:ascii="Times New Roman;serif" w:hAnsi="Times New Roman;serif"/>
          <w:b w:val="false"/>
          <w:i/>
          <w:color w:val="000000"/>
          <w:sz w:val="20"/>
        </w:rPr>
        <w:t>Financial Instruments - Credit Losses (Topic 326) - Measurement of Credit Losses for Accounts Receivable and Contract Assets</w:t>
      </w:r>
      <w:r>
        <w:rPr>
          <w:rFonts w:ascii="Times New Roman;serif" w:hAnsi="Times New Roman;serif"/>
          <w:b w:val="false"/>
          <w:color w:val="000000"/>
          <w:sz w:val="20"/>
        </w:rPr>
        <w:t xml:space="preserve">: In July 2025, the FASB issued ASU 2025-05, which provides a practical expedient to measure credit losses on current accounts receivable and current contract assets under Accounting Standards Codification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The practical expedient assumes that current conditions as of the balance sheet date do not change for the remaining life of the asset. ASU 2025-05 is effective for the Company’s fiscal year ending March 31, 2027, and interim periods in the same annual reporting period. Early adoption is permitted. The Company adopted ASU 2025-05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 prospective basis in the fiscal year beginning April 1, 2026. The adoption of ASU 2025-05 did not have a material impact on the Company’s consolidated financial statement disclosures.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20" w:after="240"/>
        <w:jc w:val="both"/>
        <w:rPr/>
      </w:pP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In November 2024, the FASB issued ASU 2024-03, which requires incremental disclosures to disaggregate income statement expense items. In January 2025, the FASB issued ASU No. 2025-01, </w:t>
      </w:r>
      <w:r>
        <w:rPr>
          <w:rFonts w:ascii="Times New Roman;serif" w:hAnsi="Times New Roman;serif"/>
          <w:b w:val="false"/>
          <w:i/>
          <w:color w:val="000000"/>
          <w:sz w:val="20"/>
        </w:rPr>
        <w:t>Clarifying the Effective Date</w:t>
      </w:r>
      <w:r>
        <w:rPr>
          <w:rFonts w:ascii="Times New Roman;serif" w:hAnsi="Times New Roman;serif"/>
          <w:b w:val="false"/>
          <w:color w:val="000000"/>
          <w:sz w:val="20"/>
        </w:rPr>
        <w:t>, which revised the effective date of ASU No. 2024-03 for interim periods. ASU 2024-03 and ASU 2025-01 are effective for the Company’s fiscal year ending March 31, 2028, and interim periods within our fiscal years beginning after April 1, 2028. Early adoption is permitted. The Company is currently evaluating the impact of ASU 2024-03 and ASU 2025-01 on its consolidated financial statement disclosures.</w:t>
      </w:r>
    </w:p>
    <w:p>
      <w:pPr>
        <w:pStyle w:val="TextBody"/>
        <w:bidi w:val="0"/>
        <w:spacing w:lineRule="auto" w:line="288" w:before="120" w:after="240"/>
        <w:jc w:val="both"/>
        <w:rPr/>
      </w:pPr>
      <w:r>
        <w:rPr>
          <w:rFonts w:ascii="Times New Roman;serif" w:hAnsi="Times New Roman;serif"/>
          <w:b w:val="false"/>
          <w:i/>
          <w:color w:val="000000"/>
          <w:sz w:val="20"/>
        </w:rPr>
        <w:t>Derivatives and Hedging (Topic 815) and Revenue from Contracts with Customers (Topic 606) – Derivatives Scope Refinements and Scope Clarification for Share-Based Noncash Consideration from a Customer in a Revenue Contract</w:t>
      </w:r>
      <w:r>
        <w:rPr>
          <w:rFonts w:ascii="Times New Roman;serif" w:hAnsi="Times New Roman;serif"/>
          <w:b w:val="false"/>
          <w:color w:val="000000"/>
          <w:sz w:val="20"/>
        </w:rPr>
        <w:t>: In September 2025, the FASB issued ASU 2025-07, which refines the scope for derivatives to clarify which contracts are subject to derivative accounting and clarifies share-based noncash consideration from a customer in a revenue contract. ASU 2025-07, which can be applied prospectively or with a modified transition approach, is effective for the Company’s fiscal year ending March 31, 2028, and interim periods in the same annual reporting period. Early adoption is permitted. The Company is currently evaluating the impact of ASU 2025-07 on its consolidated financial statements.</w:t>
      </w:r>
    </w:p>
    <w:p>
      <w:pPr>
        <w:pStyle w:val="TextBody"/>
        <w:bidi w:val="0"/>
        <w:spacing w:lineRule="auto" w:line="288" w:before="120" w:after="240"/>
        <w:jc w:val="both"/>
        <w:rPr/>
      </w:pPr>
      <w:r>
        <w:rPr>
          <w:rFonts w:ascii="Times New Roman;serif" w:hAnsi="Times New Roman;serif"/>
          <w:b w:val="false"/>
          <w:i/>
          <w:color w:val="000000"/>
          <w:sz w:val="20"/>
        </w:rPr>
        <w:t>Derivatives and Hedging (Topic 815) – Hedge Accounting Improvements</w:t>
      </w:r>
      <w:r>
        <w:rPr>
          <w:rFonts w:ascii="Times New Roman;serif" w:hAnsi="Times New Roman;serif"/>
          <w:b w:val="false"/>
          <w:color w:val="000000"/>
          <w:sz w:val="20"/>
        </w:rPr>
        <w:t xml:space="preserve">: In November 2025, the FASB issued ASU 2025-09, which refines hedge accounting to more closely align an entity’s financial reporting with the economics of risk management activities, including expanded eligibility to hedge groups of forecasted transactions, introduces a new model for “choose-your-rate” debt instruments, and certain changes that avoid automatic redesignation when the hedged risk is revised if effectiveness is maintained. ASU 2025-09, which has to be applied prospectively for all hedging relationships, is effective for the Company’s fiscal year ending March 31, 2028, and interim periods in the same annual reporting period. Early adoption is permitted. The Company is currently evaluating the impact of ASU 2025-09 on its consolidated financial statements. </w:t>
      </w:r>
    </w:p>
    <w:p>
      <w:pPr>
        <w:pStyle w:val="TextBody"/>
        <w:bidi w:val="0"/>
        <w:spacing w:lineRule="auto" w:line="288" w:before="120" w:after="240"/>
        <w:jc w:val="both"/>
        <w:rPr/>
      </w:pPr>
      <w:r>
        <w:rPr>
          <w:rFonts w:ascii="Times New Roman;serif" w:hAnsi="Times New Roman;serif"/>
          <w:b w:val="false"/>
          <w:i/>
          <w:color w:val="000000"/>
          <w:sz w:val="20"/>
        </w:rPr>
        <w:t>Government Grants (Topic 832) – Accounting for Government Grants Received by Business Entities</w:t>
      </w:r>
      <w:r>
        <w:rPr>
          <w:rFonts w:ascii="Times New Roman;serif" w:hAnsi="Times New Roman;serif"/>
          <w:b w:val="false"/>
          <w:color w:val="000000"/>
          <w:sz w:val="20"/>
        </w:rPr>
        <w:t xml:space="preserve">: In December 2025, the FASB issued ASU 2025-10, which establishes the accounting and presentation guidance for government grants received by business entities. ASU 2025-10, which can be applied modified prospectively, modified retrospectively, or retrospectively, is effective for the Company’s fiscal year ending March 31, 2030, and interim periods in the same annual reporting period. Early adoption is permitted. The Company is currently evaluating the impact of ASU 2025-10 on its consolidated financial statements. </w:t>
      </w:r>
    </w:p>
    <w:p>
      <w:pPr>
        <w:pStyle w:val="TextBody"/>
        <w:bidi w:val="0"/>
        <w:spacing w:lineRule="auto" w:line="288" w:before="120" w:after="240"/>
        <w:jc w:val="both"/>
        <w:rPr/>
      </w:pPr>
      <w:r>
        <w:rPr>
          <w:rFonts w:ascii="Times New Roman;serif" w:hAnsi="Times New Roman;serif"/>
          <w:b w:val="false"/>
          <w:i/>
          <w:color w:val="000000"/>
          <w:sz w:val="20"/>
        </w:rPr>
        <w:t>Interim Reporting (Topic 270) – Narrow-Scope Improvements</w:t>
      </w:r>
      <w:r>
        <w:rPr>
          <w:rFonts w:ascii="Times New Roman;serif" w:hAnsi="Times New Roman;serif"/>
          <w:b w:val="false"/>
          <w:color w:val="000000"/>
          <w:sz w:val="20"/>
        </w:rPr>
        <w:t>: In December 2025, the FASB issued ASU 2025-11, which clarifies when ASC 270 applies and adds a comprehensive list of interim disclosure requirements from other Codification topics. ASU 2025-11 also introduces a disclosure principle requiring entities to disclose events since the last annual period that have a material impact, and specifies the form and content of condensed interim financial statements. ASU 2025-11, which can be applied prospectively or retrospectively to any or all prior periods presented, is effective for the Company’s fiscal year ending March 31, 2029, and interim periods in the same annual reporting period. Early adoption is permitted. The Company is currently evaluating the impact of ASU 2025-11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2 - Balance Sheet Components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Certain balance sheet components are as follows: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w:t>
      </w:r>
    </w:p>
    <w:tbl>
      <w:tblPr>
        <w:tblW w:w="7537" w:type="dxa"/>
        <w:jc w:val="left"/>
        <w:tblInd w:w="0" w:type="dxa"/>
        <w:tblLayout w:type="fixed"/>
        <w:tblCellMar>
          <w:top w:w="28" w:type="dxa"/>
          <w:left w:w="28" w:type="dxa"/>
          <w:bottom w:w="28" w:type="dxa"/>
          <w:right w:w="28" w:type="dxa"/>
        </w:tblCellMar>
      </w:tblPr>
      <w:tblGrid>
        <w:gridCol w:w="1492"/>
        <w:gridCol w:w="1307"/>
        <w:gridCol w:w="1325"/>
        <w:gridCol w:w="109"/>
        <w:gridCol w:w="109"/>
        <w:gridCol w:w="109"/>
        <w:gridCol w:w="342"/>
        <w:gridCol w:w="756"/>
        <w:gridCol w:w="176"/>
        <w:gridCol w:w="109"/>
        <w:gridCol w:w="109"/>
        <w:gridCol w:w="109"/>
        <w:gridCol w:w="377"/>
        <w:gridCol w:w="833"/>
        <w:gridCol w:w="275"/>
      </w:tblGrid>
      <w:tr>
        <w:trPr/>
        <w:tc>
          <w:tcPr>
            <w:tcW w:w="149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 consist of:</w:t>
      </w:r>
    </w:p>
    <w:tbl>
      <w:tblPr>
        <w:tblW w:w="6983" w:type="dxa"/>
        <w:jc w:val="left"/>
        <w:tblInd w:w="0" w:type="dxa"/>
        <w:tblLayout w:type="fixed"/>
        <w:tblCellMar>
          <w:top w:w="28" w:type="dxa"/>
          <w:left w:w="28" w:type="dxa"/>
          <w:bottom w:w="28" w:type="dxa"/>
          <w:right w:w="28" w:type="dxa"/>
        </w:tblCellMar>
      </w:tblPr>
      <w:tblGrid>
        <w:gridCol w:w="1290"/>
        <w:gridCol w:w="1134"/>
        <w:gridCol w:w="1146"/>
        <w:gridCol w:w="109"/>
        <w:gridCol w:w="109"/>
        <w:gridCol w:w="109"/>
        <w:gridCol w:w="342"/>
        <w:gridCol w:w="756"/>
        <w:gridCol w:w="176"/>
        <w:gridCol w:w="109"/>
        <w:gridCol w:w="109"/>
        <w:gridCol w:w="109"/>
        <w:gridCol w:w="377"/>
        <w:gridCol w:w="833"/>
        <w:gridCol w:w="275"/>
      </w:tblGrid>
      <w:tr>
        <w:trPr/>
        <w:tc>
          <w:tcPr>
            <w:tcW w:w="129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 and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 and sabbatical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fringe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accrued 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Other current liabilities consist of:</w:t>
      </w:r>
    </w:p>
    <w:tbl>
      <w:tblPr>
        <w:tblW w:w="10205" w:type="dxa"/>
        <w:jc w:val="left"/>
        <w:tblInd w:w="0" w:type="dxa"/>
        <w:tblLayout w:type="fixed"/>
        <w:tblCellMar>
          <w:top w:w="28" w:type="dxa"/>
          <w:left w:w="28" w:type="dxa"/>
          <w:bottom w:w="28" w:type="dxa"/>
          <w:right w:w="28" w:type="dxa"/>
        </w:tblCellMar>
      </w:tblPr>
      <w:tblGrid>
        <w:gridCol w:w="2636"/>
        <w:gridCol w:w="2259"/>
        <w:gridCol w:w="2267"/>
        <w:gridCol w:w="109"/>
        <w:gridCol w:w="109"/>
        <w:gridCol w:w="109"/>
        <w:gridCol w:w="299"/>
        <w:gridCol w:w="661"/>
        <w:gridCol w:w="154"/>
        <w:gridCol w:w="109"/>
        <w:gridCol w:w="109"/>
        <w:gridCol w:w="109"/>
        <w:gridCol w:w="323"/>
        <w:gridCol w:w="713"/>
        <w:gridCol w:w="239"/>
      </w:tblGrid>
      <w:tr>
        <w:trPr/>
        <w:tc>
          <w:tcPr>
            <w:tcW w:w="2636"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7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7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Employee related payroll taxes and payables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design automation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Trade payables (including payables to related parties of $30 and $20 as of June 30, 2026 and March 31, 2026,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Employee related payroll taxes and payables are primarily related to vested restricted share units (“RSUs”) during the three months ended June 30, 2026 and March 31, 2026, respectively, which will be or were, as applicable, paid in the subsequent quarter. </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 of:</w:t>
      </w:r>
    </w:p>
    <w:tbl>
      <w:tblPr>
        <w:tblW w:w="6757" w:type="dxa"/>
        <w:jc w:val="left"/>
        <w:tblInd w:w="0" w:type="dxa"/>
        <w:tblLayout w:type="fixed"/>
        <w:tblCellMar>
          <w:top w:w="28" w:type="dxa"/>
          <w:left w:w="28" w:type="dxa"/>
          <w:bottom w:w="28" w:type="dxa"/>
          <w:right w:w="28" w:type="dxa"/>
        </w:tblCellMar>
      </w:tblPr>
      <w:tblGrid>
        <w:gridCol w:w="1211"/>
        <w:gridCol w:w="1062"/>
        <w:gridCol w:w="1071"/>
        <w:gridCol w:w="109"/>
        <w:gridCol w:w="109"/>
        <w:gridCol w:w="109"/>
        <w:gridCol w:w="342"/>
        <w:gridCol w:w="756"/>
        <w:gridCol w:w="176"/>
        <w:gridCol w:w="109"/>
        <w:gridCol w:w="109"/>
        <w:gridCol w:w="109"/>
        <w:gridCol w:w="377"/>
        <w:gridCol w:w="833"/>
        <w:gridCol w:w="275"/>
      </w:tblGrid>
      <w:tr>
        <w:trPr/>
        <w:tc>
          <w:tcPr>
            <w:tcW w:w="121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design automation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3 - Revenue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Revenue for the Company’s major product offerings consists of the following:</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License and Other Revenue</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i/>
          <w:color w:val="000000"/>
          <w:sz w:val="20"/>
        </w:rPr>
        <w:t>Intellectual property license</w:t>
      </w:r>
      <w:r>
        <w:rPr>
          <w:color w:val="000000"/>
        </w:rPr>
        <w:t xml:space="preserve"> — </w:t>
      </w:r>
      <w:r>
        <w:rPr>
          <w:rFonts w:ascii="Times New Roman;serif" w:hAnsi="Times New Roman;serif"/>
          <w:b w:val="false"/>
          <w:color w:val="000000"/>
          <w:sz w:val="20"/>
        </w:rPr>
        <w:t>The Company generally licenses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Where arrangements include royalty buydowns or upfront minimum royalty commitments, the Company treats them as fixed contract consideration under licensing revenue.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i/>
          <w:color w:val="000000"/>
          <w:sz w:val="20"/>
        </w:rPr>
        <w:t>Software sales, including development systems</w:t>
      </w:r>
      <w:r>
        <w:rPr>
          <w:color w:val="000000"/>
        </w:rPr>
        <w:t xml:space="preserve"> — </w:t>
      </w:r>
      <w:r>
        <w:rPr>
          <w:rFonts w:ascii="Times New Roman;serif" w:hAnsi="Times New Roman;serif"/>
          <w:b w:val="false"/>
          <w:color w:val="000000"/>
          <w:sz w:val="20"/>
        </w:rPr>
        <w:t>Sales of software, including development systems, which are not specifically designed for a given license (such as off-the-shelf software), are recognized upon delivery when control has been transferred and the customer can begin to use and benefit from the license.</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i/>
          <w:color w:val="000000"/>
          <w:sz w:val="20"/>
        </w:rPr>
        <w:t>Professional services</w:t>
      </w:r>
      <w:r>
        <w:rPr>
          <w:color w:val="000000"/>
        </w:rPr>
        <w:t xml:space="preserve"> — </w:t>
      </w:r>
      <w:r>
        <w:rPr>
          <w:rFonts w:ascii="Times New Roman;serif" w:hAnsi="Times New Roman;serif"/>
          <w:b w:val="false"/>
          <w:color w:val="000000"/>
          <w:sz w:val="20"/>
        </w:rPr>
        <w:t>Services (such as training, professional and design services) that the Company provides, which are not essential to the functionality of the IP, are separately stated and priced in the contract and accounted for separately. Training revenue is recognized as services are performed. Revenue from professional and design services is recognized over time using an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does not create an asset with an alternative use. In certain arrangements, the Company also provides customers with professional and design services, as a stand-ready obligation, that are recognized on a ratable basis over the term of the contract.</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i/>
          <w:color w:val="000000"/>
          <w:sz w:val="20"/>
        </w:rPr>
        <w:t>Support and maintenance</w:t>
      </w:r>
      <w:r>
        <w:rPr>
          <w:color w:val="000000"/>
        </w:rPr>
        <w:t xml:space="preserve"> — </w:t>
      </w:r>
      <w:r>
        <w:rPr>
          <w:rFonts w:ascii="Times New Roman;serif" w:hAnsi="Times New Roman;serif"/>
          <w:b w:val="false"/>
          <w:color w:val="000000"/>
          <w:sz w:val="20"/>
        </w:rPr>
        <w:t>Support and maintenance is a stand-ready obligation to the customer that is both provided and consumed simultaneously. Revenue is recognized on a straight-line basis over the period for which support and maintenance is contractually agreed pursuant to the license.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 xml:space="preserve">Third-party arrangements </w:t>
      </w:r>
      <w:r>
        <w:rPr>
          <w:color w:val="000000"/>
        </w:rPr>
        <w:t xml:space="preserve">— </w:t>
      </w:r>
      <w:r>
        <w:rPr>
          <w:rFonts w:ascii="Times New Roman;serif" w:hAnsi="Times New Roman;serif"/>
          <w:b w:val="false"/>
          <w:color w:val="000000"/>
          <w:sz w:val="20"/>
        </w:rPr>
        <w:t xml:space="preserve">In certain arrangements, the Company arranges for third parties to provide products or services to customers. Revenue is recognized on a gross basis when the Company controls the product or service, and on a net margin basis when it acts as an agent. In agent arrangements, control passes directly from the third party to the customer, and the Company bears no inventory or performance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Royalty Revenue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most IP license agreements, royalties are collected on products that incorporate the Company’s IP. The Company applies the royalty exception, under which revenue is recognized when the subsequent sale or usage occurs, assuming control of the license to which the royalty relates has transferred to the customer. Accordingly, royalties are recognized on an accrual basis in the quarter in which the customer ships their products, based on the Company’s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A summary of the Company’s disaggregated revenue is as follows: </w:t>
      </w:r>
    </w:p>
    <w:tbl>
      <w:tblPr>
        <w:tblW w:w="9542" w:type="dxa"/>
        <w:jc w:val="left"/>
        <w:tblInd w:w="0" w:type="dxa"/>
        <w:tblLayout w:type="fixed"/>
        <w:tblCellMar>
          <w:top w:w="28" w:type="dxa"/>
          <w:left w:w="28" w:type="dxa"/>
          <w:bottom w:w="28" w:type="dxa"/>
          <w:right w:w="28" w:type="dxa"/>
        </w:tblCellMar>
      </w:tblPr>
      <w:tblGrid>
        <w:gridCol w:w="912"/>
        <w:gridCol w:w="800"/>
        <w:gridCol w:w="807"/>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License and Other Revenue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erif" w:hAnsi="Times New Roman;serif"/>
          <w:b w:val="false"/>
          <w:color w:val="231F20"/>
          <w:sz w:val="13"/>
        </w:rPr>
        <w:t>(1)</w:t>
      </w:r>
      <w:r>
        <w:rPr>
          <w:color w:val="231F20"/>
        </w:rPr>
        <w:t>    </w:t>
      </w:r>
      <w:r>
        <w:rPr>
          <w:rFonts w:ascii="Times New Roman;serif" w:hAnsi="Times New Roman;serif"/>
          <w:b w:val="false"/>
          <w:color w:val="231F20"/>
          <w:sz w:val="20"/>
        </w:rPr>
        <w:t xml:space="preserve">Includes over-time revenue of </w:t>
      </w:r>
      <w:r>
        <w:rPr>
          <w:rFonts w:ascii="Times New Roman;serif" w:hAnsi="Times New Roman;serif"/>
          <w:b w:val="false"/>
          <w:color w:val="000000"/>
          <w:sz w:val="20"/>
        </w:rPr>
        <w:t>$288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$221 million</w:t>
      </w:r>
      <w:r>
        <w:rPr>
          <w:rFonts w:ascii="Times New Roman;serif" w:hAnsi="Times New Roman;serif"/>
          <w:b w:val="false"/>
          <w:color w:val="231F20"/>
          <w:sz w:val="20"/>
        </w:rPr>
        <w:t xml:space="preserve">, and point-in-time revenue of </w:t>
      </w:r>
      <w:r>
        <w:rPr>
          <w:rFonts w:ascii="Times New Roman;serif" w:hAnsi="Times New Roman;serif"/>
          <w:b w:val="false"/>
          <w:color w:val="000000"/>
          <w:sz w:val="20"/>
        </w:rPr>
        <w:t>$286 million and $247 million</w:t>
      </w:r>
      <w:r>
        <w:rPr>
          <w:rFonts w:ascii="Times New Roman;serif" w:hAnsi="Times New Roman;serif"/>
          <w:b w:val="false"/>
          <w:color w:val="231F20"/>
          <w:sz w:val="20"/>
        </w:rPr>
        <w:t xml:space="preserve">, for the </w:t>
      </w:r>
      <w:r>
        <w:rPr>
          <w:rFonts w:ascii="Times New Roman;serif" w:hAnsi="Times New Roman;serif"/>
          <w:b w:val="false"/>
          <w:color w:val="000000"/>
          <w:sz w:val="20"/>
        </w:rPr>
        <w:t>three months ended June 30, 2026</w:t>
      </w:r>
      <w:r>
        <w:rPr>
          <w:color w:val="231F20"/>
        </w:rPr>
        <w:t xml:space="preserve"> </w:t>
      </w:r>
      <w:r>
        <w:rPr>
          <w:rFonts w:ascii="Times New Roman;serif" w:hAnsi="Times New Roman;serif"/>
          <w:b w:val="false"/>
          <w:color w:val="231F20"/>
          <w:sz w:val="20"/>
        </w:rPr>
        <w:t>and 2025, respectively.</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Revenue by geographic region is allocated to individual countries based on the principal headquarters of the customers. The geographical locations are not necessarily indicative of the country in which the customer sells products containing the Company’s technology IP. The following table summarizes information pertaining to revenue from customers based on the principal headquarters address by geographic regions:</w:t>
      </w:r>
    </w:p>
    <w:tbl>
      <w:tblPr>
        <w:tblW w:w="4657" w:type="dxa"/>
        <w:jc w:val="left"/>
        <w:tblInd w:w="0" w:type="dxa"/>
        <w:tblLayout w:type="fixed"/>
        <w:tblCellMar>
          <w:top w:w="28" w:type="dxa"/>
          <w:left w:w="28" w:type="dxa"/>
          <w:bottom w:w="28" w:type="dxa"/>
          <w:right w:w="28" w:type="dxa"/>
        </w:tblCellMar>
      </w:tblPr>
      <w:tblGrid>
        <w:gridCol w:w="598"/>
        <w:gridCol w:w="523"/>
        <w:gridCol w:w="529"/>
        <w:gridCol w:w="109"/>
        <w:gridCol w:w="109"/>
        <w:gridCol w:w="109"/>
        <w:gridCol w:w="211"/>
        <w:gridCol w:w="616"/>
        <w:gridCol w:w="109"/>
        <w:gridCol w:w="109"/>
        <w:gridCol w:w="109"/>
        <w:gridCol w:w="109"/>
        <w:gridCol w:w="211"/>
        <w:gridCol w:w="616"/>
        <w:gridCol w:w="109"/>
        <w:gridCol w:w="109"/>
        <w:gridCol w:w="109"/>
        <w:gridCol w:w="109"/>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PRC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Taiwan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Republic of Korea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countries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erif" w:hAnsi="Times New Roman;serif"/>
          <w:b w:val="false"/>
          <w:color w:val="000000"/>
          <w:sz w:val="13"/>
        </w:rPr>
        <w:t>(1)    </w:t>
      </w:r>
      <w:r>
        <w:rPr>
          <w:color w:val="000000"/>
        </w:rPr>
        <w:t>“</w:t>
      </w:r>
      <w:r>
        <w:rPr>
          <w:rFonts w:ascii="Times New Roman;serif" w:hAnsi="Times New Roman;serif"/>
          <w:b w:val="false"/>
          <w:color w:val="000000"/>
          <w:sz w:val="20"/>
        </w:rPr>
        <w:t>PRC” means the People’s Republic of China, including the Hong Kong Special Administrative Region and the Macau Special Administrative Region, but excluding Taiwan.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Receivables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A summary of the components of accounts receivable, net is as follows:</w:t>
      </w:r>
    </w:p>
    <w:tbl>
      <w:tblPr>
        <w:tblW w:w="7102" w:type="dxa"/>
        <w:jc w:val="left"/>
        <w:tblInd w:w="0" w:type="dxa"/>
        <w:tblLayout w:type="fixed"/>
        <w:tblCellMar>
          <w:top w:w="28" w:type="dxa"/>
          <w:left w:w="28" w:type="dxa"/>
          <w:bottom w:w="28" w:type="dxa"/>
          <w:right w:w="28" w:type="dxa"/>
        </w:tblCellMar>
      </w:tblPr>
      <w:tblGrid>
        <w:gridCol w:w="1336"/>
        <w:gridCol w:w="1171"/>
        <w:gridCol w:w="1182"/>
        <w:gridCol w:w="109"/>
        <w:gridCol w:w="109"/>
        <w:gridCol w:w="109"/>
        <w:gridCol w:w="287"/>
        <w:gridCol w:w="839"/>
        <w:gridCol w:w="148"/>
        <w:gridCol w:w="109"/>
        <w:gridCol w:w="109"/>
        <w:gridCol w:w="109"/>
        <w:gridCol w:w="319"/>
        <w:gridCol w:w="933"/>
        <w:gridCol w:w="233"/>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231F20"/>
          <w:sz w:val="20"/>
        </w:rPr>
      </w:pPr>
      <w:r>
        <w:rPr>
          <w:rFonts w:ascii="Times New Roman;serif" w:hAnsi="Times New Roman;serif"/>
          <w:b w:val="false"/>
          <w:color w:val="231F20"/>
          <w:sz w:val="20"/>
        </w:rPr>
        <w:t>A summary of the movement in the allowance for current expected credit losses is as follows:</w:t>
      </w:r>
    </w:p>
    <w:tbl>
      <w:tblPr>
        <w:tblW w:w="5516" w:type="dxa"/>
        <w:jc w:val="left"/>
        <w:tblInd w:w="0" w:type="dxa"/>
        <w:tblLayout w:type="fixed"/>
        <w:tblCellMar>
          <w:top w:w="28" w:type="dxa"/>
          <w:left w:w="28" w:type="dxa"/>
          <w:bottom w:w="28" w:type="dxa"/>
          <w:right w:w="28" w:type="dxa"/>
        </w:tblCellMar>
      </w:tblPr>
      <w:tblGrid>
        <w:gridCol w:w="1027"/>
        <w:gridCol w:w="901"/>
        <w:gridCol w:w="907"/>
        <w:gridCol w:w="109"/>
        <w:gridCol w:w="109"/>
        <w:gridCol w:w="109"/>
        <w:gridCol w:w="234"/>
        <w:gridCol w:w="400"/>
        <w:gridCol w:w="121"/>
        <w:gridCol w:w="121"/>
        <w:gridCol w:w="121"/>
        <w:gridCol w:w="121"/>
        <w:gridCol w:w="234"/>
        <w:gridCol w:w="400"/>
        <w:gridCol w:w="121"/>
        <w:gridCol w:w="109"/>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(reversal of)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i/>
          <w:color w:val="000000"/>
          <w:sz w:val="20"/>
        </w:rPr>
        <w:t>Contract</w:t>
      </w:r>
      <w:r>
        <w:rPr>
          <w:color w:val="231F20"/>
        </w:rPr>
        <w:t xml:space="preserve"> </w:t>
      </w:r>
      <w:r>
        <w:rPr>
          <w:rFonts w:ascii="Times New Roman;serif" w:hAnsi="Times New Roman;serif"/>
          <w:b/>
          <w:i/>
          <w:color w:val="231F20"/>
          <w:sz w:val="20"/>
        </w:rPr>
        <w:t>Assets</w:t>
      </w:r>
    </w:p>
    <w:p>
      <w:pPr>
        <w:pStyle w:val="TextBody"/>
        <w:bidi w:val="0"/>
        <w:spacing w:lineRule="auto" w:line="288" w:before="120" w:after="240"/>
        <w:jc w:val="both"/>
        <w:rPr/>
      </w:pPr>
      <w:r>
        <w:rPr>
          <w:rFonts w:ascii="Times New Roman;serif" w:hAnsi="Times New Roman;serif"/>
          <w:b w:val="false"/>
          <w:color w:val="231F20"/>
          <w:sz w:val="20"/>
        </w:rPr>
        <w:t xml:space="preserve">The timing of revenue recognition may differ from the timing of invoicing to customers. When revenue recognized exceeds the amount billed or billable to the customer, the Company records a contract asset. Contract assets are transferred to accounts receivable when the right to invoice becomes unconditional. Contract assets increased by </w:t>
      </w:r>
      <w:r>
        <w:rPr>
          <w:rFonts w:ascii="Times New Roman;serif" w:hAnsi="Times New Roman;serif"/>
          <w:b w:val="false"/>
          <w:color w:val="000000"/>
          <w:sz w:val="20"/>
        </w:rPr>
        <w:t>$259.1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$1,436.2 million</w:t>
      </w:r>
      <w:r>
        <w:rPr>
          <w:color w:val="231F20"/>
        </w:rPr>
        <w:t xml:space="preserve"> </w:t>
      </w:r>
      <w:r>
        <w:rPr>
          <w:rFonts w:ascii="Times New Roman;serif" w:hAnsi="Times New Roman;serif"/>
          <w:b w:val="false"/>
          <w:color w:val="231F20"/>
          <w:sz w:val="20"/>
        </w:rPr>
        <w:t xml:space="preserve">due to the timing of billings to customers, which fell into subsequent periods, as of June 30, 2026 and March 31, 2026, respectively, offset by </w:t>
      </w:r>
      <w:r>
        <w:rPr>
          <w:rFonts w:ascii="Times New Roman;serif" w:hAnsi="Times New Roman;serif"/>
          <w:b w:val="false"/>
          <w:color w:val="000000"/>
          <w:sz w:val="20"/>
        </w:rPr>
        <w:t>$308.7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$1,127.3 million</w:t>
      </w:r>
      <w:r>
        <w:rPr>
          <w:color w:val="231F20"/>
        </w:rPr>
        <w:t xml:space="preserve"> </w:t>
      </w:r>
      <w:r>
        <w:rPr>
          <w:rFonts w:ascii="Times New Roman;serif" w:hAnsi="Times New Roman;serif"/>
          <w:b w:val="false"/>
          <w:color w:val="231F20"/>
          <w:sz w:val="20"/>
        </w:rPr>
        <w:t xml:space="preserve">of contract assets transferred to accounts receivable, as of June 30, 2026 and March 31, 2026, respectively. The balance and activity for loss allowances related to contract assets was </w:t>
      </w:r>
      <w:r>
        <w:rPr>
          <w:rFonts w:ascii="Times New Roman;serif" w:hAnsi="Times New Roman;serif"/>
          <w:b w:val="false"/>
          <w:color w:val="000000"/>
          <w:sz w:val="20"/>
        </w:rPr>
        <w:t>immaterial</w:t>
      </w:r>
      <w:r>
        <w:rPr>
          <w:color w:val="231F20"/>
        </w:rPr>
        <w:t xml:space="preserve"> </w:t>
      </w:r>
      <w:r>
        <w:rPr>
          <w:rFonts w:ascii="Times New Roman;serif" w:hAnsi="Times New Roman;serif"/>
          <w:b w:val="false"/>
          <w:color w:val="231F20"/>
          <w:sz w:val="20"/>
        </w:rPr>
        <w:t>for the periods presented.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A reconciliation of the movement in contract liabilities is as follows:</w:t>
      </w:r>
    </w:p>
    <w:tbl>
      <w:tblPr>
        <w:tblW w:w="10205" w:type="dxa"/>
        <w:jc w:val="left"/>
        <w:tblInd w:w="0" w:type="dxa"/>
        <w:tblLayout w:type="fixed"/>
        <w:tblCellMar>
          <w:top w:w="28" w:type="dxa"/>
          <w:left w:w="28" w:type="dxa"/>
          <w:bottom w:w="28" w:type="dxa"/>
          <w:right w:w="28" w:type="dxa"/>
        </w:tblCellMar>
      </w:tblPr>
      <w:tblGrid>
        <w:gridCol w:w="2586"/>
        <w:gridCol w:w="2224"/>
        <w:gridCol w:w="2221"/>
        <w:gridCol w:w="109"/>
        <w:gridCol w:w="109"/>
        <w:gridCol w:w="109"/>
        <w:gridCol w:w="265"/>
        <w:gridCol w:w="775"/>
        <w:gridCol w:w="136"/>
        <w:gridCol w:w="109"/>
        <w:gridCol w:w="109"/>
        <w:gridCol w:w="109"/>
        <w:gridCol w:w="288"/>
        <w:gridCol w:w="842"/>
        <w:gridCol w:w="214"/>
      </w:tblGrid>
      <w:tr>
        <w:trPr/>
        <w:tc>
          <w:tcPr>
            <w:tcW w:w="2586"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7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7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April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prepayment and billing in advance of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1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that was included in the contract liability balance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1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that was included in the contract liability balance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Satisfied Performance Obligations</w:t>
      </w:r>
    </w:p>
    <w:p>
      <w:pPr>
        <w:pStyle w:val="TextBody"/>
        <w:bidi w:val="0"/>
        <w:spacing w:lineRule="auto" w:line="288" w:before="120" w:after="240"/>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three months ended June 30, 2026</w:t>
      </w:r>
      <w:r>
        <w:rPr>
          <w:color w:val="231F20"/>
        </w:rPr>
        <w:t xml:space="preserve"> </w:t>
      </w:r>
      <w:r>
        <w:rPr>
          <w:rFonts w:ascii="Times New Roman;serif" w:hAnsi="Times New Roman;serif"/>
          <w:b w:val="false"/>
          <w:color w:val="231F20"/>
          <w:sz w:val="20"/>
        </w:rPr>
        <w:t xml:space="preserve">and 2025, revenue recognized from previously satisfied performance obligations in prior reporting periods was </w:t>
      </w:r>
      <w:r>
        <w:rPr>
          <w:rFonts w:ascii="Times New Roman;serif" w:hAnsi="Times New Roman;serif"/>
          <w:b w:val="false"/>
          <w:color w:val="000000"/>
          <w:sz w:val="20"/>
        </w:rPr>
        <w:t>$735.8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$586.9 million</w:t>
      </w:r>
      <w:r>
        <w:rPr>
          <w:rFonts w:ascii="Times New Roman;serif" w:hAnsi="Times New Roman;serif"/>
          <w:b w:val="false"/>
          <w:color w:val="231F20"/>
          <w:sz w:val="20"/>
        </w:rPr>
        <w:t>, respectively. These amounts primarily represent royalties earned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Company has elected to exclude potential future royalty receipts from the disclosure of remaining performance obligations. In certain arrangements, the Company’s right to consideration may not correspond directly with the performance of obligations.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In the absence of sufficient information, where the timing of satisfaction of the remaining performance obligations is dependent on a customer’s action, the transaction price allocated to such performance obligation is included in the more than 2 years category unless the contract or option expiration aligns with an earlier period or category.</w:t>
      </w:r>
    </w:p>
    <w:p>
      <w:pPr>
        <w:pStyle w:val="TextBody"/>
        <w:bidi w:val="0"/>
        <w:spacing w:lineRule="auto" w:line="288" w:before="120" w:after="240"/>
        <w:jc w:val="both"/>
        <w:rPr/>
      </w:pPr>
      <w:r>
        <w:rPr>
          <w:rFonts w:ascii="Times New Roman;serif" w:hAnsi="Times New Roman;serif"/>
          <w:b w:val="false"/>
          <w:color w:val="231F20"/>
          <w:sz w:val="20"/>
        </w:rPr>
        <w:t xml:space="preserve">As of June 30, 2026, the aggregate transaction price allocated to remaining performance obligations was </w:t>
      </w:r>
      <w:r>
        <w:rPr>
          <w:rFonts w:ascii="Times New Roman;serif" w:hAnsi="Times New Roman;serif"/>
          <w:b w:val="false"/>
          <w:color w:val="000000"/>
          <w:sz w:val="20"/>
        </w:rPr>
        <w:t>$2,122.6 million.</w:t>
      </w:r>
    </w:p>
    <w:p>
      <w:pPr>
        <w:pStyle w:val="TextBody"/>
        <w:bidi w:val="0"/>
        <w:spacing w:lineRule="auto" w:line="288" w:before="120" w:after="240"/>
        <w:jc w:val="both"/>
        <w:rPr/>
      </w:pPr>
      <w:r>
        <w:rPr>
          <w:rFonts w:ascii="Times New Roman;serif" w:hAnsi="Times New Roman;serif"/>
          <w:b w:val="false"/>
          <w:color w:val="231F20"/>
          <w:sz w:val="20"/>
        </w:rPr>
        <w:t xml:space="preserve">The Company expects to recognize approximately </w:t>
      </w:r>
      <w:r>
        <w:rPr>
          <w:rFonts w:ascii="Times New Roman;serif" w:hAnsi="Times New Roman;serif"/>
          <w:b w:val="false"/>
          <w:color w:val="000000"/>
          <w:sz w:val="20"/>
        </w:rPr>
        <w:t>24%</w:t>
      </w:r>
      <w:r>
        <w:rPr>
          <w:color w:val="231F20"/>
        </w:rPr>
        <w:t xml:space="preserve"> </w:t>
      </w:r>
      <w:r>
        <w:rPr>
          <w:rFonts w:ascii="Times New Roman;serif" w:hAnsi="Times New Roman;serif"/>
          <w:b w:val="false"/>
          <w:color w:val="231F20"/>
          <w:sz w:val="20"/>
        </w:rPr>
        <w:t xml:space="preserve">of the remaining performance obligations as revenue over the next </w:t>
      </w:r>
      <w:r>
        <w:rPr>
          <w:rFonts w:ascii="Times New Roman;serif" w:hAnsi="Times New Roman;serif"/>
          <w:b w:val="false"/>
          <w:color w:val="000000"/>
          <w:sz w:val="20"/>
        </w:rPr>
        <w:t>12</w:t>
      </w:r>
      <w:r>
        <w:rPr>
          <w:color w:val="231F20"/>
        </w:rPr>
        <w:t xml:space="preserve"> </w:t>
      </w:r>
      <w:r>
        <w:rPr>
          <w:rFonts w:ascii="Times New Roman;serif" w:hAnsi="Times New Roman;serif"/>
          <w:b w:val="false"/>
          <w:color w:val="231F20"/>
          <w:sz w:val="20"/>
        </w:rPr>
        <w:t xml:space="preserve">months, </w:t>
      </w:r>
      <w:r>
        <w:rPr>
          <w:rFonts w:ascii="Times New Roman;serif" w:hAnsi="Times New Roman;serif"/>
          <w:b w:val="false"/>
          <w:color w:val="000000"/>
          <w:sz w:val="20"/>
        </w:rPr>
        <w:t>23%</w:t>
      </w:r>
      <w:r>
        <w:rPr>
          <w:color w:val="231F20"/>
        </w:rPr>
        <w:t xml:space="preserve"> </w:t>
      </w:r>
      <w:r>
        <w:rPr>
          <w:rFonts w:ascii="Times New Roman;serif" w:hAnsi="Times New Roman;serif"/>
          <w:b w:val="false"/>
          <w:color w:val="231F20"/>
          <w:sz w:val="20"/>
        </w:rPr>
        <w:t xml:space="preserve">over the subsequent </w:t>
      </w:r>
      <w:r>
        <w:rPr>
          <w:rFonts w:ascii="Times New Roman;serif" w:hAnsi="Times New Roman;serif"/>
          <w:b w:val="false"/>
          <w:color w:val="000000"/>
          <w:sz w:val="20"/>
        </w:rPr>
        <w:t>13</w:t>
      </w:r>
      <w:r>
        <w:rPr>
          <w:rFonts w:ascii="Times New Roman;serif" w:hAnsi="Times New Roman;serif"/>
          <w:b w:val="false"/>
          <w:color w:val="231F20"/>
          <w:sz w:val="20"/>
        </w:rPr>
        <w:t xml:space="preserve">- to </w:t>
      </w:r>
      <w:r>
        <w:rPr>
          <w:rFonts w:ascii="Times New Roman;serif" w:hAnsi="Times New Roman;serif"/>
          <w:b w:val="false"/>
          <w:color w:val="000000"/>
          <w:sz w:val="20"/>
        </w:rPr>
        <w:t>24</w:t>
      </w:r>
      <w:r>
        <w:rPr>
          <w:rFonts w:ascii="Times New Roman;serif" w:hAnsi="Times New Roman;serif"/>
          <w:b w:val="false"/>
          <w:color w:val="231F20"/>
          <w:sz w:val="20"/>
        </w:rPr>
        <w:t>-month period,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4 - Acquisitions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120" w:after="240"/>
        <w:jc w:val="both"/>
        <w:rPr/>
      </w:pPr>
      <w:r>
        <w:rPr>
          <w:rFonts w:ascii="Times New Roman;serif" w:hAnsi="Times New Roman;serif"/>
          <w:b w:val="false"/>
          <w:color w:val="000000"/>
          <w:sz w:val="20"/>
        </w:rPr>
        <w:t xml:space="preserve">In October 2025, the Company entered into a definitive agreement to acquire all of the outstanding equity interests of DreamBig Semiconductor, Inc. (“DreamBig”) for approximately $265.0 million in cash, subject to purchase price adjustments. The addition of DreamBig’s advanced networking capabilities, technology, and engineering expertise is expected to enhance the Company’s portfolio and help it deliver more complete solutions. On July 1, 2026, the Company completed the acquisition of DreamBig. See </w:t>
      </w:r>
      <w:r>
        <w:rPr>
          <w:rFonts w:ascii="Times New Roman;serif" w:hAnsi="Times New Roman;serif"/>
          <w:b w:val="false"/>
          <w:i/>
          <w:color w:val="000000"/>
          <w:sz w:val="20"/>
        </w:rPr>
        <w:t>Note 16 - Subsequent Events</w:t>
      </w:r>
      <w:r>
        <w:rPr>
          <w:rFonts w:ascii="Times New Roman;serif" w:hAnsi="Times New Roman;serif"/>
          <w:b w:val="false"/>
          <w:color w:val="000000"/>
          <w:sz w:val="20"/>
        </w:rPr>
        <w: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5 - Equity Investments</w:t>
      </w:r>
    </w:p>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 summary of the components of equity investments is as follows:</w:t>
      </w:r>
    </w:p>
    <w:tbl>
      <w:tblPr>
        <w:tblW w:w="7672" w:type="dxa"/>
        <w:jc w:val="left"/>
        <w:tblInd w:w="0" w:type="dxa"/>
        <w:tblLayout w:type="fixed"/>
        <w:tblCellMar>
          <w:top w:w="28" w:type="dxa"/>
          <w:left w:w="28" w:type="dxa"/>
          <w:bottom w:w="28" w:type="dxa"/>
          <w:right w:w="28" w:type="dxa"/>
        </w:tblCellMar>
      </w:tblPr>
      <w:tblGrid>
        <w:gridCol w:w="1542"/>
        <w:gridCol w:w="1353"/>
        <w:gridCol w:w="1364"/>
        <w:gridCol w:w="109"/>
        <w:gridCol w:w="109"/>
        <w:gridCol w:w="109"/>
        <w:gridCol w:w="342"/>
        <w:gridCol w:w="756"/>
        <w:gridCol w:w="176"/>
        <w:gridCol w:w="109"/>
        <w:gridCol w:w="109"/>
        <w:gridCol w:w="109"/>
        <w:gridCol w:w="377"/>
        <w:gridCol w:w="833"/>
        <w:gridCol w:w="275"/>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under fair value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publicly listed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under equity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231F20"/>
          <w:sz w:val="20"/>
        </w:rPr>
      </w:pPr>
      <w:r>
        <w:rPr>
          <w:rFonts w:ascii="Times New Roman;serif" w:hAnsi="Times New Roman;serif"/>
          <w:b w:val="false"/>
          <w:color w:val="231F20"/>
          <w:sz w:val="20"/>
        </w:rPr>
        <w:t>Income (loss) from equity investments, net is as follows:</w:t>
      </w:r>
    </w:p>
    <w:tbl>
      <w:tblPr>
        <w:tblW w:w="7571" w:type="dxa"/>
        <w:jc w:val="left"/>
        <w:tblInd w:w="0" w:type="dxa"/>
        <w:tblLayout w:type="fixed"/>
        <w:tblCellMar>
          <w:top w:w="28" w:type="dxa"/>
          <w:left w:w="28" w:type="dxa"/>
          <w:bottom w:w="28" w:type="dxa"/>
          <w:right w:w="28" w:type="dxa"/>
        </w:tblCellMar>
      </w:tblPr>
      <w:tblGrid>
        <w:gridCol w:w="1499"/>
        <w:gridCol w:w="1315"/>
        <w:gridCol w:w="1326"/>
        <w:gridCol w:w="109"/>
        <w:gridCol w:w="109"/>
        <w:gridCol w:w="109"/>
        <w:gridCol w:w="328"/>
        <w:gridCol w:w="724"/>
        <w:gridCol w:w="169"/>
        <w:gridCol w:w="169"/>
        <w:gridCol w:w="169"/>
        <w:gridCol w:w="169"/>
        <w:gridCol w:w="328"/>
        <w:gridCol w:w="398"/>
        <w:gridCol w:w="169"/>
        <w:gridCol w:w="109"/>
        <w:gridCol w:w="109"/>
        <w:gridCol w:w="109"/>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publicly listed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Equity method investments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erif" w:hAnsi="Times New Roman;serif"/>
          <w:b w:val="false"/>
          <w:color w:val="000000"/>
          <w:sz w:val="13"/>
          <w:shd w:fill="FFFFFF" w:val="clear"/>
        </w:rPr>
        <w:t>(1)</w:t>
      </w:r>
      <w:r>
        <w:rPr>
          <w:rFonts w:ascii="Times New Roman;serif" w:hAnsi="Times New Roman;serif"/>
          <w:b w:val="false"/>
          <w:color w:val="231F20"/>
          <w:sz w:val="20"/>
          <w:shd w:fill="FFFFFF" w:val="clear"/>
        </w:rPr>
        <w:t>Includes equity method investments where the Company elected the fair value option, including those under the net asset value (“NAV”) practical expedient, along with investments accounted for under the equity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Equity method investments under fair value option</w:t>
      </w:r>
    </w:p>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The Company elected the fair value option to account for certain equity method investments in Acetone Limited. See discussion below, along with </w:t>
      </w:r>
      <w:r>
        <w:rPr>
          <w:rFonts w:ascii="Times New Roman;serif" w:hAnsi="Times New Roman;serif"/>
          <w:b w:val="false"/>
          <w:i/>
          <w:color w:val="000000"/>
          <w:sz w:val="20"/>
          <w:shd w:fill="FFFFFF" w:val="clear"/>
        </w:rPr>
        <w:t>Note 8 - Fair Value</w:t>
      </w:r>
      <w:r>
        <w:rPr>
          <w:rFonts w:ascii="Times New Roman;serif" w:hAnsi="Times New Roman;serif"/>
          <w:b w:val="false"/>
          <w:color w:val="000000"/>
          <w:sz w:val="20"/>
          <w:shd w:fill="FFFFFF" w:val="clear"/>
        </w:rPr>
        <w:t>, for further information.</w:t>
      </w:r>
    </w:p>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The Company holds equity method investments in funds accounted for under the fair value option that apply the NAV practical expedient. The estimated fair values of the Company’s equity securities at fair value that qualify for the NAV practical expedient were provided by the funds based on the indicated market values of the underlying assets or investment portfolios. As of June 30, 2026 and March 31, 2026, the carrying value of equity method investments under the fair value option measured at NAV was </w:t>
      </w:r>
      <w:r>
        <w:rPr>
          <w:rFonts w:ascii="Times New Roman;serif" w:hAnsi="Times New Roman;serif"/>
          <w:b w:val="false"/>
          <w:color w:val="000000"/>
          <w:sz w:val="20"/>
        </w:rPr>
        <w:t>$89.1 million</w:t>
      </w:r>
      <w:r>
        <w:rPr>
          <w:color w:val="000000"/>
          <w:shd w:fill="FFFFFF" w:val="clear"/>
        </w:rPr>
        <w:t xml:space="preserve"> </w:t>
      </w:r>
      <w:r>
        <w:rPr>
          <w:rFonts w:ascii="Times New Roman;serif" w:hAnsi="Times New Roman;serif"/>
          <w:b w:val="false"/>
          <w:color w:val="000000"/>
          <w:sz w:val="20"/>
          <w:shd w:fill="FFFFFF" w:val="clear"/>
        </w:rPr>
        <w:t xml:space="preserve">and $91.3 million, respectively. </w:t>
      </w:r>
    </w:p>
    <w:p>
      <w:pPr>
        <w:pStyle w:val="TextBody"/>
        <w:bidi w:val="0"/>
        <w:spacing w:lineRule="auto" w:line="288" w:before="120" w:after="240"/>
        <w:jc w:val="both"/>
        <w:rPr/>
      </w:pPr>
      <w:r>
        <w:rPr>
          <w:rFonts w:ascii="Times New Roman;serif" w:hAnsi="Times New Roman;serif"/>
          <w:b w:val="false"/>
          <w:color w:val="000000"/>
          <w:sz w:val="20"/>
          <w:shd w:fill="FFFFFF" w:val="clear"/>
        </w:rPr>
        <w:t>For the three months ended June 30, 2026 and 2025</w:t>
      </w:r>
      <w:r>
        <w:rPr>
          <w:rFonts w:ascii="Times New Roman;serif" w:hAnsi="Times New Roman;serif"/>
          <w:b w:val="false"/>
          <w:color w:val="231F2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the Company recognized losses from changes in fair value of </w:t>
      </w:r>
      <w:r>
        <w:rPr>
          <w:rFonts w:ascii="Times New Roman;serif" w:hAnsi="Times New Roman;serif"/>
          <w:b w:val="false"/>
          <w:color w:val="000000"/>
          <w:sz w:val="20"/>
        </w:rPr>
        <w:t>$2.2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 xml:space="preserve">$2.0 million, respectively, </w:t>
      </w:r>
      <w:r>
        <w:rPr>
          <w:rFonts w:ascii="Times New Roman;serif" w:hAnsi="Times New Roman;serif"/>
          <w:b w:val="false"/>
          <w:color w:val="000000"/>
          <w:sz w:val="20"/>
          <w:shd w:fill="FFFFFF" w:val="clear"/>
        </w:rPr>
        <w:t xml:space="preserve">for equity method investments accounted for under the NAV practical expedient. </w:t>
      </w:r>
      <w:r>
        <w:rPr>
          <w:rFonts w:ascii="Times New Roman;serif" w:hAnsi="Times New Roman;serif"/>
          <w:b w:val="false"/>
          <w:color w:val="000000"/>
          <w:sz w:val="20"/>
        </w:rPr>
        <w:t xml:space="preserve">Changes in fair value are recorded through income (loss) from equity investments, net in the Condensed Consolidated Income Statements. </w:t>
      </w:r>
    </w:p>
    <w:p>
      <w:pPr>
        <w:pStyle w:val="TextBody"/>
        <w:bidi w:val="0"/>
        <w:spacing w:lineRule="auto" w:line="288" w:before="12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Acetone Limited</w:t>
      </w:r>
    </w:p>
    <w:p>
      <w:pPr>
        <w:pStyle w:val="TextBody"/>
        <w:bidi w:val="0"/>
        <w:spacing w:lineRule="auto" w:line="288" w:before="0" w:after="240"/>
        <w:jc w:val="both"/>
        <w:rPr/>
      </w:pPr>
      <w:r>
        <w:rPr>
          <w:rFonts w:ascii="Times New Roman;serif" w:hAnsi="Times New Roman;serif"/>
          <w:b w:val="false"/>
          <w:color w:val="231F20"/>
          <w:sz w:val="20"/>
        </w:rPr>
        <w:t xml:space="preserve">As </w:t>
      </w:r>
      <w:r>
        <w:rPr>
          <w:rFonts w:ascii="Times New Roman;serif" w:hAnsi="Times New Roman;serif"/>
          <w:b w:val="false"/>
          <w:color w:val="000000"/>
          <w:sz w:val="20"/>
        </w:rPr>
        <w:t>of June 30, 2026 and March 31, 2026</w:t>
      </w:r>
      <w:r>
        <w:rPr>
          <w:rFonts w:ascii="Times New Roman;serif" w:hAnsi="Times New Roman;serif"/>
          <w:b w:val="false"/>
          <w:color w:val="231F20"/>
          <w:sz w:val="20"/>
        </w:rPr>
        <w:t xml:space="preserve">, the carrying value of </w:t>
      </w:r>
      <w:r>
        <w:rPr>
          <w:rFonts w:ascii="Times New Roman;serif" w:hAnsi="Times New Roman;serif"/>
          <w:b w:val="false"/>
          <w:color w:val="000000"/>
          <w:sz w:val="20"/>
        </w:rPr>
        <w:t>the Company’s</w:t>
      </w:r>
      <w:r>
        <w:rPr>
          <w:color w:val="231F20"/>
        </w:rPr>
        <w:t xml:space="preserve"> </w:t>
      </w:r>
      <w:r>
        <w:rPr>
          <w:rFonts w:ascii="Times New Roman;serif" w:hAnsi="Times New Roman;serif"/>
          <w:b w:val="false"/>
          <w:color w:val="231F20"/>
          <w:sz w:val="20"/>
        </w:rPr>
        <w:t xml:space="preserve">equity </w:t>
      </w:r>
      <w:r>
        <w:rPr>
          <w:rFonts w:ascii="Times New Roman;serif" w:hAnsi="Times New Roman;serif"/>
          <w:b w:val="false"/>
          <w:color w:val="000000"/>
          <w:sz w:val="20"/>
        </w:rPr>
        <w:t>method investment in Acetone Limited was</w:t>
      </w:r>
      <w:r>
        <w:rPr>
          <w:color w:val="231F20"/>
        </w:rPr>
        <w:t xml:space="preserve"> </w:t>
      </w:r>
      <w:r>
        <w:rPr>
          <w:rFonts w:ascii="Times New Roman;serif" w:hAnsi="Times New Roman;serif"/>
          <w:b w:val="false"/>
          <w:color w:val="231F20"/>
          <w:sz w:val="20"/>
        </w:rPr>
        <w:t>$51.5 million</w:t>
      </w:r>
      <w:r>
        <w:rPr>
          <w:color w:val="231F20"/>
          <w:shd w:fill="FFFFFF" w:val="clear"/>
        </w:rPr>
        <w:t xml:space="preserve"> </w:t>
      </w:r>
      <w:r>
        <w:rPr>
          <w:rFonts w:ascii="Times New Roman;serif" w:hAnsi="Times New Roman;serif"/>
          <w:b w:val="false"/>
          <w:color w:val="231F20"/>
          <w:sz w:val="20"/>
          <w:shd w:fill="FFFFFF" w:val="clear"/>
        </w:rPr>
        <w:t>and $56.5 million, respectively</w:t>
      </w:r>
      <w:r>
        <w:rPr>
          <w:rFonts w:ascii="Times New Roman;serif" w:hAnsi="Times New Roman;serif"/>
          <w:b w:val="false"/>
          <w:color w:val="231F20"/>
          <w:sz w:val="20"/>
        </w:rPr>
        <w:t xml:space="preserve">. For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the Company recognized fair value </w:t>
      </w:r>
      <w:r>
        <w:rPr>
          <w:rFonts w:ascii="Times New Roman;serif" w:hAnsi="Times New Roman;serif"/>
          <w:b w:val="false"/>
          <w:color w:val="000000"/>
          <w:sz w:val="20"/>
        </w:rPr>
        <w:t>losses of $5.0 million</w:t>
      </w:r>
      <w:r>
        <w:rPr>
          <w:color w:val="231F20"/>
        </w:rPr>
        <w:t xml:space="preserve"> </w:t>
      </w:r>
      <w:r>
        <w:rPr>
          <w:rFonts w:ascii="Times New Roman;serif" w:hAnsi="Times New Roman;serif"/>
          <w:b w:val="false"/>
          <w:color w:val="231F20"/>
          <w:sz w:val="20"/>
          <w:shd w:fill="FFFFFF" w:val="clear"/>
        </w:rPr>
        <w:t>with respect to</w:t>
      </w:r>
      <w:r>
        <w:rPr>
          <w:color w:val="000000"/>
        </w:rPr>
        <w:t xml:space="preserve"> </w:t>
      </w:r>
      <w:r>
        <w:rPr>
          <w:rFonts w:ascii="Times New Roman;serif" w:hAnsi="Times New Roman;serif"/>
          <w:b w:val="false"/>
          <w:color w:val="000000"/>
          <w:sz w:val="20"/>
        </w:rPr>
        <w:t xml:space="preserve">its investment in Acetone Limited in income (loss) from equity investments, net in the Condensed Consolidated Income Statements. For the three months ended June 30, 2025, the Company did not recognize fair value gains or losses with respect to </w:t>
      </w:r>
      <w:r>
        <w:rPr>
          <w:rFonts w:ascii="Times New Roman;serif" w:hAnsi="Times New Roman;serif"/>
          <w:b w:val="false"/>
          <w:color w:val="231F20"/>
          <w:sz w:val="20"/>
          <w:shd w:fill="FFFFFF" w:val="clear"/>
        </w:rPr>
        <w:t>its</w:t>
      </w:r>
      <w:r>
        <w:rPr>
          <w:color w:val="000000"/>
        </w:rPr>
        <w:t xml:space="preserve"> </w:t>
      </w:r>
      <w:r>
        <w:rPr>
          <w:rFonts w:ascii="Times New Roman;serif" w:hAnsi="Times New Roman;serif"/>
          <w:b w:val="false"/>
          <w:color w:val="000000"/>
          <w:sz w:val="20"/>
        </w:rPr>
        <w:t>investment in Acetone Limited.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Equity investments in publicly listed companies</w:t>
      </w:r>
    </w:p>
    <w:p>
      <w:pPr>
        <w:pStyle w:val="TextBody"/>
        <w:bidi w:val="0"/>
        <w:spacing w:lineRule="auto" w:line="288" w:before="120" w:after="240"/>
        <w:jc w:val="both"/>
        <w:rPr/>
      </w:pPr>
      <w:r>
        <w:rPr>
          <w:rFonts w:ascii="Times New Roman;serif" w:hAnsi="Times New Roman;serif"/>
          <w:b w:val="false"/>
          <w:color w:val="000000"/>
          <w:sz w:val="20"/>
        </w:rPr>
        <w:t xml:space="preserve">As of June 30, 2026 and March 31, 2026, the carrying value of the Company’s equity investments in publicly listed companies was $289.6 million and $96.1 million, respectively. </w:t>
      </w:r>
      <w:r>
        <w:rPr>
          <w:rFonts w:ascii="Times New Roman;serif" w:hAnsi="Times New Roman;serif"/>
          <w:b w:val="false"/>
          <w:color w:val="231F20"/>
          <w:sz w:val="20"/>
        </w:rPr>
        <w:t xml:space="preserve">During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xml:space="preserve">, the Company purchased an additional </w:t>
      </w:r>
      <w:r>
        <w:rPr>
          <w:rFonts w:ascii="Times New Roman;serif" w:hAnsi="Times New Roman;serif"/>
          <w:b w:val="false"/>
          <w:color w:val="000000"/>
          <w:sz w:val="20"/>
        </w:rPr>
        <w:t>$67.9 million</w:t>
      </w:r>
      <w:r>
        <w:rPr>
          <w:color w:val="000000"/>
          <w:shd w:fill="FFFFFF" w:val="clear"/>
        </w:rPr>
        <w:t xml:space="preserve"> </w:t>
      </w:r>
      <w:r>
        <w:rPr>
          <w:rFonts w:ascii="Times New Roman;serif" w:hAnsi="Times New Roman;serif"/>
          <w:b w:val="false"/>
          <w:color w:val="000000"/>
          <w:sz w:val="20"/>
          <w:shd w:fill="FFFFFF" w:val="clear"/>
        </w:rPr>
        <w:t xml:space="preserve">of Raspberry Pi Holdings plc’s ordinary shares. </w:t>
      </w:r>
      <w:r>
        <w:rPr>
          <w:rFonts w:ascii="Times New Roman;serif" w:hAnsi="Times New Roman;serif"/>
          <w:b w:val="false"/>
          <w:color w:val="000000"/>
          <w:sz w:val="20"/>
        </w:rPr>
        <w:t>For the three months ended June 30,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2025</w:t>
      </w:r>
      <w:r>
        <w:rPr>
          <w:rFonts w:ascii="Times New Roman;serif" w:hAnsi="Times New Roman;serif"/>
          <w:b w:val="false"/>
          <w:color w:val="231F20"/>
          <w:sz w:val="20"/>
        </w:rPr>
        <w:t xml:space="preserve">, the Company recognized fair value gains and (losses) with respect to its equity investments in publicly listed companies of </w:t>
      </w:r>
      <w:r>
        <w:rPr>
          <w:rFonts w:ascii="Times New Roman;serif" w:hAnsi="Times New Roman;serif"/>
          <w:b w:val="false"/>
          <w:color w:val="000000"/>
          <w:sz w:val="20"/>
        </w:rPr>
        <w:t xml:space="preserve">$125.6 million and $3.8 million, respectively, </w:t>
      </w:r>
      <w:r>
        <w:rPr>
          <w:rFonts w:ascii="Times New Roman;serif" w:hAnsi="Times New Roman;serif"/>
          <w:b w:val="false"/>
          <w:color w:val="231F20"/>
          <w:sz w:val="20"/>
        </w:rPr>
        <w:t xml:space="preserve">in </w:t>
      </w:r>
      <w:r>
        <w:rPr>
          <w:rFonts w:ascii="Times New Roman;serif" w:hAnsi="Times New Roman;serif"/>
          <w:b w:val="false"/>
          <w:color w:val="000000"/>
          <w:sz w:val="20"/>
        </w:rPr>
        <w:t>income (loss) from equity investments, net in the Condensed Consolidated Income Statements</w:t>
      </w:r>
      <w:r>
        <w:rPr>
          <w:rFonts w:ascii="Times New Roman;serif" w:hAnsi="Times New Roman;serif"/>
          <w:b w:val="false"/>
          <w:color w:val="231F20"/>
          <w:sz w:val="20"/>
        </w:rPr>
        <w: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Non-marketable Equity Securities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June 30, 2026 and March 31, 2026, the carrying value of assets measured at NAV was $30.3 million and $27.2 million, respectively. For the three months ended June 30, 2026 and 2025, the Company recognized gains of $1.6 million and $1.1 million, respectively, from changes in fair value for non-marketable securities accounted for under the NAV practical expedient.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of June 30, 2026 and March 31, 2026, the carrying value of the Company’s preference shares of Kigen (UK) Limited (“Kigen”), an entity indirectly partially owned by SoftBank Vision Fund L.P., was $16.4 million. The preference shares are convertible into common shares of Kigen and are entitled to full dividends, distribution and voting rights. The Company does not have significant influence or control over Kigen and elected to apply the measurement alternative for this investment.</w:t>
      </w:r>
    </w:p>
    <w:p>
      <w:pPr>
        <w:pStyle w:val="TextBody"/>
        <w:bidi w:val="0"/>
        <w:spacing w:lineRule="auto" w:line="288" w:before="120" w:after="240"/>
        <w:jc w:val="both"/>
        <w:rPr/>
      </w:pPr>
      <w:r>
        <w:rPr>
          <w:rFonts w:ascii="Times New Roman;serif" w:hAnsi="Times New Roman;serif"/>
          <w:b w:val="false"/>
          <w:color w:val="231F20"/>
          <w:sz w:val="20"/>
        </w:rPr>
        <w:t>The Company ele</w:t>
      </w:r>
      <w:r>
        <w:rPr>
          <w:rFonts w:ascii="Times New Roman;serif" w:hAnsi="Times New Roman;serif"/>
          <w:b w:val="false"/>
          <w:color w:val="231F20"/>
          <w:sz w:val="20"/>
          <w:shd w:fill="FFFFFF" w:val="clear"/>
        </w:rPr>
        <w:t>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components of gains and (losses), which primarily include realized and unrealized gains and losses on non-marketable securities inclusive of those measured under the NAV practical expedient, are as follows:</w:t>
      </w:r>
    </w:p>
    <w:tbl>
      <w:tblPr>
        <w:tblW w:w="9446" w:type="dxa"/>
        <w:jc w:val="left"/>
        <w:tblInd w:w="0" w:type="dxa"/>
        <w:tblLayout w:type="fixed"/>
        <w:tblCellMar>
          <w:top w:w="28" w:type="dxa"/>
          <w:left w:w="28" w:type="dxa"/>
          <w:bottom w:w="28" w:type="dxa"/>
          <w:right w:w="28" w:type="dxa"/>
        </w:tblCellMar>
      </w:tblPr>
      <w:tblGrid>
        <w:gridCol w:w="2447"/>
        <w:gridCol w:w="2147"/>
        <w:gridCol w:w="2171"/>
        <w:gridCol w:w="109"/>
        <w:gridCol w:w="109"/>
        <w:gridCol w:w="109"/>
        <w:gridCol w:w="249"/>
        <w:gridCol w:w="427"/>
        <w:gridCol w:w="129"/>
        <w:gridCol w:w="129"/>
        <w:gridCol w:w="129"/>
        <w:gridCol w:w="129"/>
        <w:gridCol w:w="249"/>
        <w:gridCol w:w="303"/>
        <w:gridCol w:w="129"/>
        <w:gridCol w:w="109"/>
        <w:gridCol w:w="109"/>
        <w:gridCol w:w="109"/>
        <w:gridCol w:w="154"/>
      </w:tblGrid>
      <w:tr>
        <w:trPr/>
        <w:tc>
          <w:tcPr>
            <w:tcW w:w="244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Observable price adjustments on 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income (loss) from equity investments in non-marketable securities,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All equity method investments held by the Company are considered long-term to enable ecosystem growth and are classified as non-current assets. For the </w:t>
      </w:r>
      <w:r>
        <w:rPr>
          <w:rFonts w:ascii="Times New Roman;serif" w:hAnsi="Times New Roman;serif"/>
          <w:b w:val="false"/>
          <w:color w:val="000000"/>
          <w:sz w:val="20"/>
        </w:rPr>
        <w:t>three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2025, the Company recognized </w:t>
      </w:r>
      <w:r>
        <w:rPr>
          <w:rFonts w:ascii="Times New Roman;serif" w:hAnsi="Times New Roman;serif"/>
          <w:b w:val="false"/>
          <w:color w:val="000000"/>
          <w:sz w:val="20"/>
        </w:rPr>
        <w:t>$2.4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$1.1 million, respectiv</w:t>
      </w:r>
      <w:r>
        <w:rPr>
          <w:rFonts w:ascii="Times New Roman;serif" w:hAnsi="Times New Roman;serif"/>
          <w:b w:val="false"/>
          <w:color w:val="000000"/>
          <w:sz w:val="20"/>
          <w:shd w:fill="FFFFFF" w:val="clear"/>
        </w:rPr>
        <w:t>ely, in dividends from equity investments measured using the NAV practical expedient. The total amount of financial commitments to existing investees of the Company not provided for in the condensed consolidated financial statements</w:t>
      </w:r>
      <w:r>
        <w:rPr>
          <w:color w:val="000000"/>
        </w:rPr>
        <w:t xml:space="preserve"> </w:t>
      </w:r>
      <w:r>
        <w:rPr>
          <w:rFonts w:ascii="Times New Roman;serif" w:hAnsi="Times New Roman;serif"/>
          <w:b w:val="false"/>
          <w:color w:val="000000"/>
          <w:sz w:val="20"/>
        </w:rPr>
        <w:t>was</w:t>
      </w:r>
      <w:r>
        <w:rPr>
          <w:color w:val="231F20"/>
        </w:rPr>
        <w:t xml:space="preserve"> </w:t>
      </w:r>
      <w:r>
        <w:rPr>
          <w:rFonts w:ascii="Times New Roman;serif" w:hAnsi="Times New Roman;serif"/>
          <w:b w:val="false"/>
          <w:color w:val="231F20"/>
          <w:sz w:val="20"/>
        </w:rPr>
        <w:t xml:space="preserve">$24.3 million and $25.6 million </w:t>
      </w:r>
      <w:r>
        <w:rPr>
          <w:rFonts w:ascii="Times New Roman;serif" w:hAnsi="Times New Roman;serif"/>
          <w:b w:val="false"/>
          <w:color w:val="000000"/>
          <w:sz w:val="20"/>
        </w:rPr>
        <w:t xml:space="preserve">as of </w:t>
      </w:r>
      <w:r>
        <w:rPr>
          <w:rFonts w:ascii="Times New Roman;serif" w:hAnsi="Times New Roman;serif"/>
          <w:b w:val="false"/>
          <w:color w:val="231F20"/>
          <w:sz w:val="20"/>
        </w:rPr>
        <w:t>June 30, 2026 and</w:t>
      </w:r>
      <w:r>
        <w:rPr>
          <w:color w:val="000000"/>
        </w:rPr>
        <w:t xml:space="preserve"> </w:t>
      </w:r>
      <w:r>
        <w:rPr>
          <w:rFonts w:ascii="Times New Roman;serif" w:hAnsi="Times New Roman;serif"/>
          <w:b w:val="false"/>
          <w:color w:val="000000"/>
          <w:sz w:val="20"/>
        </w:rPr>
        <w:t>March 31, 2026, respectively</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6 - Financial Instruments</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Loans and Other Receivables</w:t>
      </w:r>
    </w:p>
    <w:p>
      <w:pPr>
        <w:pStyle w:val="TextBody"/>
        <w:bidi w:val="0"/>
        <w:spacing w:lineRule="auto" w:line="288" w:before="120" w:after="240"/>
        <w:jc w:val="both"/>
        <w:rPr/>
      </w:pPr>
      <w:r>
        <w:rPr>
          <w:rFonts w:ascii="Times New Roman;serif" w:hAnsi="Times New Roman;serif"/>
          <w:b w:val="false"/>
          <w:color w:val="231F20"/>
          <w:sz w:val="20"/>
        </w:rPr>
        <w:t xml:space="preserve">Loans and other receivables carried at amortized cost, </w:t>
      </w:r>
      <w:r>
        <w:rPr>
          <w:rFonts w:ascii="Times New Roman;serif" w:hAnsi="Times New Roman;serif"/>
          <w:b w:val="false"/>
          <w:color w:val="000000"/>
          <w:sz w:val="20"/>
        </w:rPr>
        <w:t xml:space="preserve">included in prepaid expenses and other current assets and other non-current assets on the Condensed Consolidated Balance Sheets, </w:t>
      </w:r>
      <w:r>
        <w:rPr>
          <w:rFonts w:ascii="Times New Roman;serif" w:hAnsi="Times New Roman;serif"/>
          <w:b w:val="false"/>
          <w:color w:val="231F20"/>
          <w:sz w:val="20"/>
        </w:rPr>
        <w:t>are as follows:</w:t>
      </w:r>
    </w:p>
    <w:tbl>
      <w:tblPr>
        <w:tblW w:w="8438" w:type="dxa"/>
        <w:jc w:val="left"/>
        <w:tblInd w:w="0" w:type="dxa"/>
        <w:tblLayout w:type="fixed"/>
        <w:tblCellMar>
          <w:top w:w="28" w:type="dxa"/>
          <w:left w:w="28" w:type="dxa"/>
          <w:bottom w:w="28" w:type="dxa"/>
          <w:right w:w="28" w:type="dxa"/>
        </w:tblCellMar>
      </w:tblPr>
      <w:tblGrid>
        <w:gridCol w:w="1819"/>
        <w:gridCol w:w="1596"/>
        <w:gridCol w:w="1610"/>
        <w:gridCol w:w="109"/>
        <w:gridCol w:w="109"/>
        <w:gridCol w:w="109"/>
        <w:gridCol w:w="395"/>
        <w:gridCol w:w="676"/>
        <w:gridCol w:w="204"/>
        <w:gridCol w:w="109"/>
        <w:gridCol w:w="109"/>
        <w:gridCol w:w="109"/>
        <w:gridCol w:w="431"/>
        <w:gridCol w:w="738"/>
        <w:gridCol w:w="315"/>
      </w:tblGrid>
      <w:tr>
        <w:trPr/>
        <w:tc>
          <w:tcPr>
            <w:tcW w:w="18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Loans and other receivables carried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Loans and other receivables carried at 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allowance for current expected credit losses reflects the Company’s best estimate of expected credit losses of the receivables portfolio determined on the basis of historical experience, current information, and forecasts of future economic conditions.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Available-For-Sale Debt Securities</w:t>
      </w:r>
    </w:p>
    <w:p>
      <w:pPr>
        <w:pStyle w:val="TextBody"/>
        <w:bidi w:val="0"/>
        <w:spacing w:lineRule="auto" w:line="288" w:before="0" w:after="240"/>
        <w:jc w:val="both"/>
        <w:rPr/>
      </w:pPr>
      <w:r>
        <w:rPr>
          <w:rFonts w:ascii="Times New Roman;serif" w:hAnsi="Times New Roman;serif"/>
          <w:b w:val="false"/>
          <w:color w:val="000000"/>
          <w:sz w:val="20"/>
        </w:rPr>
        <w:t xml:space="preserve">In December 2025, the Company completed a transaction to acquire an equity stake in a private entity by subscribing to its preferred shares and paid total consideration of </w:t>
      </w:r>
      <w:r>
        <w:rPr>
          <w:rFonts w:ascii="Times New Roman;serif" w:hAnsi="Times New Roman;serif"/>
          <w:b w:val="false"/>
          <w:color w:val="231F20"/>
          <w:sz w:val="20"/>
        </w:rPr>
        <w:t xml:space="preserve">$13.8 million. </w:t>
      </w:r>
      <w:r>
        <w:rPr>
          <w:rFonts w:ascii="Times New Roman;serif" w:hAnsi="Times New Roman;serif"/>
          <w:b w:val="false"/>
          <w:color w:val="000000"/>
          <w:sz w:val="20"/>
        </w:rPr>
        <w:t xml:space="preserve">The Company recorded this investment as an available-for-sale debt security in other non-current assets on the Condensed Consolidated Balance Sheets since the preferred shares purchased by the Company are redeemable at the option of the Company and are not in the substance of common stock. As of </w:t>
      </w:r>
      <w:r>
        <w:rPr>
          <w:rFonts w:ascii="Times New Roman;serif" w:hAnsi="Times New Roman;serif"/>
          <w:b w:val="false"/>
          <w:color w:val="231F20"/>
          <w:sz w:val="20"/>
        </w:rPr>
        <w:t xml:space="preserve">June 30, 2026, the fair value of </w:t>
      </w:r>
      <w:r>
        <w:rPr>
          <w:rFonts w:ascii="Times New Roman;serif" w:hAnsi="Times New Roman;serif"/>
          <w:b w:val="false"/>
          <w:color w:val="000000"/>
          <w:sz w:val="20"/>
        </w:rPr>
        <w:t xml:space="preserve">available-for-sale debt security is </w:t>
      </w:r>
      <w:r>
        <w:rPr>
          <w:rFonts w:ascii="Times New Roman;serif" w:hAnsi="Times New Roman;serif"/>
          <w:b w:val="false"/>
          <w:color w:val="231F20"/>
          <w:sz w:val="20"/>
        </w:rPr>
        <w:t>$17.8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7 - Derivatives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uses derivative financial instruments, specifically foreign currency forward contracts, to mitigate exposure from certain foreign currency risks arising from operating expenses within research and development and selling, general and administrative expenses that are denominated in foreign currency, predominantly British Pound Sterling (“GBP”). These contracts are designated as cash flow hedges for hedge accounting treatment. Gains or losses on the contracts are recorded in accumulated other comprehensive income (loss) and reclassified to operating expenses when the related operating expenses are recognized in net income (loss) or ineffectiveness should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pPr>
      <w:r>
        <w:rPr>
          <w:rFonts w:ascii="Times New Roman;serif" w:hAnsi="Times New Roman;serif"/>
          <w:b w:val="false"/>
          <w:color w:val="000000"/>
          <w:sz w:val="20"/>
        </w:rPr>
        <w:t xml:space="preserve">As of </w:t>
      </w:r>
      <w:r>
        <w:rPr>
          <w:rFonts w:ascii="Times New Roman;serif" w:hAnsi="Times New Roman;serif"/>
          <w:b w:val="false"/>
          <w:color w:val="231F20"/>
          <w:sz w:val="20"/>
        </w:rPr>
        <w:t>June 30, 2026</w:t>
      </w:r>
      <w:r>
        <w:rPr>
          <w:rFonts w:ascii="Times New Roman;serif" w:hAnsi="Times New Roman;serif"/>
          <w:b w:val="false"/>
          <w:color w:val="000000"/>
          <w:sz w:val="20"/>
        </w:rPr>
        <w:t>, the notional value of outstanding foreign currency forward contracts designated as cash flow hedges was £470.0 million and the fair value was $(8.5) million.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notional value of outstanding foreign currency forward contracts designated as cash flow hedges was £405.0 million and the fair value was $(9.5) million. </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notional amounts of the Company’s outstanding derivative instruments:</w:t>
      </w:r>
    </w:p>
    <w:tbl>
      <w:tblPr>
        <w:tblW w:w="6353" w:type="dxa"/>
        <w:jc w:val="left"/>
        <w:tblInd w:w="0" w:type="dxa"/>
        <w:tblLayout w:type="fixed"/>
        <w:tblCellMar>
          <w:top w:w="28" w:type="dxa"/>
          <w:left w:w="28" w:type="dxa"/>
          <w:bottom w:w="28" w:type="dxa"/>
          <w:right w:w="28" w:type="dxa"/>
        </w:tblCellMar>
      </w:tblPr>
      <w:tblGrid>
        <w:gridCol w:w="1065"/>
        <w:gridCol w:w="934"/>
        <w:gridCol w:w="941"/>
        <w:gridCol w:w="109"/>
        <w:gridCol w:w="109"/>
        <w:gridCol w:w="109"/>
        <w:gridCol w:w="342"/>
        <w:gridCol w:w="756"/>
        <w:gridCol w:w="176"/>
        <w:gridCol w:w="109"/>
        <w:gridCol w:w="109"/>
        <w:gridCol w:w="109"/>
        <w:gridCol w:w="377"/>
        <w:gridCol w:w="833"/>
        <w:gridCol w:w="275"/>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9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presents the fair value of the Company’s outstanding derivative instruments: </w:t>
      </w:r>
    </w:p>
    <w:tbl>
      <w:tblPr>
        <w:tblW w:w="7926" w:type="dxa"/>
        <w:jc w:val="left"/>
        <w:tblInd w:w="0" w:type="dxa"/>
        <w:tblLayout w:type="fixed"/>
        <w:tblCellMar>
          <w:top w:w="28" w:type="dxa"/>
          <w:left w:w="28" w:type="dxa"/>
          <w:bottom w:w="28" w:type="dxa"/>
          <w:right w:w="28" w:type="dxa"/>
        </w:tblCellMar>
      </w:tblPr>
      <w:tblGrid>
        <w:gridCol w:w="1064"/>
        <w:gridCol w:w="933"/>
        <w:gridCol w:w="942"/>
        <w:gridCol w:w="109"/>
        <w:gridCol w:w="109"/>
        <w:gridCol w:w="109"/>
        <w:gridCol w:w="235"/>
        <w:gridCol w:w="453"/>
        <w:gridCol w:w="121"/>
        <w:gridCol w:w="109"/>
        <w:gridCol w:w="109"/>
        <w:gridCol w:w="109"/>
        <w:gridCol w:w="283"/>
        <w:gridCol w:w="545"/>
        <w:gridCol w:w="146"/>
        <w:gridCol w:w="109"/>
        <w:gridCol w:w="109"/>
        <w:gridCol w:w="109"/>
        <w:gridCol w:w="297"/>
        <w:gridCol w:w="360"/>
        <w:gridCol w:w="153"/>
        <w:gridCol w:w="131"/>
        <w:gridCol w:w="131"/>
        <w:gridCol w:w="131"/>
        <w:gridCol w:w="296"/>
        <w:gridCol w:w="508"/>
        <w:gridCol w:w="216"/>
      </w:tblGrid>
      <w:tr>
        <w:trPr/>
        <w:tc>
          <w:tcPr>
            <w:tcW w:w="10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Designated as cash flow 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27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 Hedge Gains (Losses)</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presents net gains (losses) on foreign currency forward contracts designated as cash flow hedges: </w:t>
      </w:r>
    </w:p>
    <w:tbl>
      <w:tblPr>
        <w:tblW w:w="10205" w:type="dxa"/>
        <w:jc w:val="left"/>
        <w:tblInd w:w="0" w:type="dxa"/>
        <w:tblLayout w:type="fixed"/>
        <w:tblCellMar>
          <w:top w:w="28" w:type="dxa"/>
          <w:left w:w="28" w:type="dxa"/>
          <w:bottom w:w="28" w:type="dxa"/>
          <w:right w:w="28" w:type="dxa"/>
        </w:tblCellMar>
      </w:tblPr>
      <w:tblGrid>
        <w:gridCol w:w="2553"/>
        <w:gridCol w:w="2239"/>
        <w:gridCol w:w="2266"/>
        <w:gridCol w:w="109"/>
        <w:gridCol w:w="109"/>
        <w:gridCol w:w="109"/>
        <w:gridCol w:w="284"/>
        <w:gridCol w:w="547"/>
        <w:gridCol w:w="147"/>
        <w:gridCol w:w="147"/>
        <w:gridCol w:w="147"/>
        <w:gridCol w:w="147"/>
        <w:gridCol w:w="284"/>
        <w:gridCol w:w="486"/>
        <w:gridCol w:w="147"/>
        <w:gridCol w:w="109"/>
        <w:gridCol w:w="109"/>
        <w:gridCol w:w="109"/>
        <w:gridCol w:w="157"/>
      </w:tblGrid>
      <w:tr>
        <w:trPr/>
        <w:tc>
          <w:tcPr>
            <w:tcW w:w="2553"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7058"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5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gains (losses) recognized in accumulated other comprehensive income (loss) on cash flow hedge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5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reclassified from accumulated other comprehensive income (loss)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5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58"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Net change in fair value of the effective portion of designated cash flow hedges, net of tax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5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Income Statements,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5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5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shd w:fill="FFFFFF" w:val="clear"/>
        </w:rPr>
        <w:t>All amounts reported in accumulate</w:t>
      </w:r>
      <w:r>
        <w:rPr>
          <w:rFonts w:ascii="Times New Roman;serif" w:hAnsi="Times New Roman;serif"/>
          <w:b w:val="false"/>
          <w:color w:val="000000"/>
          <w:sz w:val="20"/>
        </w:rPr>
        <w:t>d other comprehensive income (loss) at the reporting date are expected to be reclassified into earnings within the next 12 months.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Company’s cash flow hedges were highly effective with immaterial amounts of ineffectiveness recorded in the Condensed Consolidated Income Statements for these designated cash flow hedges, and all components of each derivative instrument’s gain or loss were included in the assessment of hedge effectiveness.</w:t>
      </w:r>
    </w:p>
    <w:p>
      <w:pPr>
        <w:pStyle w:val="TextBody"/>
        <w:bidi w:val="0"/>
        <w:spacing w:lineRule="auto" w:line="288" w:before="120" w:after="240"/>
        <w:jc w:val="both"/>
        <w:rPr/>
      </w:pPr>
      <w:r>
        <w:rPr>
          <w:rFonts w:ascii="Times New Roman;serif" w:hAnsi="Times New Roman;serif"/>
          <w:b w:val="false"/>
          <w:color w:val="000000"/>
          <w:sz w:val="20"/>
        </w:rPr>
        <w:t>The Company classifies foreign currency forward contract</w:t>
      </w:r>
      <w:r>
        <w:rPr>
          <w:rFonts w:ascii="Times New Roman;serif" w:hAnsi="Times New Roman;serif"/>
          <w:b w:val="false"/>
          <w:color w:val="000000"/>
          <w:sz w:val="20"/>
          <w:shd w:fill="FFFFFF" w:val="clear"/>
        </w:rPr>
        <w:t>s as Level 2 fair value measurements pursuant to the fair value hierarchy. See</w:t>
      </w:r>
      <w:r>
        <w:rPr>
          <w:color w:val="000000"/>
          <w:shd w:fill="FFFFFF" w:val="clear"/>
        </w:rPr>
        <w:t xml:space="preserve"> </w:t>
      </w:r>
      <w:r>
        <w:rPr>
          <w:rFonts w:ascii="Times New Roman;serif" w:hAnsi="Times New Roman;serif"/>
          <w:b w:val="false"/>
          <w:i/>
          <w:color w:val="000000"/>
          <w:sz w:val="20"/>
          <w:shd w:fill="FFFFFF" w:val="clear"/>
        </w:rPr>
        <w:t>Note 8 - Fair Value</w:t>
      </w:r>
      <w:r>
        <w:rPr>
          <w:rFonts w:ascii="Times New Roman;serif" w:hAnsi="Times New Roman;serif"/>
          <w:b w:val="false"/>
          <w:color w:val="000000"/>
          <w:sz w:val="20"/>
          <w:shd w:fill="FFFFFF" w:val="clear"/>
        </w:rPr>
        <w:t xml:space="preserv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8 - Fair Value</w:t>
      </w:r>
    </w:p>
    <w:p>
      <w:pPr>
        <w:pStyle w:val="TextBody"/>
        <w:bidi w:val="0"/>
        <w:spacing w:lineRule="auto" w:line="288" w:before="120" w:after="240"/>
        <w:jc w:val="both"/>
        <w:rPr/>
      </w:pPr>
      <w:r>
        <w:rPr>
          <w:rFonts w:ascii="Times New Roman;serif" w:hAnsi="Times New Roman;serif"/>
          <w:b w:val="false"/>
          <w:color w:val="231F20"/>
          <w:sz w:val="20"/>
          <w:shd w:fill="FFFFFF" w:val="clear"/>
        </w:rPr>
        <w:t xml:space="preserve">To provide an indication about the reliability of the inputs used in determining fair value, the Company classifies its fair value financial instruments into the three levels prescribed under GAAP. An explanation of each level follows the tables and qualitative disclosures below. </w:t>
      </w:r>
      <w:r>
        <w:rPr>
          <w:rFonts w:ascii="Times New Roman;serif" w:hAnsi="Times New Roman;serif"/>
          <w:b w:val="false"/>
          <w:color w:val="231F20"/>
          <w:sz w:val="20"/>
        </w:rPr>
        <w:t>There were no transfers between fair value measurement levels for any periods presented.</w:t>
      </w:r>
    </w:p>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table presents the Company’s fair value hierarchy for assets and liabilities measured and recognized at fair value, excluding investments where the NAV practical expedient has been elected, on a recurring basis:</w:t>
      </w:r>
    </w:p>
    <w:tbl>
      <w:tblPr>
        <w:tblW w:w="10885" w:type="dxa"/>
        <w:jc w:val="left"/>
        <w:tblInd w:w="0" w:type="dxa"/>
        <w:tblLayout w:type="fixed"/>
        <w:tblCellMar>
          <w:top w:w="28" w:type="dxa"/>
          <w:left w:w="28" w:type="dxa"/>
          <w:bottom w:w="28" w:type="dxa"/>
          <w:right w:w="28" w:type="dxa"/>
        </w:tblCellMar>
      </w:tblPr>
      <w:tblGrid>
        <w:gridCol w:w="799"/>
        <w:gridCol w:w="522"/>
        <w:gridCol w:w="255"/>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Short-term investments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Equity investments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erif" w:hAnsi="Times New Roman;serif"/>
          <w:b w:val="false"/>
          <w:color w:val="000000"/>
          <w:sz w:val="13"/>
          <w:shd w:fill="FFFFFF" w:val="clear"/>
        </w:rPr>
        <w:t>(1)</w:t>
      </w:r>
      <w:r>
        <w:rPr>
          <w:rFonts w:ascii="Times New Roman;serif" w:hAnsi="Times New Roman;serif"/>
          <w:b w:val="false"/>
          <w:color w:val="000000"/>
          <w:sz w:val="20"/>
          <w:shd w:fill="FFFFFF" w:val="clear"/>
        </w:rPr>
        <w:t>Short-term investments represent term deposits with banks with a maturity between</w:t>
      </w:r>
      <w:r>
        <w:rPr>
          <w:color w:val="000000"/>
        </w:rPr>
        <w:t xml:space="preserve"> </w:t>
      </w:r>
      <w:r>
        <w:rPr>
          <w:rFonts w:ascii="Times New Roman;serif" w:hAnsi="Times New Roman;serif"/>
          <w:b w:val="false"/>
          <w:color w:val="000000"/>
          <w:sz w:val="20"/>
        </w:rPr>
        <w:t xml:space="preserve">3 and 12 </w:t>
      </w:r>
      <w:r>
        <w:rPr>
          <w:rFonts w:ascii="Times New Roman;serif" w:hAnsi="Times New Roman;serif"/>
          <w:b w:val="false"/>
          <w:color w:val="000000"/>
          <w:sz w:val="20"/>
          <w:shd w:fill="FFFFFF" w:val="clear"/>
        </w:rPr>
        <w:t>months.</w:t>
      </w:r>
    </w:p>
    <w:p>
      <w:pPr>
        <w:pStyle w:val="TextBody"/>
        <w:bidi w:val="0"/>
        <w:spacing w:lineRule="auto" w:line="288" w:before="60" w:after="240"/>
        <w:ind w:left="0" w:right="0" w:hanging="360"/>
        <w:jc w:val="both"/>
        <w:rPr/>
      </w:pPr>
      <w:r>
        <w:rPr>
          <w:rFonts w:ascii="Times New Roman;serif" w:hAnsi="Times New Roman;serif"/>
          <w:b w:val="false"/>
          <w:color w:val="000000"/>
          <w:sz w:val="13"/>
          <w:shd w:fill="FFFFFF" w:val="clear"/>
        </w:rPr>
        <w:t>(2)</w:t>
      </w:r>
      <w:r>
        <w:rPr>
          <w:rFonts w:ascii="Times New Roman;serif" w:hAnsi="Times New Roman;serif"/>
          <w:b w:val="false"/>
          <w:color w:val="000000"/>
          <w:sz w:val="20"/>
          <w:shd w:fill="FFFFFF" w:val="clear"/>
        </w:rPr>
        <w:t xml:space="preserve">In accordance with ASC Subtopic 820-10, </w:t>
      </w:r>
      <w:r>
        <w:rPr>
          <w:rFonts w:ascii="Times New Roman;serif" w:hAnsi="Times New Roman;serif"/>
          <w:b w:val="false"/>
          <w:i/>
          <w:color w:val="000000"/>
          <w:sz w:val="20"/>
          <w:shd w:fill="FFFFFF" w:val="clear"/>
        </w:rPr>
        <w:t>Fair Value Measurements,</w:t>
      </w:r>
      <w:r>
        <w:rPr>
          <w:color w:val="000000"/>
          <w:shd w:fill="FFFFFF" w:val="clear"/>
        </w:rPr>
        <w:t xml:space="preserve"> </w:t>
      </w:r>
      <w:r>
        <w:rPr>
          <w:rFonts w:ascii="Times New Roman;serif" w:hAnsi="Times New Roman;serif"/>
          <w:b w:val="false"/>
          <w:color w:val="000000"/>
          <w:sz w:val="20"/>
          <w:shd w:fill="FFFFFF" w:val="clear"/>
        </w:rPr>
        <w:t>investments that are measured at fair value using the NAV practical expedient are not classified in the fair value hierarchy.</w:t>
      </w:r>
    </w:p>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tables summarize changes in the fair value, along with other activity associated with the Company’s Level 3 financial assets. See below for a description of the valuation techniques and inputs used in the fair value measurement of Level 3 equity method investments.</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Equity Method Investments</w:t>
      </w:r>
    </w:p>
    <w:tbl>
      <w:tblPr>
        <w:tblW w:w="9862" w:type="dxa"/>
        <w:jc w:val="left"/>
        <w:tblInd w:w="0" w:type="dxa"/>
        <w:tblLayout w:type="fixed"/>
        <w:tblCellMar>
          <w:top w:w="28" w:type="dxa"/>
          <w:left w:w="28" w:type="dxa"/>
          <w:bottom w:w="28" w:type="dxa"/>
          <w:right w:w="28" w:type="dxa"/>
        </w:tblCellMar>
      </w:tblPr>
      <w:tblGrid>
        <w:gridCol w:w="2602"/>
        <w:gridCol w:w="2282"/>
        <w:gridCol w:w="2301"/>
        <w:gridCol w:w="109"/>
        <w:gridCol w:w="109"/>
        <w:gridCol w:w="109"/>
        <w:gridCol w:w="220"/>
        <w:gridCol w:w="377"/>
        <w:gridCol w:w="113"/>
        <w:gridCol w:w="113"/>
        <w:gridCol w:w="113"/>
        <w:gridCol w:w="113"/>
        <w:gridCol w:w="220"/>
        <w:gridCol w:w="487"/>
        <w:gridCol w:w="113"/>
        <w:gridCol w:w="109"/>
        <w:gridCol w:w="109"/>
        <w:gridCol w:w="109"/>
        <w:gridCol w:w="154"/>
      </w:tblGrid>
      <w:tr>
        <w:trPr/>
        <w:tc>
          <w:tcPr>
            <w:tcW w:w="260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of financial assets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gains (losses) recognized in the Condensed Consolidated Income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The Company elected the fair value option in accordance with the guidance in ASC 825, </w:t>
      </w:r>
      <w:r>
        <w:rPr>
          <w:rFonts w:ascii="Times New Roman;serif" w:hAnsi="Times New Roman;serif"/>
          <w:b w:val="false"/>
          <w:i/>
          <w:color w:val="000000"/>
          <w:sz w:val="20"/>
          <w:shd w:fill="FFFFFF" w:val="clear"/>
        </w:rPr>
        <w:t>Financial Instruments</w:t>
      </w:r>
      <w:r>
        <w:rPr>
          <w:color w:val="000000"/>
          <w:shd w:fill="FFFFFF" w:val="clear"/>
        </w:rPr>
        <w:t xml:space="preserve"> </w:t>
      </w:r>
      <w:r>
        <w:rPr>
          <w:rFonts w:ascii="Times New Roman;serif" w:hAnsi="Times New Roman;serif"/>
          <w:b w:val="false"/>
          <w:color w:val="000000"/>
          <w:sz w:val="20"/>
          <w:shd w:fill="FFFFFF" w:val="clear"/>
        </w:rPr>
        <w:t>(“ASC 825”) for its investments in Acetone Limited.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(i) the market-calibration approach based on the guideline public company method, or (ii) subject to availability of sufficient information, the income approach based on the discounted cash flow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The market-calibration approach considers valuation multiples that are calibrated to the valuation as of the prior valuation date (i.e., quarterly) based on: (a) changes in the broader market or industry; (b) changes in the guideline public companies; </w:t>
      </w:r>
      <w:r>
        <w:rPr>
          <w:rFonts w:ascii="Times New Roman;serif" w:hAnsi="Times New Roman;serif"/>
          <w:b w:val="false"/>
          <w:color w:val="000000"/>
          <w:sz w:val="20"/>
        </w:rPr>
        <w:t>and (c) changes in the company’s operatin</w:t>
      </w:r>
      <w:r>
        <w:rPr>
          <w:rFonts w:ascii="Times New Roman;serif" w:hAnsi="Times New Roman;serif"/>
          <w:b w:val="false"/>
          <w:color w:val="000000"/>
          <w:sz w:val="20"/>
          <w:shd w:fill="FFFFFF" w:val="clear"/>
        </w:rPr>
        <w:t xml:space="preserve">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 </w:t>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tables provide quantitative information related to certain key assumptions utilized in the valuation of equity method investments accounted for under the fair value option:</w:t>
      </w:r>
    </w:p>
    <w:tbl>
      <w:tblPr>
        <w:tblW w:w="10205" w:type="dxa"/>
        <w:jc w:val="left"/>
        <w:tblInd w:w="0" w:type="dxa"/>
        <w:tblLayout w:type="fixed"/>
        <w:tblCellMar>
          <w:top w:w="28" w:type="dxa"/>
          <w:left w:w="28" w:type="dxa"/>
          <w:bottom w:w="28" w:type="dxa"/>
          <w:right w:w="28" w:type="dxa"/>
        </w:tblCellMar>
      </w:tblPr>
      <w:tblGrid>
        <w:gridCol w:w="609"/>
        <w:gridCol w:w="534"/>
        <w:gridCol w:w="542"/>
        <w:gridCol w:w="109"/>
        <w:gridCol w:w="109"/>
        <w:gridCol w:w="109"/>
        <w:gridCol w:w="259"/>
        <w:gridCol w:w="259"/>
        <w:gridCol w:w="261"/>
        <w:gridCol w:w="109"/>
        <w:gridCol w:w="109"/>
        <w:gridCol w:w="109"/>
        <w:gridCol w:w="109"/>
        <w:gridCol w:w="109"/>
        <w:gridCol w:w="1101"/>
        <w:gridCol w:w="1101"/>
        <w:gridCol w:w="1080"/>
        <w:gridCol w:w="109"/>
        <w:gridCol w:w="109"/>
        <w:gridCol w:w="109"/>
        <w:gridCol w:w="536"/>
        <w:gridCol w:w="536"/>
        <w:gridCol w:w="537"/>
        <w:gridCol w:w="109"/>
        <w:gridCol w:w="109"/>
        <w:gridCol w:w="109"/>
        <w:gridCol w:w="384"/>
        <w:gridCol w:w="384"/>
        <w:gridCol w:w="556"/>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8554" w:type="dxa"/>
            <w:gridSpan w:val="2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1651" w:type="dxa"/>
            <w:gridSpan w:val="6"/>
            <w:tcBorders/>
          </w:tcPr>
          <w:p>
            <w:pPr>
              <w:pStyle w:val="TableContents"/>
              <w:bidi w:val="0"/>
              <w:spacing w:before="0" w:after="283"/>
              <w:jc w:val="left"/>
              <w:rPr>
                <w:sz w:val="4"/>
                <w:szCs w:val="4"/>
              </w:rPr>
            </w:pPr>
            <w:r>
              <w:rPr>
                <w:sz w:val="4"/>
                <w:szCs w:val="4"/>
              </w:rPr>
            </w:r>
          </w:p>
        </w:tc>
      </w:tr>
      <w:tr>
        <w:trPr/>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Range of Estimates</w:t>
            </w:r>
          </w:p>
        </w:tc>
      </w:tr>
      <w:tr>
        <w:trPr/>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Acetone Limited – Market-Calibration or 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LTM Revenue Multiple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0.8x - 1.0x</w:t>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4" w:type="dxa"/>
            <w:gridSpan w:val="2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1651" w:type="dxa"/>
            <w:gridSpan w:val="6"/>
            <w:tcBorders/>
          </w:tcPr>
          <w:p>
            <w:pPr>
              <w:pStyle w:val="TableContents"/>
              <w:bidi w:val="0"/>
              <w:spacing w:before="0" w:after="283"/>
              <w:jc w:val="left"/>
              <w:rPr>
                <w:sz w:val="4"/>
                <w:szCs w:val="4"/>
              </w:rPr>
            </w:pPr>
            <w:r>
              <w:rPr>
                <w:sz w:val="4"/>
                <w:szCs w:val="4"/>
              </w:rPr>
            </w:r>
          </w:p>
        </w:tc>
      </w:tr>
      <w:tr>
        <w:trPr/>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Range of Estimates</w:t>
            </w:r>
          </w:p>
        </w:tc>
      </w:tr>
      <w:tr>
        <w:trPr/>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Acetone Limited – Market-Calibration or 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LTM Revenue Multiple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0.9x - 1.1x</w:t>
            </w:r>
          </w:p>
        </w:tc>
      </w:tr>
    </w:tbl>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Currency Exchange Contracts</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currency exchange contracts, these contracts are valued at the present value of future cash flows based on forward exchange rates at the balance sheet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9 - Shareholders’ Equity</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Employee Benefit Trust</w:t>
      </w:r>
    </w:p>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In September 2023, the Company established the EBT, constituted by a trust deed entered into by the Company and a professional trustee, with the principal purpose to facilitate the efficient and flexible settlement of share-based compensation arrangements with employees. The Company has the power to appoint and remove the trustee and therefore, consolidates the trust. The EBT may acquire newly issued ordinary shares or American Depositary Shares (“ADSs”) of the Company at nominal value or the trustee of the EBT has the power to acquire ordinary shares or ADSs of the Company in the open market, which purchases may be funded by one or more loans from the Company to the EBT or non-repayable gifts made by the Company to the EBT. </w:t>
      </w:r>
      <w:r>
        <w:rPr>
          <w:rFonts w:ascii="Times New Roman;serif" w:hAnsi="Times New Roman;serif"/>
          <w:b w:val="false"/>
          <w:color w:val="000000"/>
          <w:sz w:val="20"/>
        </w:rPr>
        <w:t xml:space="preserve">As of June 30, 2026 and March 31, 2026, the EBT held a nominal number of ADSs, which were purchased from the Company at par value. The market value of ADSs held by the EBT as of June 30, 2026 and March 31, 2026 was $9.5 million and $2.2 million, respectively. The ADSs held by the EBT as of March 31, 2026 were, and the ADSs held by the EBT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are expected to be, transferred out of the EBT in order to settle vestin</w:t>
      </w:r>
      <w:r>
        <w:rPr>
          <w:rFonts w:ascii="Times New Roman;serif" w:hAnsi="Times New Roman;serif"/>
          <w:b w:val="false"/>
          <w:color w:val="000000"/>
          <w:sz w:val="20"/>
          <w:shd w:fill="FFFFFF" w:val="clear"/>
        </w:rPr>
        <w:t>g of share-based compensation for employees. As the EBT is consolidated by the Company, ordinary shares or ADSs held by the EBT are considered authorized and issued but not outstanding for the computation of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10 - Share-based Compensation</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RSUs and performance share units (“PSUs”) were granted to employees, certain executive officers, and non-executive directors of the Company and require continuous service through the vesting date.</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expenses share-based compensation over the requisite service period of the awards, which is generally equivalent to the vesting term. Compensation cost is recorded only for those awards expected to vest. </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RSUs is determined on the date of grant for equity-classified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estimates forfeitures based on employee level, economic conditions, time remaining to vest and historical forfeiture experience.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Restricted Share Units – 2022 Arm Limited RSU Award Plan (“2022 RSU Plan”)</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table below identifies the award activity under the 2022 RSU Plan:</w:t>
      </w:r>
    </w:p>
    <w:tbl>
      <w:tblPr>
        <w:tblW w:w="10205" w:type="dxa"/>
        <w:jc w:val="left"/>
        <w:tblInd w:w="0" w:type="dxa"/>
        <w:tblLayout w:type="fixed"/>
        <w:tblCellMar>
          <w:top w:w="28" w:type="dxa"/>
          <w:left w:w="28" w:type="dxa"/>
          <w:bottom w:w="28" w:type="dxa"/>
          <w:right w:w="28" w:type="dxa"/>
        </w:tblCellMar>
      </w:tblPr>
      <w:tblGrid>
        <w:gridCol w:w="1565"/>
        <w:gridCol w:w="1368"/>
        <w:gridCol w:w="1374"/>
        <w:gridCol w:w="109"/>
        <w:gridCol w:w="109"/>
        <w:gridCol w:w="109"/>
        <w:gridCol w:w="250"/>
        <w:gridCol w:w="250"/>
        <w:gridCol w:w="251"/>
        <w:gridCol w:w="109"/>
        <w:gridCol w:w="109"/>
        <w:gridCol w:w="109"/>
        <w:gridCol w:w="966"/>
        <w:gridCol w:w="2820"/>
        <w:gridCol w:w="707"/>
      </w:tblGrid>
      <w:tr>
        <w:trPr/>
        <w:tc>
          <w:tcPr>
            <w:tcW w:w="156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millions, except per award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Weighted Average Grant Date Fair Value Per Award</w:t>
            </w:r>
          </w:p>
        </w:tc>
      </w:tr>
      <w:tr>
        <w:trPr/>
        <w:tc>
          <w:tcPr>
            <w:tcW w:w="4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59.59 </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93"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820"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65.83 </w:t>
            </w:r>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93"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Outstanding and expected to vest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820"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$0.1 million of total unrecognized compensation cost related to awards issued under the 2022 RSU Plan, which are expected to be recognized over a weighted-average period of 0.1 years. There were no liability-classified RSUs under the 2022 RSU Plan.</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Omnibus Incentive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August 2023, the Company’s Board of Directors adopted the Arm Holdings plc 2023 Omnibus Incentive Plan (the “Omnibus Incentive Plan”), which became effective in September 2023. The maximum number of ordinary shares that may be issued under the Omnibus Incentive Plan is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the Company’s Board of Directors or the Remuneration Committee of the Board of Directors (the “Remuneration Committee”).</w:t>
      </w:r>
    </w:p>
    <w:p>
      <w:pPr>
        <w:pStyle w:val="TextBody"/>
        <w:bidi w:val="0"/>
        <w:spacing w:lineRule="auto" w:line="288" w:before="120" w:after="240"/>
        <w:jc w:val="both"/>
        <w:rPr/>
      </w:pPr>
      <w:r>
        <w:rPr>
          <w:rFonts w:ascii="Times New Roman;serif" w:hAnsi="Times New Roman;serif"/>
          <w:b w:val="false"/>
          <w:color w:val="000000"/>
          <w:sz w:val="20"/>
          <w:shd w:fill="FFFFFF" w:val="clear"/>
        </w:rPr>
        <w:t>In October 2023, the Company started to grant RSUs and PSUs under the Omnibus Incentive Plan to employees, including executives of the Company. The RSUs and PSUs granted neither carry rights to dividends nor voting rights until the shares are issued or transferred to the recipient. The Omnibus Incentive Plan allows for either cash or share settlement of the awards by tranche, if applicable, at the discretion of the Remuneration Committee. At the time of issuance, the Company intended to settle the RSUs and PSUs in shares at the vesting date and such awards are accounted for as equity-classified awards. The RSUs were granted to existing employees and new hires of the Company and its subsidiaries, Arm Technology Israel Ltd. and Arm France SAS, and vest in tranches, require continuous service through the vesting date and are subject to graded vesting over a period of three to four years. RSUs granted to employees and new hires of subsidiaries in Israel and France substantially share the same terms as the existing RSUs under the 2022 RSU Plan with differences limited to the vesting sc</w:t>
      </w:r>
      <w:r>
        <w:rPr>
          <w:rFonts w:ascii="Times New Roman;serif" w:hAnsi="Times New Roman;serif"/>
          <w:b w:val="false"/>
          <w:color w:val="000000"/>
          <w:sz w:val="20"/>
        </w:rPr>
        <w:t>hedules and, in the case of grants to hires of subsidiaries in France, holding period. PSUs were awarded to executives of the Company and include a portion that vests over a three-year continuous service period and another portion that is subject to continuous service and satisfaction of certain Company performance conditions. The time-based portio</w:t>
      </w:r>
      <w:r>
        <w:rPr>
          <w:rFonts w:ascii="Times New Roman;serif" w:hAnsi="Times New Roman;serif"/>
          <w:b w:val="false"/>
          <w:color w:val="000000"/>
          <w:sz w:val="20"/>
          <w:shd w:fill="FFFFFF" w:val="clear"/>
        </w:rPr>
        <w:t xml:space="preserve">n </w:t>
      </w:r>
      <w:r>
        <w:rPr>
          <w:rFonts w:ascii="Times New Roman;serif" w:hAnsi="Times New Roman;serif"/>
          <w:b w:val="false"/>
          <w:color w:val="000000"/>
          <w:sz w:val="20"/>
        </w:rPr>
        <w:t xml:space="preserve">of the PSUs </w:t>
      </w:r>
      <w:r>
        <w:rPr>
          <w:rFonts w:ascii="Times New Roman;serif" w:hAnsi="Times New Roman;serif"/>
          <w:b w:val="false"/>
          <w:color w:val="000000"/>
          <w:sz w:val="20"/>
          <w:shd w:fill="FFFFFF" w:val="clear"/>
        </w:rPr>
        <w:t>vest over a three-year period. The PSUs that are subject to continuous service and satisfaction of certain Company performance conditions vest upon the satisfaction of performance metrics as established for each one-year performance period and have the potential to vest between 0% and 200% of the original award amount depending on the achievement of annual performance metrics.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of the Omnibus Incentive Plan, on April 1, 2026, the total number of ordinary shares available for issuance under the Omnibus Incentive Plan and the ESPP (as defined below) increased by an aggregate of 13,821,271 ordinary shares as determined by the Remuneration Committee.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granted PSUs under the Omnibus Incentive Plan with financial, strategic, and relative total shareholder return (“Relative TSR”) as the performance measures. The portion of PSUs granted with Relative TSR as the performance measures are assessed over a three-year performance period relative to the S&amp;P 500 IT Sector Index and have the potential to vest between 0% and 200% of the original award amount depending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on the Relative TSR achievement. To determine the grant date fair value of the market conditions component of the awards with Relative TSR-based performance measures, a Monte Carlo simulation model is used based on the Company’s assumptions, which include a risk-free interest rate and implied volatility. The Company recognizes compensation cost for the Relative TSR awards over the requisite service period based on the grant date fair value.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March 2026, the Company expanded its offerings to include Arm-designed silicon products with the introduction of the Arm AGI CPU. In this context, the Remuneration Committee has proposed a revised Remuneration Policy which incorporates two updates for equity awards: (i) adjusting the Performance Share Unit (“PSU”) maximum from 125% to 200% for the Company’s Chief Executive Officer, and (ii) introducing a new Value Creation Plan (“VCP”) PSU award for the Chief Executive Officer (the “VCP Award”). During the three months ended June 30, 2026, the Company granted this one-time VCP Award consisting of 425,000 PSUs to the Chief Executive Officer under the Omnibus Incentive Plan. The VCP Award is conditional on shareholder approval of the revised Remuneration Policy to be voted on at the Company’s 2026 Annual General Meeting. The VCP Award is subject to both service and market conditions and is eligible to vest upon achievement of specified market capitalization milestones by March 31, 2031. The award has a maximum vesting potential of 100% of the granted PSUs and vests in tranches through April 1, 2033, subject to continued employment. To determine the grant date fair value of the VCP Award, a Monte Carlo simulation model is used based on the Company’s assumptions, which include a risk-free interest rate and implied volatility. The Company recognizes compensation cost for the VCP Award over the requisite service period based on the grant date fair value.</w:t>
      </w:r>
    </w:p>
    <w:p>
      <w:pPr>
        <w:pStyle w:val="TextBody"/>
        <w:bidi w:val="0"/>
        <w:spacing w:lineRule="auto" w:line="288" w:before="12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identifies all award activity under the Omnibus Incentive Plan:</w:t>
      </w:r>
    </w:p>
    <w:tbl>
      <w:tblPr>
        <w:tblW w:w="10205" w:type="dxa"/>
        <w:jc w:val="left"/>
        <w:tblInd w:w="0" w:type="dxa"/>
        <w:tblLayout w:type="fixed"/>
        <w:tblCellMar>
          <w:top w:w="28" w:type="dxa"/>
          <w:left w:w="28" w:type="dxa"/>
          <w:bottom w:w="28" w:type="dxa"/>
          <w:right w:w="28" w:type="dxa"/>
        </w:tblCellMar>
      </w:tblPr>
      <w:tblGrid>
        <w:gridCol w:w="1508"/>
        <w:gridCol w:w="1305"/>
        <w:gridCol w:w="1310"/>
        <w:gridCol w:w="109"/>
        <w:gridCol w:w="109"/>
        <w:gridCol w:w="109"/>
        <w:gridCol w:w="312"/>
        <w:gridCol w:w="312"/>
        <w:gridCol w:w="314"/>
        <w:gridCol w:w="109"/>
        <w:gridCol w:w="109"/>
        <w:gridCol w:w="109"/>
        <w:gridCol w:w="871"/>
        <w:gridCol w:w="2979"/>
        <w:gridCol w:w="640"/>
      </w:tblGrid>
      <w:tr>
        <w:trPr/>
        <w:tc>
          <w:tcPr>
            <w:tcW w:w="150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12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millions, except per award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Awards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Weighted Average Grant Date Fair Value Per Award </w:t>
            </w:r>
            <w:r>
              <w:rPr>
                <w:rFonts w:ascii="Times New Roman;serif" w:hAnsi="Times New Roman;serif"/>
                <w:b/>
                <w:color w:val="000000"/>
                <w:sz w:val="13"/>
              </w:rPr>
              <w:t>(1)</w:t>
            </w:r>
          </w:p>
        </w:tc>
      </w:tr>
      <w:tr>
        <w:trPr/>
        <w:tc>
          <w:tcPr>
            <w:tcW w:w="4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97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120.64 </w:t>
            </w:r>
          </w:p>
        </w:tc>
        <w:tc>
          <w:tcPr>
            <w:tcW w:w="6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979"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208.44 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979"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117.88 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Cancelled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979"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141.16 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and expected to vest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979"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159.77 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erif" w:hAnsi="Times New Roman;serif"/>
          <w:b w:val="false"/>
          <w:color w:val="000000"/>
          <w:sz w:val="13"/>
          <w:shd w:fill="FFFFFF" w:val="clear"/>
        </w:rPr>
        <w:t>(1)    </w:t>
      </w:r>
      <w:r>
        <w:rPr>
          <w:rFonts w:ascii="Times New Roman;serif" w:hAnsi="Times New Roman;serif"/>
          <w:b w:val="false"/>
          <w:color w:val="000000"/>
          <w:sz w:val="20"/>
          <w:shd w:fill="FFFFFF" w:val="clear"/>
        </w:rPr>
        <w:t>Awards and weighted average grant date fair value per award exclude shares related to PSUs that currently have no grant date as the future performance objectives have not yet been defined and/or communicated to participants of the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Other than PSUs with Relative TSR-based performance measures and the VCP Award with market capitalization-based performance measures, the Company uses the closing ADS price of the Company on the date of grant as the fair value of awards. As of June 30, 2026, there was $3,621.9 million of total unrecognized compensation cost related to awards issued under the Omnibus Incentive Plan, which is expected to be recognized over a weighted-average period of 1.6 years.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and September 2024, the Company’s Board of Directors adopted and the Company’s shareholders approved, respectively, the Employee Stock Purchase Plan (“ESPP”). The maximum number of shares that may be granted under the ESPP is equal to the number of shares available for issuance under the Omnibus Incentive Plan, and each share granted under the ESPP reduces the number of shares available for issuance under the Omnibus Incentive Plan and its sub-plans by one share. The ESPP provides for one or more offering periods, and each offering will be for any period of between six and 24 calendar months as determined by the Remuneration Committee. Subject to any limitations contained therein, the ESPP allows eligible employees to purchase the Company’s ordinary shares or ADSs through payroll deductions of up to 10% of eligible compensation, subject to a cap of $25,000 per year (as calculated based on applicable tax rules). Eligible employees may be granted ESPP options to acquire ordinary shares or ADSs at a fixed price, which may be set at a discount of up to 15% of the lesser of (1) the fair market value of the ordinary shares or ADSs on the day before the offering period start date or (2) the fair market value of the ordinary shares or ADSs on the day before the purchase date at the end of the offering period. Employees may withdraw from the ESPP during specified periods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receive a full refund of accumulated payroll contributions. Employees who cease working at the Company during an offering period are treated as withdrawing from the ESPP.</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$5.2 million of total unrecognized compensation cost related to the ESPP expected to be recognized over the remaining term of the offering period ending on August 31, 2026. As of June 30, 2026, 0.7 million ordinary shares or ADSs have been purchased under the ESPP.</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Share-based Compensation Cost</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summary of share-based compensation cost recognized in the Condensed Consolidated Income Statements is as follows:</w:t>
      </w:r>
    </w:p>
    <w:tbl>
      <w:tblPr>
        <w:tblW w:w="5947" w:type="dxa"/>
        <w:jc w:val="left"/>
        <w:tblInd w:w="0" w:type="dxa"/>
        <w:tblLayout w:type="fixed"/>
        <w:tblCellMar>
          <w:top w:w="28" w:type="dxa"/>
          <w:left w:w="28" w:type="dxa"/>
          <w:bottom w:w="28" w:type="dxa"/>
          <w:right w:w="28" w:type="dxa"/>
        </w:tblCellMar>
      </w:tblPr>
      <w:tblGrid>
        <w:gridCol w:w="1171"/>
        <w:gridCol w:w="1028"/>
        <w:gridCol w:w="1041"/>
        <w:gridCol w:w="109"/>
        <w:gridCol w:w="109"/>
        <w:gridCol w:w="109"/>
        <w:gridCol w:w="211"/>
        <w:gridCol w:w="466"/>
        <w:gridCol w:w="109"/>
        <w:gridCol w:w="109"/>
        <w:gridCol w:w="109"/>
        <w:gridCol w:w="109"/>
        <w:gridCol w:w="211"/>
        <w:gridCol w:w="466"/>
        <w:gridCol w:w="109"/>
        <w:gridCol w:w="109"/>
        <w:gridCol w:w="109"/>
        <w:gridCol w:w="109"/>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Pre-tax share-based compensation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Less: 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share-based compensation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$2.0 million of share</w:t>
        <w:noBreakHyphen/>
        <w:t>based compensation cost was capitalized as internal</w:t>
        <w:noBreakHyphen/>
        <w:t>use software. No share-based compensation cost was capitalized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11 - Income Taxes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income taxes in the U.K. and foreign jurisdictions. The Company bases its interim tax provision on an estimated annual effective tax rate applied to year-to-date results and records discrete items in the period to which they relate. For the three months ended June 30, 2026 and 2025, the Company’s income tax benefit (expense) was $17.0 million and $(16.0) million, respectively. The effective tax rate differed from the 25% U.K. statutory rate primarily due to the impacts of gross basis withholding taxes, research and development tax credits and tax deductions associated with share-based compensation.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material changes to unrecognized tax benefits, and there are no expectations of material changes in the Company’s unrecognized tax benefits within the next twelve months. The Company is subject to reviews by the U.K. tax authorities for the fiscal year 2019 and all subsequent years and by the U.S. tax authorities for the calendar year 2003 and most subsequent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12 - Net Income (Loss) Per Share</w:t>
      </w:r>
    </w:p>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table presents a reconciliation of basic and diluted earnings per share computations for the periods presented:</w:t>
      </w:r>
    </w:p>
    <w:tbl>
      <w:tblPr>
        <w:tblW w:w="10205" w:type="dxa"/>
        <w:jc w:val="left"/>
        <w:tblInd w:w="0" w:type="dxa"/>
        <w:tblLayout w:type="fixed"/>
        <w:tblCellMar>
          <w:top w:w="28" w:type="dxa"/>
          <w:left w:w="28" w:type="dxa"/>
          <w:bottom w:w="28" w:type="dxa"/>
          <w:right w:w="28" w:type="dxa"/>
        </w:tblCellMar>
      </w:tblPr>
      <w:tblGrid>
        <w:gridCol w:w="2810"/>
        <w:gridCol w:w="2294"/>
        <w:gridCol w:w="2302"/>
        <w:gridCol w:w="109"/>
        <w:gridCol w:w="109"/>
        <w:gridCol w:w="109"/>
        <w:gridCol w:w="211"/>
        <w:gridCol w:w="511"/>
        <w:gridCol w:w="109"/>
        <w:gridCol w:w="109"/>
        <w:gridCol w:w="109"/>
        <w:gridCol w:w="109"/>
        <w:gridCol w:w="211"/>
        <w:gridCol w:w="511"/>
        <w:gridCol w:w="109"/>
        <w:gridCol w:w="109"/>
        <w:gridCol w:w="109"/>
        <w:gridCol w:w="109"/>
        <w:gridCol w:w="156"/>
      </w:tblGrid>
      <w:tr>
        <w:trPr/>
        <w:tc>
          <w:tcPr>
            <w:tcW w:w="281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attributable to ordinary shareholders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used to calculate income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Equity-classified share-based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used to calculate income (loss)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per share attributable to ordinary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per share attributable to ordinary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Securities excluded from diluted net income (loss) per ordinary share because their effect would have been anti-dilutive: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64" w:before="33" w:after="283"/>
              <w:jc w:val="left"/>
              <w:rPr>
                <w:rFonts w:ascii="Times New Roman;serif" w:hAnsi="Times New Roman;serif"/>
                <w:b w:val="false"/>
                <w:color w:val="231F20"/>
                <w:sz w:val="20"/>
              </w:rPr>
            </w:pPr>
            <w:r>
              <w:rPr>
                <w:rFonts w:ascii="Times New Roman;serif" w:hAnsi="Times New Roman;serif"/>
                <w:b w:val="false"/>
                <w:color w:val="231F20"/>
                <w:sz w:val="20"/>
              </w:rPr>
              <w:t>Restricted share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13 - Commitments and Contingencies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litigation, government investigations or regulatory proceedings in the ordinary course of business. Because the results of any litigation or other legal proceedings are uncertain, the Company’s financial position, results of operations or cash flows could be materially affected by an unfavorable resolution of one or more of these proceedings, claims, or demands. However, management does not currently believe the ultimate resolution of any pending legal matters is reasonably possible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No material amounts related to litigation settlements were recognized in the three months ended June 30, 2026 and 2025.</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April 2026, the Company entered into an amendment with a cloud computing web services provider to increase the total purchase commitment by $305.0 million through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14 - Related Party Transactions</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Arm China and Acetone Limited</w:t>
      </w:r>
    </w:p>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Following the restructuring of its direct investment in Arm Technology (China) Co. Limited (“Arm China”) in the fiscal year ended March 31, 2022, the Company has a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shd w:fill="FFFFFF" w:val="clear"/>
        </w:rPr>
        <w:t xml:space="preserve">non-voting ownership interest in Acetone Limited, whose primary asset is a </w:t>
      </w:r>
      <w:r>
        <w:rPr>
          <w:rFonts w:ascii="Times New Roman;serif" w:hAnsi="Times New Roman;serif"/>
          <w:b w:val="false"/>
          <w:color w:val="000000"/>
          <w:sz w:val="20"/>
        </w:rPr>
        <w:t>48.2%</w:t>
      </w:r>
      <w:r>
        <w:rPr>
          <w:color w:val="000000"/>
          <w:shd w:fill="FFFFFF" w:val="clear"/>
        </w:rPr>
        <w:t xml:space="preserve"> </w:t>
      </w:r>
      <w:r>
        <w:rPr>
          <w:rFonts w:ascii="Times New Roman;serif" w:hAnsi="Times New Roman;serif"/>
          <w:b w:val="false"/>
          <w:color w:val="000000"/>
          <w:sz w:val="20"/>
          <w:shd w:fill="FFFFFF" w:val="clear"/>
        </w:rPr>
        <w:t>interest in Arm China. The Company has no direct material transactions with Acetone Limited.</w:t>
      </w:r>
    </w:p>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2025, </w:t>
      </w:r>
      <w:r>
        <w:rPr>
          <w:rFonts w:ascii="Times New Roman;serif" w:hAnsi="Times New Roman;serif"/>
          <w:b w:val="false"/>
          <w:color w:val="000000"/>
          <w:sz w:val="20"/>
        </w:rPr>
        <w:t>the Company recognized revenue under the terms of the intellectual property license agreement (“IPLA”) with Arm China of</w:t>
      </w:r>
      <w:r>
        <w:rPr>
          <w:color w:val="000000"/>
          <w:shd w:fill="FFFFFF" w:val="clear"/>
        </w:rPr>
        <w:t xml:space="preserve"> </w:t>
      </w:r>
      <w:r>
        <w:rPr>
          <w:rFonts w:ascii="Times New Roman;serif" w:hAnsi="Times New Roman;serif"/>
          <w:b w:val="false"/>
          <w:color w:val="000000"/>
          <w:sz w:val="20"/>
        </w:rPr>
        <w:t>$189.4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$201.0 million, re</w:t>
      </w:r>
      <w:r>
        <w:rPr>
          <w:rFonts w:ascii="Times New Roman;serif" w:hAnsi="Times New Roman;serif"/>
          <w:b w:val="false"/>
          <w:color w:val="000000"/>
          <w:sz w:val="20"/>
          <w:shd w:fill="FFFFFF" w:val="clear"/>
        </w:rPr>
        <w:t xml:space="preserve">spectively, </w:t>
      </w:r>
      <w:r>
        <w:rPr>
          <w:rFonts w:ascii="Times New Roman;serif" w:hAnsi="Times New Roman;serif"/>
          <w:b w:val="false"/>
          <w:color w:val="000000"/>
          <w:sz w:val="20"/>
        </w:rPr>
        <w:t>and recognized expenses under a service share arrangement with Arm China of $17.2 million</w:t>
      </w:r>
      <w:r>
        <w:rPr>
          <w:color w:val="000000"/>
          <w:shd w:fill="FFFFFF" w:val="clear"/>
        </w:rPr>
        <w:t xml:space="preserve"> </w:t>
      </w:r>
      <w:r>
        <w:rPr>
          <w:rFonts w:ascii="Times New Roman;serif" w:hAnsi="Times New Roman;serif"/>
          <w:b w:val="false"/>
          <w:color w:val="000000"/>
          <w:sz w:val="20"/>
          <w:shd w:fill="FFFFFF" w:val="clear"/>
        </w:rPr>
        <w:t>an</w:t>
      </w:r>
      <w:r>
        <w:rPr>
          <w:rFonts w:ascii="Times New Roman;serif" w:hAnsi="Times New Roman;serif"/>
          <w:b w:val="false"/>
          <w:color w:val="000000"/>
          <w:sz w:val="20"/>
        </w:rPr>
        <w:t xml:space="preserve">d $13.9 million, </w:t>
      </w:r>
      <w:r>
        <w:rPr>
          <w:rFonts w:ascii="Times New Roman;serif" w:hAnsi="Times New Roman;serif"/>
          <w:b w:val="false"/>
          <w:color w:val="000000"/>
          <w:sz w:val="20"/>
          <w:shd w:fill="FFFFFF" w:val="clear"/>
        </w:rPr>
        <w:t xml:space="preserve">respectively. </w:t>
      </w:r>
      <w:r>
        <w:rPr>
          <w:rFonts w:ascii="Times New Roman;serif" w:hAnsi="Times New Roman;serif"/>
          <w:b w:val="false"/>
          <w:color w:val="000000"/>
          <w:sz w:val="20"/>
        </w:rPr>
        <w:t>The Company terminated an agreement with Arm China during the three months ended June 30, 2026, for outsourced services and recognized $6.8 million of contract termination costs in disposal, restructuring and other operating expenses, net in the Condensed Consolidated Income Statements. Th</w:t>
      </w:r>
      <w:r>
        <w:rPr>
          <w:rFonts w:ascii="Times New Roman;serif" w:hAnsi="Times New Roman;serif"/>
          <w:b w:val="false"/>
          <w:color w:val="000000"/>
          <w:sz w:val="20"/>
          <w:shd w:fill="FFFFFF" w:val="clear"/>
        </w:rPr>
        <w:t xml:space="preserve">e Company leases certain assets to Arm China. For the </w:t>
      </w:r>
      <w:r>
        <w:rPr>
          <w:rFonts w:ascii="Times New Roman;serif" w:hAnsi="Times New Roman;serif"/>
          <w:b w:val="false"/>
          <w:color w:val="000000"/>
          <w:sz w:val="20"/>
        </w:rPr>
        <w:t>three months ended June 30, 2026 and 2025, the Company recognized rental income from the assets leased to Arm China of $0.3 million and $0.2 million, resp</w:t>
      </w:r>
      <w:r>
        <w:rPr>
          <w:rFonts w:ascii="Times New Roman;serif" w:hAnsi="Times New Roman;serif"/>
          <w:b w:val="false"/>
          <w:color w:val="000000"/>
          <w:sz w:val="20"/>
          <w:shd w:fill="FFFFFF" w:val="clear"/>
        </w:rPr>
        <w:t xml:space="preserve">ectively.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an amount due of $283.5 million ($308.3 million receivable less $24.8 million payable) from Arm China. As of June 30, 2026, the Company had current contract liabilities of $29.0 million and non-current portion of contract liabilities of $23.3 million relating to Arm China. As of March 31, 2026, the Company had an amount due of $276.2 million ($296.5 million receivable less $20.3 million payable) from Arm China. As of March 31, 2026, the Company had current contract liabilities of $30.3 million and non-current portion of contract liabilities of $23.3 million relating to Arm China.</w:t>
      </w:r>
    </w:p>
    <w:p>
      <w:pPr>
        <w:pStyle w:val="TextBody"/>
        <w:bidi w:val="0"/>
        <w:spacing w:lineRule="auto" w:line="288" w:before="120" w:after="240"/>
        <w:jc w:val="both"/>
        <w:rPr/>
      </w:pPr>
      <w:r>
        <w:rPr>
          <w:rFonts w:ascii="Times New Roman;serif" w:hAnsi="Times New Roman;serif"/>
          <w:b w:val="false"/>
          <w:color w:val="000000"/>
          <w:sz w:val="20"/>
        </w:rPr>
        <w:t xml:space="preserve">For the three months ended June 30, 2026 and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ml:space="preserve">, the Company did not recognize any </w:t>
      </w:r>
      <w:r>
        <w:rPr>
          <w:rFonts w:ascii="Times New Roman;serif" w:hAnsi="Times New Roman;serif"/>
          <w:b w:val="false"/>
          <w:color w:val="231F20"/>
          <w:sz w:val="20"/>
        </w:rPr>
        <w:t xml:space="preserve">expected credit losses </w:t>
      </w:r>
      <w:r>
        <w:rPr>
          <w:rFonts w:ascii="Times New Roman;serif" w:hAnsi="Times New Roman;serif"/>
          <w:b w:val="false"/>
          <w:color w:val="000000"/>
          <w:sz w:val="20"/>
        </w:rPr>
        <w:t xml:space="preserve">against earnings relating to Arm China. As of June 30, 2026 and March 31, 2026, the Company’s </w:t>
      </w:r>
      <w:r>
        <w:rPr>
          <w:rFonts w:ascii="Times New Roman;serif" w:hAnsi="Times New Roman;serif"/>
          <w:b w:val="false"/>
          <w:color w:val="231F20"/>
          <w:sz w:val="20"/>
        </w:rPr>
        <w:t>allowance for current expected credit losses</w:t>
      </w:r>
      <w:r>
        <w:rPr>
          <w:color w:val="000000"/>
        </w:rPr>
        <w:t xml:space="preserve"> </w:t>
      </w:r>
      <w:r>
        <w:rPr>
          <w:rFonts w:ascii="Times New Roman;serif" w:hAnsi="Times New Roman;serif"/>
          <w:b w:val="false"/>
          <w:color w:val="000000"/>
          <w:sz w:val="20"/>
        </w:rPr>
        <w:t xml:space="preserve">related to Arm China was $28.3 million, which is reflected </w:t>
      </w:r>
      <w:r>
        <w:rPr>
          <w:rFonts w:ascii="Times New Roman;serif" w:hAnsi="Times New Roman;serif"/>
          <w:b w:val="false"/>
          <w:color w:val="231F20"/>
          <w:sz w:val="20"/>
        </w:rPr>
        <w:t xml:space="preserve">in accounts receivable, net </w:t>
      </w:r>
      <w:r>
        <w:rPr>
          <w:rFonts w:ascii="Times New Roman;serif" w:hAnsi="Times New Roman;serif"/>
          <w:b w:val="false"/>
          <w:color w:val="000000"/>
          <w:sz w:val="20"/>
        </w:rPr>
        <w:t>on the Condensed Consolidated Balance Sheets.</w:t>
      </w:r>
    </w:p>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See </w:t>
      </w:r>
      <w:r>
        <w:rPr>
          <w:rFonts w:ascii="Times New Roman;serif" w:hAnsi="Times New Roman;serif"/>
          <w:b w:val="false"/>
          <w:i/>
          <w:color w:val="000000"/>
          <w:sz w:val="20"/>
          <w:shd w:fill="FFFFFF" w:val="clear"/>
        </w:rPr>
        <w:t>Note 5 - Equity Investments</w:t>
      </w:r>
      <w:r>
        <w:rPr>
          <w:rFonts w:ascii="Times New Roman;serif" w:hAnsi="Times New Roman;serif"/>
          <w:b w:val="false"/>
          <w:color w:val="000000"/>
          <w:sz w:val="20"/>
          <w:shd w:fill="FFFFFF" w:val="clear"/>
        </w:rPr>
        <w:t xml:space="preserve">, for further details of the impact of Acetone Limited on the Company’s results. </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Entities Related by Virtue of Common Control by SoftBank Group</w:t>
      </w:r>
    </w:p>
    <w:p>
      <w:pPr>
        <w:pStyle w:val="TextBody"/>
        <w:bidi w:val="0"/>
        <w:spacing w:lineRule="auto" w:line="288" w:before="120" w:after="240"/>
        <w:jc w:val="both"/>
        <w:rPr/>
      </w:pPr>
      <w:r>
        <w:rPr>
          <w:rFonts w:ascii="Times New Roman;serif" w:hAnsi="Times New Roman;serif"/>
          <w:b w:val="false"/>
          <w:color w:val="212121"/>
          <w:sz w:val="20"/>
        </w:rPr>
        <w:t xml:space="preserve">The Company is party to a consulting agreement with SoftBank Group pursuant to which the Company provides to SoftBank Group and its affiliates certain technical consultancy and advisory services relating to potential transactions, strategic partnerships, licensing agreements, commercial arrangements or other arrangements involving SoftBank Group or its affiliates (the “Consulting Agreement”). Pursuant to statements of work entered into under the Consulting Agreement, the Company may earn fees for services provided. For the </w:t>
      </w:r>
      <w:r>
        <w:rPr>
          <w:rFonts w:ascii="Times New Roman;serif" w:hAnsi="Times New Roman;serif"/>
          <w:b w:val="false"/>
          <w:color w:val="000000"/>
          <w:sz w:val="20"/>
        </w:rPr>
        <w:t>three months ended June 30, 2026 and 2025</w:t>
      </w:r>
      <w:r>
        <w:rPr>
          <w:rFonts w:ascii="Times New Roman;serif" w:hAnsi="Times New Roman;serif"/>
          <w:b w:val="false"/>
          <w:color w:val="212121"/>
          <w:sz w:val="20"/>
        </w:rPr>
        <w:t xml:space="preserve">, revenue from </w:t>
      </w:r>
      <w:r>
        <w:rPr>
          <w:rFonts w:ascii="Times New Roman;serif" w:hAnsi="Times New Roman;serif"/>
          <w:b w:val="false"/>
          <w:color w:val="000000"/>
          <w:sz w:val="20"/>
        </w:rPr>
        <w:t xml:space="preserve">the Consulting Agreement </w:t>
      </w:r>
      <w:r>
        <w:rPr>
          <w:rFonts w:ascii="Times New Roman;serif" w:hAnsi="Times New Roman;serif"/>
          <w:b w:val="false"/>
          <w:color w:val="212121"/>
          <w:sz w:val="20"/>
        </w:rPr>
        <w:t>was</w:t>
      </w:r>
      <w:r>
        <w:rPr>
          <w:color w:val="000000"/>
        </w:rPr>
        <w:t xml:space="preserve"> </w:t>
      </w:r>
      <w:r>
        <w:rPr>
          <w:rFonts w:ascii="Times New Roman;serif" w:hAnsi="Times New Roman;serif"/>
          <w:b w:val="false"/>
          <w:color w:val="000000"/>
          <w:sz w:val="20"/>
        </w:rPr>
        <w:t>$192.9 million and $126.1 million, respectively, from an affiliate of SoftBank Group. As of June 30, 2026,</w:t>
      </w:r>
      <w:r>
        <w:rPr>
          <w:color w:val="212121"/>
        </w:rPr>
        <w:t xml:space="preserve"> </w:t>
      </w:r>
      <w:r>
        <w:rPr>
          <w:rFonts w:ascii="Times New Roman;serif" w:hAnsi="Times New Roman;serif"/>
          <w:b w:val="false"/>
          <w:color w:val="212121"/>
          <w:sz w:val="20"/>
        </w:rPr>
        <w:t xml:space="preserve">the Company had current </w:t>
      </w:r>
      <w:r>
        <w:rPr>
          <w:rFonts w:ascii="Times New Roman;serif" w:hAnsi="Times New Roman;serif"/>
          <w:b w:val="false"/>
          <w:color w:val="000000"/>
          <w:sz w:val="20"/>
        </w:rPr>
        <w:t xml:space="preserve">and non-current contract </w:t>
      </w:r>
      <w:r>
        <w:rPr>
          <w:rFonts w:ascii="Times New Roman;serif" w:hAnsi="Times New Roman;serif"/>
          <w:b w:val="false"/>
          <w:color w:val="212121"/>
          <w:sz w:val="20"/>
        </w:rPr>
        <w:t xml:space="preserve">assets of </w:t>
      </w:r>
      <w:r>
        <w:rPr>
          <w:rFonts w:ascii="Times New Roman;serif" w:hAnsi="Times New Roman;serif"/>
          <w:b w:val="false"/>
          <w:color w:val="000000"/>
          <w:sz w:val="20"/>
        </w:rPr>
        <w:t xml:space="preserve">$576.1 million and $1.1 million, respectively, </w:t>
      </w:r>
      <w:r>
        <w:rPr>
          <w:rFonts w:ascii="Times New Roman;serif" w:hAnsi="Times New Roman;serif"/>
          <w:b w:val="false"/>
          <w:color w:val="212121"/>
          <w:sz w:val="20"/>
        </w:rPr>
        <w:t xml:space="preserve">from an affiliate of </w:t>
      </w:r>
      <w:r>
        <w:rPr>
          <w:rFonts w:ascii="Times New Roman;serif" w:hAnsi="Times New Roman;serif"/>
          <w:b w:val="false"/>
          <w:color w:val="000000"/>
          <w:sz w:val="20"/>
        </w:rPr>
        <w:t>SoftBank Group. As of March 31, 2026,</w:t>
      </w:r>
      <w:r>
        <w:rPr>
          <w:color w:val="212121"/>
        </w:rPr>
        <w:t xml:space="preserve"> </w:t>
      </w:r>
      <w:r>
        <w:rPr>
          <w:rFonts w:ascii="Times New Roman;serif" w:hAnsi="Times New Roman;serif"/>
          <w:b w:val="false"/>
          <w:color w:val="212121"/>
          <w:sz w:val="20"/>
        </w:rPr>
        <w:t>the Company had current contract</w:t>
      </w:r>
      <w:r>
        <w:rPr>
          <w:color w:val="000000"/>
        </w:rPr>
        <w:t xml:space="preserve"> </w:t>
      </w:r>
      <w:r>
        <w:rPr>
          <w:rFonts w:ascii="Times New Roman;serif" w:hAnsi="Times New Roman;serif"/>
          <w:b w:val="false"/>
          <w:color w:val="000000"/>
          <w:sz w:val="20"/>
        </w:rPr>
        <w:t xml:space="preserve">assets of $645.8 million and no non-current contract assets </w:t>
      </w:r>
      <w:r>
        <w:rPr>
          <w:rFonts w:ascii="Times New Roman;serif" w:hAnsi="Times New Roman;serif"/>
          <w:b w:val="false"/>
          <w:color w:val="212121"/>
          <w:sz w:val="20"/>
        </w:rPr>
        <w:t xml:space="preserve">from an affiliate of </w:t>
      </w:r>
      <w:r>
        <w:rPr>
          <w:rFonts w:ascii="Times New Roman;serif" w:hAnsi="Times New Roman;serif"/>
          <w:b w:val="false"/>
          <w:color w:val="000000"/>
          <w:sz w:val="20"/>
        </w:rPr>
        <w:t>SoftBank Group</w:t>
      </w:r>
      <w:r>
        <w:rPr>
          <w:rFonts w:ascii="Times New Roman;serif" w:hAnsi="Times New Roman;serif"/>
          <w:b w:val="false"/>
          <w:color w:val="212121"/>
          <w:sz w:val="20"/>
        </w:rPr>
        <w: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SoftBank Group acquired all of the outstanding equity interests of Ampere, in which the Company previously had an equity investment and over which the Company had significant influence. The Company continues to have licensing and servicing arrangements with Ampere for which the Company may earn fees for services provided. For the three months ended June 30, 2026 and 2025, the Company recognized revenue of $5.4 million and $0.6 million, respectively, from Ampere. Effective March 2026, the Company entered into a development agreement with Ampere (the “Ampere Development Agreement”), enabling Ampere to provide development services to the Company under one or more statements of work. For the three months ended June 30, 2026, the Company recognized expenses under the Ampere Development Agreement of $5.0 million. As of June 30, 2026, the Company had prepaid expenses of $5.0 million, current contract assets of $0.5 million, accounts payable of $5.0 million, and current contract liabilities of $0.4 million related to contracts with Ampere. As of June 30, 2026, the Company did not have accounts receivable balances related to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with Ampere. As of March 31, 2026, the Company had accounts receivable of $0.5 million, current contract assets of $0.5 million, and current contract liabilities of $5.4 million related to contracts with Ampere.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other material transactions with other entities related by virtue of common control by SoftBank Group.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Other Equity Investments</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investments in limited partnerships or certain limited liability companies that maintain a specific ownership account for each investor, for which the Company has more than virtually no influence (i.e., at least 3% to 5% ownership). </w:t>
      </w:r>
    </w:p>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2025, the Company recognized aggregate distributions, including liquidation proceeds, dividends and returns of capital from certain equity investments of </w:t>
      </w:r>
      <w:r>
        <w:rPr>
          <w:rFonts w:ascii="Times New Roman;serif" w:hAnsi="Times New Roman;serif"/>
          <w:b w:val="false"/>
          <w:color w:val="000000"/>
          <w:sz w:val="20"/>
        </w:rPr>
        <w:t>$0.8 million</w:t>
      </w:r>
      <w:r>
        <w:rPr>
          <w:color w:val="000000"/>
          <w:shd w:fill="FFFFFF" w:val="clear"/>
        </w:rPr>
        <w:t xml:space="preserve"> </w:t>
      </w:r>
      <w:r>
        <w:rPr>
          <w:rFonts w:ascii="Times New Roman;serif" w:hAnsi="Times New Roman;serif"/>
          <w:b w:val="false"/>
          <w:color w:val="000000"/>
          <w:sz w:val="20"/>
          <w:shd w:fill="FFFFFF" w:val="clear"/>
        </w:rPr>
        <w:t xml:space="preserve">and $1.8 million, respectively. See </w:t>
      </w:r>
      <w:r>
        <w:rPr>
          <w:rFonts w:ascii="Times New Roman;serif" w:hAnsi="Times New Roman;serif"/>
          <w:b w:val="false"/>
          <w:i/>
          <w:color w:val="000000"/>
          <w:sz w:val="20"/>
          <w:shd w:fill="FFFFFF" w:val="clear"/>
        </w:rPr>
        <w:t>Note 5 - Equity Investments</w:t>
      </w:r>
      <w:r>
        <w:rPr>
          <w:rFonts w:ascii="Times New Roman;serif" w:hAnsi="Times New Roman;serif"/>
          <w:b w:val="false"/>
          <w:color w:val="000000"/>
          <w:sz w:val="20"/>
          <w:shd w:fill="FFFFFF" w:val="clear"/>
        </w:rPr>
        <w:t xml:space="preserve">, for further details. </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Linaro Limited</w:t>
      </w:r>
    </w:p>
    <w:p>
      <w:pPr>
        <w:pStyle w:val="TextBody"/>
        <w:bidi w:val="0"/>
        <w:spacing w:lineRule="auto" w:line="268" w:before="0" w:after="0"/>
        <w:jc w:val="both"/>
        <w:rPr/>
      </w:pPr>
      <w:r>
        <w:rPr>
          <w:rFonts w:ascii="Times New Roman;serif" w:hAnsi="Times New Roman;serif"/>
          <w:b w:val="false"/>
          <w:color w:val="000000"/>
          <w:sz w:val="20"/>
          <w:shd w:fill="FFFFFF" w:val="clear"/>
        </w:rPr>
        <w:t>Linaro</w:t>
      </w:r>
      <w:r>
        <w:rPr>
          <w:color w:val="000000"/>
        </w:rPr>
        <w:t xml:space="preserve"> </w:t>
      </w:r>
      <w:r>
        <w:rPr>
          <w:rFonts w:ascii="Times New Roman;serif" w:hAnsi="Times New Roman;serif"/>
          <w:b w:val="false"/>
          <w:color w:val="000000"/>
          <w:sz w:val="20"/>
        </w:rPr>
        <w:t>Limited (“Linaro”) is a not-for-profit entity in which the Company was a member with significant influence. The Company resigned as a member of Linaro and no longer has significant influence in Linaro effective December 1, 2025. Therefore, Linaro is no longer considered a related party. Linaro continues to be a service partner to the Company. For the three months ended June 30, 2025, prior to resignation, the Company incurred subscription and other costs of $2.3 million from Linaro.</w:t>
      </w:r>
    </w:p>
    <w:p>
      <w:pPr>
        <w:pStyle w:val="TextBody"/>
        <w:bidi w:val="0"/>
        <w:spacing w:lineRule="auto" w:line="288" w:before="120" w:after="240"/>
        <w:jc w:val="both"/>
        <w:rPr/>
      </w:pPr>
      <w:r>
        <w:rPr>
          <w:rFonts w:ascii="Times New Roman;serif" w:hAnsi="Times New Roman;serif"/>
          <w:b w:val="false"/>
          <w:color w:val="000000"/>
          <w:sz w:val="20"/>
        </w:rPr>
        <w:t xml:space="preserve">In February 2023, the Company entered into an agreement with Linaro to sell certain net assets of the Company that met the definition of a business in exchange for cash consideration of $4.0 million to be paid in equal annual installments over five years. As of </w:t>
      </w:r>
      <w:r>
        <w:rPr>
          <w:rFonts w:ascii="Times New Roman;serif" w:hAnsi="Times New Roman;serif"/>
          <w:b w:val="false"/>
          <w:color w:val="231F20"/>
          <w:sz w:val="20"/>
          <w:shd w:fill="FFFFFF" w:val="clear"/>
        </w:rPr>
        <w:t xml:space="preserve">June 30, 2026 and </w:t>
      </w:r>
      <w:r>
        <w:rPr>
          <w:rFonts w:ascii="Times New Roman;serif" w:hAnsi="Times New Roman;serif"/>
          <w:b w:val="false"/>
          <w:color w:val="000000"/>
          <w:sz w:val="20"/>
          <w:shd w:fill="FFFFFF" w:val="clear"/>
        </w:rPr>
        <w:t>March 31, 2026</w:t>
      </w:r>
      <w:r>
        <w:rPr>
          <w:rFonts w:ascii="Times New Roman;serif" w:hAnsi="Times New Roman;serif"/>
          <w:b w:val="false"/>
          <w:color w:val="231F20"/>
          <w:sz w:val="20"/>
          <w:shd w:fill="FFFFFF" w:val="clear"/>
        </w:rPr>
        <w:t xml:space="preserve">, </w:t>
      </w:r>
      <w:r>
        <w:rPr>
          <w:rFonts w:ascii="Times New Roman;serif" w:hAnsi="Times New Roman;serif"/>
          <w:b w:val="false"/>
          <w:color w:val="000000"/>
          <w:sz w:val="20"/>
        </w:rPr>
        <w:t xml:space="preserve">the total unpaid purchase consideration remains in prepaid expenses and other current assets and other non-current assets on the Condensed Consolidated Balance Sheets; however, Linaro is no longer considered a related party. </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Loans to Related Parties</w:t>
      </w:r>
    </w:p>
    <w:p>
      <w:pPr>
        <w:pStyle w:val="TextBody"/>
        <w:bidi w:val="0"/>
        <w:spacing w:lineRule="auto" w:line="288" w:before="120" w:after="240"/>
        <w:jc w:val="both"/>
        <w:rPr/>
      </w:pPr>
      <w:r>
        <w:rPr>
          <w:rFonts w:ascii="Times New Roman;serif" w:hAnsi="Times New Roman;serif"/>
          <w:b w:val="false"/>
          <w:color w:val="000000"/>
          <w:sz w:val="20"/>
        </w:rPr>
        <w:t xml:space="preserve">As of </w:t>
      </w:r>
      <w:r>
        <w:rPr>
          <w:rFonts w:ascii="Times New Roman;serif" w:hAnsi="Times New Roman;serif"/>
          <w:b w:val="false"/>
          <w:color w:val="231F20"/>
          <w:sz w:val="20"/>
        </w:rPr>
        <w:t>March 31, 2025,</w:t>
      </w:r>
      <w:r>
        <w:rPr>
          <w:color w:val="000000"/>
        </w:rPr>
        <w:t xml:space="preserve"> </w:t>
      </w:r>
      <w:r>
        <w:rPr>
          <w:rFonts w:ascii="Times New Roman;serif" w:hAnsi="Times New Roman;serif"/>
          <w:b w:val="false"/>
          <w:color w:val="231F20"/>
          <w:sz w:val="20"/>
        </w:rPr>
        <w:t xml:space="preserve">the Company had a loan receivable of </w:t>
      </w:r>
      <w:r>
        <w:rPr>
          <w:rFonts w:ascii="Times New Roman;serif" w:hAnsi="Times New Roman;serif"/>
          <w:b w:val="false"/>
          <w:color w:val="000000"/>
          <w:sz w:val="20"/>
        </w:rPr>
        <w:t xml:space="preserve">$16.6 million from Arduino, previously a related party. </w:t>
      </w:r>
      <w:r>
        <w:rPr>
          <w:rFonts w:ascii="Times New Roman;serif" w:hAnsi="Times New Roman;serif"/>
          <w:b w:val="false"/>
          <w:color w:val="231F20"/>
          <w:sz w:val="20"/>
        </w:rPr>
        <w:t xml:space="preserve">In October 2025, the Company received </w:t>
      </w:r>
      <w:r>
        <w:rPr>
          <w:rFonts w:ascii="Times New Roman;serif" w:hAnsi="Times New Roman;serif"/>
          <w:b w:val="false"/>
          <w:color w:val="000000"/>
          <w:sz w:val="20"/>
        </w:rPr>
        <w:t xml:space="preserve">$16.9 million for the full repayment of the loan receivable from Arduino in connection with Arduino’s acquisition by a third party. </w:t>
      </w:r>
      <w:r>
        <w:rPr>
          <w:rFonts w:ascii="Times New Roman;serif" w:hAnsi="Times New Roman;serif"/>
          <w:b w:val="false"/>
          <w:color w:val="231F20"/>
          <w:sz w:val="20"/>
        </w:rPr>
        <w:t xml:space="preserve">Therefore, as of June 30, 2026 and </w:t>
      </w:r>
      <w:r>
        <w:rPr>
          <w:rFonts w:ascii="Times New Roman;serif" w:hAnsi="Times New Roman;serif"/>
          <w:b w:val="false"/>
          <w:color w:val="231F20"/>
          <w:sz w:val="20"/>
          <w:shd w:fill="FFFFFF" w:val="clear"/>
        </w:rPr>
        <w:t>March 31, 2026</w:t>
      </w:r>
      <w:r>
        <w:rPr>
          <w:rFonts w:ascii="Times New Roman;serif" w:hAnsi="Times New Roman;serif"/>
          <w:b w:val="false"/>
          <w:color w:val="231F20"/>
          <w:sz w:val="20"/>
        </w:rPr>
        <w:t xml:space="preserve">, the Company did not have a loan receivable with Arduino. During the fiscal year ended March 31, 2026, the Company recognized a reversal for the current expected credit loss reserve with respect to its loan receivable from Arduino by </w:t>
      </w:r>
      <w:r>
        <w:rPr>
          <w:rFonts w:ascii="Times New Roman;serif" w:hAnsi="Times New Roman;serif"/>
          <w:b w:val="false"/>
          <w:color w:val="000000"/>
          <w:sz w:val="20"/>
        </w:rPr>
        <w:t>$16.8 million in</w:t>
      </w:r>
      <w:r>
        <w:rPr>
          <w:color w:val="231F20"/>
        </w:rPr>
        <w:t xml:space="preserve"> </w:t>
      </w:r>
      <w:r>
        <w:rPr>
          <w:rFonts w:ascii="Times New Roman;serif" w:hAnsi="Times New Roman;serif"/>
          <w:b w:val="false"/>
          <w:color w:val="231F20"/>
          <w:sz w:val="20"/>
        </w:rPr>
        <w:t xml:space="preserve">selling, general, and administrative expenses in the Condensed Consolidated Income Statements. </w:t>
      </w:r>
      <w:r>
        <w:rPr>
          <w:rFonts w:ascii="Times New Roman;serif" w:hAnsi="Times New Roman;serif"/>
          <w:b w:val="false"/>
          <w:color w:val="231F20"/>
          <w:sz w:val="20"/>
          <w:shd w:fill="FFFFFF" w:val="clear"/>
        </w:rPr>
        <w:t xml:space="preserve">As of June 30, 2026 and March 31, 2026, the Company had </w:t>
      </w:r>
      <w:r>
        <w:rPr>
          <w:rFonts w:ascii="Times New Roman;serif" w:hAnsi="Times New Roman;serif"/>
          <w:b w:val="false"/>
          <w:color w:val="000000"/>
          <w:sz w:val="20"/>
          <w:shd w:fill="FFFFFF" w:val="clear"/>
        </w:rPr>
        <w:t xml:space="preserve">a loan receivable of </w:t>
      </w:r>
      <w:r>
        <w:rPr>
          <w:rFonts w:ascii="Times New Roman;serif" w:hAnsi="Times New Roman;serif"/>
          <w:b w:val="false"/>
          <w:color w:val="000000"/>
          <w:sz w:val="20"/>
        </w:rPr>
        <w:t>$3.2 million</w:t>
      </w:r>
      <w:r>
        <w:rPr>
          <w:color w:val="231F20"/>
          <w:shd w:fill="FFFFFF" w:val="clear"/>
        </w:rPr>
        <w:t xml:space="preserve"> </w:t>
      </w:r>
      <w:r>
        <w:rPr>
          <w:rFonts w:ascii="Times New Roman;serif" w:hAnsi="Times New Roman;serif"/>
          <w:b w:val="false"/>
          <w:color w:val="231F20"/>
          <w:sz w:val="20"/>
          <w:shd w:fill="FFFFFF" w:val="clear"/>
        </w:rPr>
        <w:t>with Cerfe Labs, Inc., a related party.</w:t>
      </w:r>
      <w:r>
        <w:rPr>
          <w:color w:val="231F20"/>
        </w:rPr>
        <w:t xml:space="preserve"> </w:t>
      </w:r>
      <w:r>
        <w:rPr>
          <w:rFonts w:ascii="Times New Roman;serif" w:hAnsi="Times New Roman;serif"/>
          <w:b w:val="false"/>
          <w:color w:val="000000"/>
          <w:sz w:val="20"/>
          <w:shd w:fill="FFFFFF" w:val="clear"/>
        </w:rPr>
        <w:t xml:space="preserve">The loan receivable with Cerfe Labs </w:t>
      </w:r>
      <w:r>
        <w:rPr>
          <w:rFonts w:ascii="Times New Roman;serif" w:hAnsi="Times New Roman;serif"/>
          <w:b w:val="false"/>
          <w:color w:val="231F20"/>
          <w:sz w:val="20"/>
          <w:shd w:fill="FFFFFF" w:val="clear"/>
        </w:rPr>
        <w:t>was fully reserved for under current expected credit loss reserve for the periods presented</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15 - Segment Information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segment. The Company’s chief operating decision maker (“CODM”) is its Chief Executive Officer, who reviews financial information presented on a consolidated basis. The CODM regularly reviews income and expense items at the consolidated company (reporting segment) level and uses both operating income and net income to evaluate income generated to conclude whether and how to reinvest profits into the entity’s operations, shareholder return, acquisitions or otherwise. Both operating income and net income are also used to monitor budget versus actual results, forecasted information and in competitive analysis. The CODM does not review segment asset information to evaluate performance or allocate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2937"/>
        <w:gridCol w:w="2109"/>
        <w:gridCol w:w="2126"/>
        <w:gridCol w:w="109"/>
        <w:gridCol w:w="109"/>
        <w:gridCol w:w="109"/>
        <w:gridCol w:w="211"/>
        <w:gridCol w:w="466"/>
        <w:gridCol w:w="271"/>
        <w:gridCol w:w="109"/>
        <w:gridCol w:w="109"/>
        <w:gridCol w:w="109"/>
        <w:gridCol w:w="211"/>
        <w:gridCol w:w="466"/>
        <w:gridCol w:w="271"/>
        <w:gridCol w:w="109"/>
        <w:gridCol w:w="109"/>
        <w:gridCol w:w="109"/>
        <w:gridCol w:w="156"/>
      </w:tblGrid>
      <w:tr>
        <w:trPr/>
        <w:tc>
          <w:tcPr>
            <w:tcW w:w="2937"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231F20"/>
                <w:sz w:val="20"/>
              </w:rPr>
            </w:pPr>
            <w:r>
              <w:rPr>
                <w:rFonts w:ascii="Times New Roman;serif" w:hAnsi="Times New Roman;serif"/>
                <w:b w:val="false"/>
                <w:color w:val="231F2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Royalty 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Staff costs: Salaries, bonuses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Staff costs: Share-based compensation cost (equity settled)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Staff costs: Employer taxes related to 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Non-staff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 materials costs, third-party fees paid to consultants, information technology, research and development expenses (excluding employee-related expenses), accounting and legal professional services fees, advertising expenses, and other corporate-related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non-staff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7 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non-operating income (loss),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16 - Subsequent Events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1, 2026, the Company completed the acquisition of DreamBig, acquiring 100% of the outstanding equity interests of DreamBig in an all-cash transaction for approximately $265.0 million, subject to customary purchase price adjustments. Due to the timing of the close of the transaction, as of the date of issuance of these unaudited condensed consolidated financial statements, the acquisition accounting is not yet complete as the Company is still in the process of estimating the initial purchase price allocation. As a result, it is not practicable for the Company to disclose the preliminary allocations of the purchase consideration to the assets acquired and liabilities assumed.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 xml:space="preserve">You should read the following discussion and analysis of our financial condition and results of operations together with our unaudited condensed consolidated financial statements and related notes included in this Quarterly Report on Form 6-K (this “Quarterly Report”) and in conjunction with our audited consolidated financial statements and related notes for the fiscal year ended March 31, 2026, which are included in our Annual Report on Form 20-F, filed with the SEC on May 26, 2026 (the “Annual Report”).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w:t>
      </w:r>
      <w:r>
        <w:rPr>
          <w:color w:val="000000"/>
        </w:rPr>
        <w:t>“</w:t>
      </w:r>
      <w:r>
        <w:rPr>
          <w:rFonts w:ascii="Times New Roman;serif" w:hAnsi="Times New Roman;serif"/>
          <w:b w:val="false"/>
          <w:i/>
          <w:color w:val="000000"/>
          <w:sz w:val="20"/>
        </w:rPr>
        <w:t>Item 3. Key Information—D. Risk Factors” and “Special Note Regarding Forward-Looking Statements” sections in our Annual Report. Our actual results could differ materially from the results described in or implied by these forward-looking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Recent Events and Transactions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Litigation with Qualcomm and Nuvia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31, 2022, we sued Qualcomm Inc. and Qualcomm Technologies, Inc. (together, “Qualcomm”) and Nuvia, Inc. (“Nuvia”) in the U.S. District Court for the District of Delaware alleging that, inter alia, Qualcomm and Nuvia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Our complaint sought, among other things, specific performance of the Nuvia ALA termination provisions to require Qualcomm and Nuvia to stop using and to destroy the relevant Nuvia technology, and to stop their improper use of our trademarks with their related products. The claims were tried to a jury in December 2024. The jury failed to reach a complete verdict on the three issues presented to it. The jury concluded that certain technology was licensed to Qualcomm under the Qualcomm license and that Qualcomm had not breached the Nuvia ALA but failed to reach a verdict on whether Nuvia breached the Nuvia ALA. Both parties filed post-trial motions seeking judgment as a matter of law, and we also sought a new trial on the issues that were tried. On September 30, 2025, the Court affirmed the jury verdict on the issues on which it reached a conclusion and granted Qualcomm judgment as a matter of law in its favor to conclude that Nuvia did not breach the Nuvia ALA. We have filed an appeal with the United States Court of Appeals for the Third Circuit, which is currently pending.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18, 2024, Qualcomm brought a new action in Delaware against Arm Holdings plc, asserting claims that were rejected for inclusion in the original action. In this new action, Qualcomm asserted that we failed to satisfy certain delivery obligations under Qualcomm’s Architecture License Agreement with us (the “Qualcomm ALA”). On December 16, 2024, Qualcomm amended its complaint to add allegations relating to an Arm notice of breach of the Qualcomm ALA and related tort and anti-competition claims. In 2025, Qualcomm amended its complaint again to add claims relating to an alleged breach of Qualcomm’s Technology License Agreement.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7, 2026, Qualcomm’s motion seeking to add Arm Limited, our wholly-owned subsidiary through which we have historically conducted our business, to the April 2024 lawsuit was denied. Subsequently, Qualcomm filed a separate lawsuit against Arm Limited seeking to make the April 2024 lawsuit’s allegations against Arm Limited. In March 2026, the lawsuit against Arm Limited was consolidated with the April 2024 lawsuit against us. On March 30, 2026, Qualcomm filed an amended complaint against only Arm Limited adding another breach of contract claim. We disagree with the assertions made by Qualcomm (as referred to above) and intend to vigorously defend against them. The case is expected to go to trial in the fourth calendar quarter of 2026.</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Definitive Agreement with Cadence Design Systems, Inc.</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26, 2025, the Company completed the sale of its Artisan foundation IP business, consisting of standard cell libraries, memory compilers, and general-purpose I/Os to Cadence Design Systems, Inc. (“Cadence”) pursuant to the terms of the definitive agreement entered into in April 2025. For the fiscal year ended March 31, 2026, the Company recognized pre-tax gain on business divestiture of $131.0 million in other non-operating income (loss), net in the Condensed Consolidated Income Statements. This transaction did not meet the criteria for presentation as discontinued operations as it does not represent a strategic shift that has a major effect on the Company's operations or financial results. In connection with the sale, the Company entered into a transition services agreement pursuant to which the Company and Cadence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providing certain transition support services to each other for a period of up to eighteen months following completion of the sale. The amounts of the transition services are not material.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Definitive Agreement with DreamBig Semiconductor, Inc.</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In October 2025, the Company entered into a definitive agreement to acquire all of the outstanding equity interests of DreamBig Semiconductor, Inc. (“DreamBig”) for approximately $265.0 million in cash, subject to purchase price adjustments. The addition of DreamBig’s advanced networking capabilities, technology, and engineering expertise is expected to enhance the Company’s portfolio and help it deliver more complete solutions. On July 1, 2026, the Company completed the acquisition of DreamBig. See </w:t>
      </w:r>
      <w:r>
        <w:rPr>
          <w:rFonts w:ascii="Times New Roman;serif" w:hAnsi="Times New Roman;serif"/>
          <w:b w:val="false"/>
          <w:i/>
          <w:color w:val="000000"/>
          <w:sz w:val="20"/>
        </w:rPr>
        <w:t>Note 16 - Subsequent Events</w:t>
      </w:r>
      <w:r>
        <w:rPr>
          <w:rFonts w:ascii="Times New Roman;serif" w:hAnsi="Times New Roman;serif"/>
          <w:b w:val="false"/>
          <w:color w:val="000000"/>
          <w:sz w:val="20"/>
        </w:rPr>
        <w: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Arm architects, develops, and licenses our high-performance and energy-efficient Arm compute platforms, and as of March 2026, we have expanded our offerings to include Arm-designed silicon products with the introduction of the Arm AGI CPU. Our CPU products address diverse requirements for performance, power, and specific use cases. Our complementary products include GPU and NPU accelerators, system IP, such as interconnects, and others. The world’s leading technology companies rely on the Arm compute platform to develop their products. Companies utilizing the Arm compute platform can add desired functionality, such as GPUs, NPUs, Wi-Fi connectivity, image processing, and video processing to create a product to meet the needs of their end market. Arm powers everything from the tiniest of sensors to the most powerful supercomputers. The Arm compute platform is the most pervasive architecture in the world and supports a global community of more than 22 million developers. Our platform runs the vast majority of the world’s software, including the operating systems and applications for smartphones, tablets and PCs, data centers and networking equipment, and vehicles, as well as the embedded operating systems in devices such as smart cameras, thermostats, drones and industrial robotics. We believe our platform is well positioned to benefit from the growth in AI workloads. Arm CPUs already run AI workloads in billions of devices from the edge to the cloud, including smartphones, cameras, digital TVs, cars and AI data centers. The CPU is vital in all AI systems, whether it is handling the AI workload entirely or in combination with a co-processor, such as a GPU or an NPU, which specializes in the acceleration of ML algorithms. With the rise of agentic AI and as AI workloads continue to proliferate and grow in complexity, there is heightened emphasis on power-efficient performance and flexibility. In the latest Arm architecture, CPUs, and GPUs, we have added new functionality and instructions to accelerate future AI algorithms and workloads.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open and flexible business model provides access to high-quality CPU and other IP products from our compute platform for a wide range of potential customer types and end markets. Our primary business is licensing our IP products to semiconductor companies, OEMs, CSPs and other organizations to design their chips. Our customers license our IP products for a fee, which gives them access to our designs and enables them to create Arm-based chips. Once a chip has 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As of March 2026, we also expanded our offerings to include Arm-designed silicon products with the introduction of the Arm AGI CPU, with production expected by the end of calendar year 2026. Our business model enables the widest range of customers with a broad set of options to access Arm products through an agreement best suited to their particular business needs. Our business model includes:</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Arm Total Access Agreements</w:t>
      </w:r>
      <w:r>
        <w:rPr>
          <w:rFonts w:ascii="Times New Roman;serif" w:hAnsi="Times New Roman;serif"/>
          <w:b w:val="false"/>
          <w:color w:val="000000"/>
          <w:sz w:val="20"/>
        </w:rPr>
        <w:t>: Under an Arm Total Access agreement, we license a portfolio of CPU designs and related technologies to a customer 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Arm Flexible Access Agreements</w:t>
      </w:r>
      <w:r>
        <w:rPr>
          <w:rFonts w:ascii="Times New Roman;serif" w:hAnsi="Times New Roman;serif"/>
          <w:b w:val="false"/>
          <w:color w:val="000000"/>
          <w:sz w:val="20"/>
        </w:rPr>
        <w:t>: Under an Arm Flexible Access agreement, we license a portfolio of CPU designs and related technologies to a 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contained in the Arm Flexible Access package, they must pay a single use license fee for specific products if they include Arm products in a final chip design “tape out,” when the final result of a semiconductor chip design is sent for manufacturing. As with an Arm Total Access agreement, we retain the right, from time to time, to add or remove specific products from the package.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Technology Licensing Agreements (TLA)</w:t>
      </w:r>
      <w:r>
        <w:rPr>
          <w:rFonts w:ascii="Times New Roman;serif" w:hAnsi="Times New Roman;serif"/>
          <w:b w:val="false"/>
          <w:color w:val="000000"/>
          <w:sz w:val="20"/>
        </w:rPr>
        <w:t>: Under a TLA, we license a single CPU design or other technology design to a customer in return for a fixed license fee. The license may be limited by term (i.e., the number of years during which the licensee is entitled to incorporate our products in new chip designs, but licensees typically have the right to manufacture designs perpetually) and/or by number of uses (i.e., the number of concurrent chip designs that may use our products).</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Architecture License Agreements (ALA)</w:t>
      </w:r>
      <w:r>
        <w:rPr>
          <w:rFonts w:ascii="Times New Roman;serif" w:hAnsi="Times New Roman;serif"/>
          <w:b w:val="false"/>
          <w:color w:val="000000"/>
          <w:sz w:val="20"/>
        </w:rPr>
        <w:t>: Under an ALA, the licensee is allowed to develop their own highly customized CPU designs that are compliant with the Arm instruction set architecture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pStyle w:val="TextBody"/>
        <w:bidi w:val="0"/>
        <w:spacing w:lineRule="auto" w:line="288" w:before="60" w:after="240"/>
        <w:ind w:left="0" w:right="0" w:hanging="360"/>
        <w:jc w:val="both"/>
        <w:rPr/>
      </w:pPr>
      <w:r>
        <w:rPr>
          <w:color w:val="000000"/>
        </w:rPr>
        <w:t>•</w:t>
      </w:r>
      <w:r>
        <w:rPr>
          <w:rFonts w:ascii="Times New Roman;serif" w:hAnsi="Times New Roman;serif"/>
          <w:b/>
          <w:i/>
          <w:color w:val="000000"/>
          <w:sz w:val="20"/>
        </w:rPr>
        <w:t>Royalty Fees</w:t>
      </w:r>
      <w:r>
        <w:rPr>
          <w:rFonts w:ascii="Times New Roman;serif" w:hAnsi="Times New Roman;serif"/>
          <w:b w:val="false"/>
          <w:color w:val="000000"/>
          <w:sz w:val="20"/>
        </w:rPr>
        <w:t xml:space="preserve">: We generate the majority of our revenue from customers who enter into license agreements, pursuant to which we receive royalty fees based on average selling price of the customer’s Arm-based chip or a fixed fee per chip. Royalty revenue is impacted primarily by the adoption of our products by the licensee as well as other factors, such as product lifecycles, customer’s business performance, market trends and global supply constraints.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Key Factors and Trends Affecting Our Operating Results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We believe that the growth of our business and our future success are dependent upon many factors, including those described in the section titled “</w:t>
      </w:r>
      <w:r>
        <w:rPr>
          <w:rFonts w:ascii="Times New Roman;serif" w:hAnsi="Times New Roman;serif"/>
          <w:b w:val="false"/>
          <w:i/>
          <w:color w:val="000000"/>
          <w:sz w:val="20"/>
        </w:rPr>
        <w:t>Item 3. Key Information—D. Risk Factors”</w:t>
      </w:r>
      <w:r>
        <w:rPr>
          <w:color w:val="000000"/>
        </w:rPr>
        <w:t xml:space="preserve"> </w:t>
      </w:r>
      <w:r>
        <w:rPr>
          <w:rFonts w:ascii="Times New Roman;serif" w:hAnsi="Times New Roman;serif"/>
          <w:b w:val="false"/>
          <w:color w:val="000000"/>
          <w:sz w:val="20"/>
        </w:rPr>
        <w:t>and elsewhere in the Annual Report as well as the factors described below.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Global Demand for Semiconductor Products and Cyclical Nature of the Semiconductor Industry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Semiconductor chips are essential components in consumer, enterprise, and automotive electronics. Strong demand for electronics has resulted in sustained and increasing long-term demand for semiconductor chips, a significant percentage of which contain our products. Our revenue is, in part, affected by market conditions in the semiconductor industry, which is cyclical by nature and impacted by broad economic factors, such as worldwide gross domestic product and consumer and enterprise spending. While the semiconductor industry has experienced significant, prolonged, and sometimes sudden downturns in the past, we expect there to be continued and increasing demand for semiconductors over the long term as macro trends drive device manufacturers to produce more powerful and energy-efficient devices.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our current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expansion into production silicon may have materially different margin profiles, revenue recognition characteristics, and sales cycles compared to our IP licensing business.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Impact of the Current Macroeconomic Environment and Geopolitical Events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Uncertainty in the macroeconomic and geopolitical environment could significantly affect demand for our products and our results of operations. The range of events and trends that can impact our business and results of operations includes inflation and interest rates, supply chain disruptions, geopolitical pressures, the unknown impact of current and future trade regulations, such as new export controls and tariffs, and geopolitical turmoil, such as any changes in PRC-Taiwan relations, the war in Ukraine, and conflicts in the Middle East, including Iran, and fluctuation in foreign exchange rates. For example, geopolitical disruption could lead to further market volatility and exacerbate current supply chain constraints, including with respect to certain materials and metals that are essential in semiconductor manufacturing. The continuing evolution of global trade policies, and uncertainty in trade relations between the U.S. and the PRC and other major U.S. trade partners, has caused, and could continue to cause, market disruptions and supply chain constraints. Given the concentration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 The conflicts in Europe and the Middle East have caused no major interruption to our operations to date.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Ability to Provide Our Customers with More Value Per Chip</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Complex chips and chiplets are more difficult to develop and take longer to design, which increases the cost of the chip and the risk of delayed or missed timelines. We believe our ability to continue to develop more advanced products and offer increasingly comprehensive product packages, including providing more complete subsystems, such as Arm's CSS solutions which are pre-integrated and pre-verified configurations of Arm technology, will encourage greater use of our products by existing and prospective customers. For example, many licensees have historically combined multiple different Arm CPUs in a single chip, Arm CPUs with other Arm IP such as Arm GPUs, or deploy Arm CPU implementations with more than 100 cores. Increasing cost and time-to-market pressures mean some customers may be better served by the integration of our IP into a subsystem. For chips where our products have provided more value, we will typically receive higher royalty revenue per chip. Accordingly, we believe that our investments in higher performance, higher efficiency, and more specialized designs will drive greater demand for our products and higher value for our customers, which is expected to result in higher royalty revenue. Our future performance is dependent on our continued ability to provide value to customers, and our ability to drive additional value through technological innovation.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Market Share Across End Markets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As new high-growth markets for electronics emerge, our customers require our more advanced processor designs. For example, AI demand is driving strong momentum for the Arm ecosystem. AI growth requires significantly more compute across all of our end markets from smartphones with better chat features, to automobiles with better driving and parking assist, to IoT microprocessors with embedded NPUs. Our operating and financial performance is dependent, in large part, upon maintaining our market share in the smartphone and consumer electronics markets and maintaining or growing market share in our other target markets, such as cloud and AI data centers.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Increasing Design Wins with Flexible Licensing Models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and intend to continue to make significant investments in research and development to ensure that we can develop products suitable for new opportunities with existing and prospective customers. A key measure of our success is our customer design wins. Because we are often embedded within our customers’ research and development functions, we typically have significant, unique visibility into our customers’ product development 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Performance of Arm China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our commercial relationship with Arm China to access the PRC market for IP revenue, and substantially all of our PRC-related revenue is generated through the IPLA with Arm China, a related party. Arm China has the right to sublicense our processor technology pursuant to the IPLA. Our responsibility under the IPLA is to facilitate delivery of our processor technology to Arm China’s end customers in accordance with detailed instructions and other specifications from Arm China. Our revenue is calculated as a percentage of license and royalty fees earned by Arm China from sub-license arrangements entered into with its end customers. Where our revenue is earned as a percentage of the license fee received by Arm China, we categorize such revenue as our license revenue. Our share of Arm China’s royalties is categorized as royalty revenue in our financial statements. Despite our reliance on Arm China through our commercial relationship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pPr>
      <w:r>
        <w:rPr>
          <w:rFonts w:ascii="Times New Roman;serif" w:hAnsi="Times New Roman;serif"/>
          <w:b w:val="false"/>
          <w:color w:val="000000"/>
          <w:sz w:val="20"/>
        </w:rPr>
        <w:t xml:space="preserve">it, both as a source of revenue and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Total revenue derived from Arm China decreased during the three months ended June 30, 2026 as compared to the three months ended June 30, 2025. License revenue from Arm China decreased during the three months ended June 30, 2026 as compared to the three months ended June 30, 2025 due to fluctuations in the </w:t>
      </w:r>
      <w:r>
        <w:rPr>
          <w:rFonts w:ascii="Times New Roman;serif" w:hAnsi="Times New Roman;serif"/>
          <w:b w:val="false"/>
          <w:color w:val="231F20"/>
          <w:sz w:val="20"/>
        </w:rPr>
        <w:t>timing and size</w:t>
      </w:r>
      <w:r>
        <w:rPr>
          <w:color w:val="000000"/>
        </w:rPr>
        <w:t xml:space="preserve"> </w:t>
      </w:r>
      <w:r>
        <w:rPr>
          <w:rFonts w:ascii="Times New Roman;serif" w:hAnsi="Times New Roman;serif"/>
          <w:b w:val="false"/>
          <w:color w:val="000000"/>
          <w:sz w:val="20"/>
        </w:rPr>
        <w:t>of multiple high-value license agreements and in contributions from backlog into the current period from arrangements entered in prior periods. Royalty revenue increased during the three months ended June 30, 2026 as compared to the three months ended June 30, 2025, driven primarily by an improved mix of products with higher royalty rates per chip.</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Developments in Export Control Regulations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Bureau of Industry and Security of the U.S. Department of Commerce (“BIS”), significantly extended the reach of U.S. export controls on the semiconductor industry, in particular advanced computing chips and services, in a series of rules and guidance published over the past year.</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collective impact of the rules, described below, have in the past and may in the future reduce our ability to license our products directly to entities and end users in affected countries and could potentially harm our commercial relationships by limiting the ability of certain of our customers and partners to manufacture, ship, or receive chips and end products incorporating certain of our products.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2026, the U.S. Department of Defense (“DoD”) released an updated “Section 1260H” list, which identifies companies that the Secretary of Defense has determined are "Chinese military companies operating directly or indirectly in the United States." Effective June 30, 2026, the DoD implemented a prohibition where it cannot procure products and services, through a contract or subcontract at any tier from 1260H listed entities as well as entities on the Department of Treasury’s Office of Foreign Asset Control’s (“OFAC”) non-specially designated Nationals (“SDN”) Chinese military industrial complex companies list (“NS-CMIC List”) and the Department of Commerce’s Entity List (Supplement No. 4 to Part 744 of the Export Administration Regulation (“EAR”)) and a subsidiary, affiliate including any parent or holding company, or any entity subject to the control of an entity on the 1260H List, the NS-CMIC List, or the Entity List. Although we are not directly impacted by this updated list, it does increase our due diligence efforts with respect to Chinese companies.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BIS published a new rule revising the U.S. export license review policy from “presumption of denial” to “case by case” review as it relates to specific NVIDIA H200 and AMD MI325X chips destined to China. The new rule also requires exporters to certify sufficient U.S. supply of the same or better product, that production will not divert global foundry capacity for similar or more advanced products for U.S. end users, sufficient security and Know Your Customer procedures, and independent, third-party testing in the United States to verify performance specifications. In parallel, the U.S. Government announced new tariffs imposing a 25% levy on U.S. imports of the same semiconductors and systems from any country, with broad exemptions for items destined for U.S. data centers or other qualifying uses.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BIS published an interim final rule referred to as the “Affiliates Rule” to expand the export-related restrictions on explicitly named entities on the Entity List to any foreign entity owned 50% or more by an entity (or entities) on the Entity List or Military End User (“MEU”) List, or by certain Specially Designated Nationals (“SDNs”) on the SDN list published by OFAC, whether directly or indirectly, individually or in the aggregate. The Affiliates Rule took effect on September 29, 2025. However, on November 1, 2025, following the latest round of U.S.-China trade negotiations, the White House issued a Fact Sheet announcing that implementation of the Affiliates Rule will be suspended for one year starting on November 10, 2025.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BIS published the “Implementation of Additional Due Diligence Measures for Advanced Computing Integrated Circuits” interim final rule with a compliance date of January 31, 2025. This rule limits PRC entities seeking to manufacture or obtain advanced node chips from outside of the PRC, as well as designates approved entities outside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PRC - chip designers, foundries, and Outsourced Semiconductor Assembly and Test (“OSAT”) vendors - as another mechanism to mitigate risk of diversion.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“Framework for Artificial Intelligence Diffusion” interim final rule (“AI Diffusion Rule”) was also introduced in January 2025 to impose a worldwide export license requirement on advanced computing products and a quota-like system for deploying such products across three tiers of countries. While the AI Diffusion Rule had a compliance date of May 15, 2025, BIS announced intent to rescind it on May 13, 2025. At the same time, BIS published new guidance on protecting supply chains against diversion of advanced computing chips and services and the risks associated with using PRC-made advanced computing chips.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Also in May 2025, BIS directed major EDA software vendors in the U.S. to suspend delivery and support of all EDA software to customers in China. In early July 2025, following trade negotiations, the U.S. lifted the suspension allowing EDA vendors to resume delivery and support to customers in China.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BIS rules published in September and December 2024 imposed additional U.S. export restrictions on advanced computing technologies and semiconductor manufacturing capability to the PRC and certain other countries suspected of supplying the PRC with such technologies and capabilities. These rules, which continue the focus on protecting U.S. national security and preventing diversion of products subject to U.S. export controls in the same manner as BIS rules published in October 2022 and October 2023: (i) established new restrictions on exporting, re-exporting, or transferring Gate all-around Field-Effect Transistor (“GAAFET”) and High Bandwidth Memory (“HBM”) technologies to the PRC and other countries suspected of supplying the PRC with such technologies; (ii) significantly expanded restrictions on advanced semiconductor manufacturing equipment; (iii) added new entities to BIS’s Entity List; and (iv) clarified controls on software and software licenses.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expect BIS to continue its steady pace of issuing new rules to restrict the most advanced semiconductors to China, risks related to additional (and potentially broader) restrictions remain susceptible to the course and outcomes of U.S.-China bilateral relations and trade negotiations.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Investment in Technology and Product Development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evaluate opportunities, potential investments and technical partnerships to develop new technologies and advanced products, including in the AI arena, and thereby expand beyond individual design IP elements to providing a more complete system and custom chips for specific applications, including, without limitation, RTL-based CSSs, GDSII-based CSSs, chiplets or complete chip solutions. For example, in March 2026, we announced the expansion of our compute platform into production silicon products with the introduction of the Arm AGI CPU. To remain competitive, we must continue to develop new applications and enhancements to our existing products and services, particularly as next generation technology is adopted by market participants. We intend to continue allocating resources to, and exploring, new markets and/or different products and solutions for existing and prospective customers in various end markets. Further, we have been, and may in the future be, engaged to advise on or design chips for certain existing customers and other third parties. Allocating and maintaining adequate research and development resources, such as the appropriate personnel and development technology, to meet the evolving demands of the market is essential to our continued success.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continue investing greater financial and other resources in furtherance of those efforts, exploring investment and/or acquisition opportunities, and engaging with one or more partners to provide technical, financial and/or other support.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Total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of our licenses have two components: license fees and support and maintenance fees (recognized as license and other revenue) and per-chip royalties (recognized as royalty revenue). However, some licenses can have multiple payment milestones that are date-based or event-based (e.g., six months after the effective date of the contract or upon tape-out of the first chip design).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We disaggregate revenue into the following categories for major product offerings: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License and Other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License and other revenue include revenue from licensing, software development tools, design services, training, support, and all other fees that do not constitute royalty revenue. The products licensed by us consist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(i.e.,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 from a relatively small number of customers.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 from customer service support is recorded within other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Flexible Access agreements are most suitable for smaller companies, including start-ups and business units of larger companies, that want to experiment with different configurations of our products before committing to a chip design.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Arm Total Access agreements also provide our customers with access to a package of our products, including processor, graphics, and systems products. Arm Total Access customers have the option to license our most advanced 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We believe that Arm Total Access agreements are most suitable for larger, established, semiconductor companies who expect to deploy our products in a wide range of their products.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Royalty Revenue</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Royalties are generally either set as a percentage of the licensee’s average selling price per chip or as a fixed amount per chip. The royalty rates per chip typically reduce over time as the total volume of chips incorporating our products 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w:t>
      </w:r>
      <w:r>
        <w:rPr>
          <w:color w:val="000000"/>
        </w:rPr>
        <w:t>“—</w:t>
      </w:r>
      <w:r>
        <w:rPr>
          <w:rFonts w:ascii="Times New Roman;serif" w:hAnsi="Times New Roman;serif"/>
          <w:b w:val="false"/>
          <w:i/>
          <w:color w:val="000000"/>
          <w:sz w:val="20"/>
        </w:rPr>
        <w:t>Key Factors and Trends Affecting Our Operating Results—Ability to Provide Our Customers with More Value Per Chip”</w:t>
      </w:r>
      <w:r>
        <w:rPr>
          <w:color w:val="000000"/>
        </w:rPr>
        <w:t xml:space="preserve"> </w:t>
      </w:r>
      <w:r>
        <w:rPr>
          <w:rFonts w:ascii="Times New Roman;serif" w:hAnsi="Times New Roman;serif"/>
          <w:b w:val="false"/>
          <w:color w:val="000000"/>
          <w:sz w:val="20"/>
        </w:rPr>
        <w:t>above for examples of how customers may incorporate multiple products in a single chip. License contracts require the licensee to issue royalty reports, including details of chip sales, to us on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ind w:left="0" w:right="0" w:firstLine="360"/>
        <w:jc w:val="both"/>
        <w:rPr/>
      </w:pPr>
      <w:r>
        <w:rPr>
          <w:rFonts w:ascii="Times New Roman;serif" w:hAnsi="Times New Roman;serif"/>
          <w:b w:val="false"/>
          <w:color w:val="000000"/>
          <w:sz w:val="20"/>
        </w:rPr>
        <w:t>Royalty revenue is recognized on an accrual basis in the quarter in which the customers ship chips containing our products,</w:t>
      </w:r>
      <w:r>
        <w:rPr>
          <w:color w:val="231F20"/>
        </w:rPr>
        <w:t xml:space="preserve"> </w:t>
      </w:r>
      <w:r>
        <w:rPr>
          <w:rFonts w:ascii="Times New Roman;serif" w:hAnsi="Times New Roman;serif"/>
          <w:b w:val="false"/>
          <w:color w:val="231F20"/>
          <w:sz w:val="20"/>
        </w:rPr>
        <w:t>using estimates from sales trends and judgment for several key attributes, including industry estimates of expected shipments, the mix of products sold, the percentage of markets using our products, and average selling price.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r>
        <w:rPr>
          <w:rFonts w:ascii="Times New Roman;serif" w:hAnsi="Times New Roman;serif"/>
          <w:b w:val="false"/>
          <w:color w:val="000000"/>
          <w:sz w:val="20"/>
        </w:rPr>
        <w:t>.</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Revenue from External Customers and Related Parties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separately present revenue derived from contracts with our external customers and those derived from related parties. Revenue from related parties is derived from Arm China, customers in which we have an equity method investment, and other entities related to us by virtue of common control by SoftBank Group.</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sales (“COS”) is comprised primarily of the costs of providing technical support and training to our customers. Occasionally, some engineering costs may be classified as COS if one of our IP products is being customized as part of professional and design services that are directly attributable to revenue generation from customers.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is at the heart of our business and critical to our future success. Accordingly, we have always invested, and intend to continue to invest, significant resources in our research and development program, including allocating resources to develop new products, including production silicon products, such as the Arm AGI CPU, CSS, chiplets, complete chip solutions, and other more integrated compute products. In order to develop new products, we have recruited and hired engineers and other employees, and may in the future need to recruit and hire engineers or other employees or acquire companies, that possess the requisite expertise. To the extent that we do not have the technical expertise, financial resources or other capabilities for a particular research and development project with respect to new products or solutions, we have partnered, and may in the future partner, with third parties.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substantially increased our research and development investment to focus on long-term returns and to replicate the strong position that we maintain in smartphones and in other markets, such as automotive, networking equipment, cloud compute and industrial IoT. Each generation of processor is typically more advanced and more complex than the previous generation, which requires increased development efforts that may be partially offset by improvements in productivity. Consequently, each year we increase our research and development investment in line with the increased development needs of the next generation of products. Engineers are in high demand and well-remunerated, and accordingly our increased research and development activity will continue to result in an increase in costs, principally driven by salaries for such technical employees and the costs of tools they need.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research and development expenses.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functions, including accounting and legal professional services fees, depreciation and amortization, advertising expenses, allocated overhead, information technology and other corporate-related expenses.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Disposal, Restructuring and Other Operating Expenses, Net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terminated an agreement with Arm China for outsourced services. The contract termination costs are included in disposal, restructuring and other operating expenses, net in the Condensed Consolidated Income Statements.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Disposal expenses consist primarily of transaction costs, such as legal and professional fees, relating to various disposal activities. Restructuring and other operating expenses consist primarily of employee termination benefits and contract termination costs.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we have committed to a restructuring plan and have communicated those actions to employees. Employee termination benefits covered by existing benefit arrangements are recognized when we have committed to a restructuring plan and the termination benefits are probable and estimable.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Income (Loss) from Equity Investments, Net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(loss) from equity investments, net includes changes in the fair value of certain equity method investments for which we elect to apply fair value accounting or at the NAV,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is recognized in the subsequent quarter of which such income or loss is recognized by our investee.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120" w:after="240"/>
        <w:ind w:left="0" w:right="0" w:firstLine="360"/>
        <w:jc w:val="both"/>
        <w:rPr/>
      </w:pPr>
      <w:r>
        <w:rPr>
          <w:rFonts w:ascii="Times New Roman;serif" w:hAnsi="Times New Roman;serif"/>
          <w:b w:val="false"/>
          <w:color w:val="000000"/>
          <w:sz w:val="20"/>
        </w:rPr>
        <w:t>Interest income consists primarily of interest received on cash and cash equivalents, short-term investments that we hold wit</w:t>
      </w:r>
      <w:r>
        <w:rPr>
          <w:rFonts w:ascii="Times New Roman;serif" w:hAnsi="Times New Roman;serif"/>
          <w:b w:val="false"/>
          <w:color w:val="231F20"/>
          <w:sz w:val="20"/>
        </w:rPr>
        <w:t>h various financial institutions, and loans receivable. Interest expense primarily relates to accretion on intangible asset obligations and interest on finance leases.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Other Non-Operating Income (Loss), Net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currency exchange including foreign exchange contracts, changes in the fair value of convertible loans receivable, and gains or losses on business divestitures.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Income Tax Benefit (Expense)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Income tax benefit (expense) consists of income taxes incurred in the United Kingdom and the foreign jurisdictions in which we operate. For additional information, see </w:t>
      </w:r>
      <w:r>
        <w:rPr>
          <w:rFonts w:ascii="Times New Roman;serif" w:hAnsi="Times New Roman;serif"/>
          <w:b w:val="false"/>
          <w:i/>
          <w:color w:val="000000"/>
          <w:sz w:val="20"/>
        </w:rPr>
        <w:t>Note 11 - Income Taxes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sets forth the components of operations from our unaudited Condensed Consolidated Income Statements and such data as a percentage of total revenue on an absolute basis, for the periods indicated:</w:t>
      </w:r>
    </w:p>
    <w:tbl>
      <w:tblPr>
        <w:tblW w:w="10108" w:type="dxa"/>
        <w:jc w:val="left"/>
        <w:tblInd w:w="0" w:type="dxa"/>
        <w:tblLayout w:type="fixed"/>
        <w:tblCellMar>
          <w:top w:w="28" w:type="dxa"/>
          <w:left w:w="28" w:type="dxa"/>
          <w:bottom w:w="28" w:type="dxa"/>
          <w:right w:w="28" w:type="dxa"/>
        </w:tblCellMar>
      </w:tblPr>
      <w:tblGrid>
        <w:gridCol w:w="1704"/>
        <w:gridCol w:w="1499"/>
        <w:gridCol w:w="1507"/>
        <w:gridCol w:w="109"/>
        <w:gridCol w:w="109"/>
        <w:gridCol w:w="109"/>
        <w:gridCol w:w="215"/>
        <w:gridCol w:w="475"/>
        <w:gridCol w:w="109"/>
        <w:gridCol w:w="274"/>
        <w:gridCol w:w="274"/>
        <w:gridCol w:w="682"/>
        <w:gridCol w:w="109"/>
        <w:gridCol w:w="109"/>
        <w:gridCol w:w="109"/>
        <w:gridCol w:w="211"/>
        <w:gridCol w:w="466"/>
        <w:gridCol w:w="109"/>
        <w:gridCol w:w="274"/>
        <w:gridCol w:w="274"/>
        <w:gridCol w:w="682"/>
        <w:gridCol w:w="109"/>
        <w:gridCol w:w="109"/>
        <w:gridCol w:w="109"/>
        <w:gridCol w:w="109"/>
        <w:gridCol w:w="109"/>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operating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Percentages are calculated from the amounts presented and may not add to their respective totals due to rounding.</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Total revenue</w:t>
      </w:r>
    </w:p>
    <w:tbl>
      <w:tblPr>
        <w:tblW w:w="1107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11"/>
        <w:gridCol w:w="466"/>
        <w:gridCol w:w="109"/>
        <w:gridCol w:w="109"/>
        <w:gridCol w:w="109"/>
        <w:gridCol w:w="109"/>
        <w:gridCol w:w="211"/>
        <w:gridCol w:w="466"/>
        <w:gridCol w:w="109"/>
        <w:gridCol w:w="220"/>
        <w:gridCol w:w="220"/>
        <w:gridCol w:w="551"/>
        <w:gridCol w:w="109"/>
        <w:gridCol w:w="109"/>
        <w:gridCol w:w="109"/>
        <w:gridCol w:w="211"/>
        <w:gridCol w:w="466"/>
        <w:gridCol w:w="109"/>
        <w:gridCol w:w="109"/>
        <w:gridCol w:w="109"/>
        <w:gridCol w:w="109"/>
        <w:gridCol w:w="211"/>
        <w:gridCol w:w="466"/>
        <w:gridCol w:w="109"/>
        <w:gridCol w:w="220"/>
        <w:gridCol w:w="220"/>
        <w:gridCol w:w="551"/>
        <w:gridCol w:w="109"/>
        <w:gridCol w:w="109"/>
        <w:gridCol w:w="109"/>
        <w:gridCol w:w="211"/>
        <w:gridCol w:w="616"/>
        <w:gridCol w:w="109"/>
        <w:gridCol w:w="109"/>
        <w:gridCol w:w="109"/>
        <w:gridCol w:w="109"/>
        <w:gridCol w:w="211"/>
        <w:gridCol w:w="616"/>
        <w:gridCol w:w="109"/>
        <w:gridCol w:w="211"/>
        <w:gridCol w:w="211"/>
        <w:gridCol w:w="61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9"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883" w:type="dxa"/>
            <w:gridSpan w:val="39"/>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2" w:type="dxa"/>
            <w:gridSpan w:val="27"/>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 increased $236 million, or 22%, to $1,289 million during the three months ended June 30, 2026, from total revenue of $1,053 million during the three months ended June 30, 2025.</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License and other revenue increased $106 million, or 23%, during the three months ended June 30, 2026 as compared to the three months ended June 30, 2025. License and other revenue increase was driven by continued strong demand for Arm IP, as well as fluctuation in the </w:t>
      </w:r>
      <w:r>
        <w:rPr>
          <w:rFonts w:ascii="Times New Roman;serif" w:hAnsi="Times New Roman;serif"/>
          <w:b w:val="false"/>
          <w:color w:val="231F20"/>
          <w:sz w:val="20"/>
        </w:rPr>
        <w:t>timing and size</w:t>
      </w:r>
      <w:r>
        <w:rPr>
          <w:color w:val="000000"/>
        </w:rPr>
        <w:t xml:space="preserve"> </w:t>
      </w:r>
      <w:r>
        <w:rPr>
          <w:rFonts w:ascii="Times New Roman;serif" w:hAnsi="Times New Roman;serif"/>
          <w:b w:val="false"/>
          <w:color w:val="000000"/>
          <w:sz w:val="20"/>
        </w:rPr>
        <w:t>of multiple high-value license agreements and contributions from backlog into the current period from arrangements entered in prior periods.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Royalty revenue increased $130 million, or 22%, during the three months ended June 30, 2026 as compared to the three months ended June 30, 2025. Royalty revenue increase was generally driven by an improved mix of products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higher royalty rates per chip, such as Armv9 and Arm CSS technology, and increased deployment of Arm-based chips in data centers.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Revenu</w:t>
      </w:r>
      <w:r>
        <w:rPr>
          <w:rFonts w:ascii="Times New Roman;serif" w:hAnsi="Times New Roman;serif"/>
          <w:b w:val="false"/>
          <w:color w:val="231F20"/>
          <w:sz w:val="20"/>
        </w:rPr>
        <w:t xml:space="preserve">e from external customers increased $176 million, or </w:t>
      </w:r>
      <w:r>
        <w:rPr>
          <w:rFonts w:ascii="Times New Roman;serif" w:hAnsi="Times New Roman;serif"/>
          <w:b w:val="false"/>
          <w:color w:val="000000"/>
          <w:sz w:val="20"/>
        </w:rPr>
        <w:t xml:space="preserve">24%, during the three months ended June 30, 2026 as compared to the three months ended June 30, 2025. Revenue from related parties increased $60 million, or 18%, during the three months ended June 30, 2026 as compared to the three months ended June 30, 2025. </w:t>
      </w:r>
      <w:r>
        <w:rPr>
          <w:rFonts w:ascii="Times New Roman;serif" w:hAnsi="Times New Roman;serif"/>
          <w:b w:val="false"/>
          <w:color w:val="231F20"/>
          <w:sz w:val="20"/>
        </w:rPr>
        <w:t>The drivers for the changes in revenue from external customers and related parties were generally consistent with the trends for changes in license and other revenue and royalty revenue described above.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revenue from sales to customers outside of the U.S. accounted for approximately 70% and approximately 64% of total revenue, respectively. Less than 2% of our total revenue is denominated in currencies other than U.S. dollars, and the impact of changes in foreign exchange rates on our revenue for the three months ended June 30, 2026 and 2025 was immaterial. </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Cost of sales</w:t>
      </w:r>
    </w:p>
    <w:tbl>
      <w:tblPr>
        <w:tblW w:w="6942"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211"/>
        <w:gridCol w:w="436"/>
        <w:gridCol w:w="109"/>
        <w:gridCol w:w="109"/>
        <w:gridCol w:w="109"/>
        <w:gridCol w:w="109"/>
        <w:gridCol w:w="211"/>
        <w:gridCol w:w="436"/>
        <w:gridCol w:w="109"/>
        <w:gridCol w:w="109"/>
        <w:gridCol w:w="109"/>
        <w:gridCol w:w="109"/>
        <w:gridCol w:w="220"/>
        <w:gridCol w:w="220"/>
        <w:gridCol w:w="551"/>
        <w:gridCol w:w="109"/>
        <w:gridCol w:w="109"/>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sales increased by $6 million, or 20%, during the three months ended June 30, 2026 as compared to the three months ended June 30, 2025, primarily due to increases in salaries and related expenses and share-based compensation costs.</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152"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211"/>
        <w:gridCol w:w="541"/>
        <w:gridCol w:w="109"/>
        <w:gridCol w:w="109"/>
        <w:gridCol w:w="109"/>
        <w:gridCol w:w="109"/>
        <w:gridCol w:w="211"/>
        <w:gridCol w:w="541"/>
        <w:gridCol w:w="109"/>
        <w:gridCol w:w="109"/>
        <w:gridCol w:w="109"/>
        <w:gridCol w:w="109"/>
        <w:gridCol w:w="220"/>
        <w:gridCol w:w="220"/>
        <w:gridCol w:w="551"/>
        <w:gridCol w:w="109"/>
        <w:gridCol w:w="109"/>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Research and development expenses increased by $188 million, or 29%, during the three months ended June 30, 2026 as compared to the three months ended June 30, 2025, </w:t>
      </w:r>
      <w:r>
        <w:rPr>
          <w:rFonts w:ascii="Times New Roman;serif" w:hAnsi="Times New Roman;serif"/>
          <w:b w:val="false"/>
          <w:color w:val="231F20"/>
          <w:sz w:val="20"/>
        </w:rPr>
        <w:t xml:space="preserve">primarily due </w:t>
      </w:r>
      <w:r>
        <w:rPr>
          <w:rFonts w:ascii="Times New Roman;serif" w:hAnsi="Times New Roman;serif"/>
          <w:b w:val="false"/>
          <w:color w:val="000000"/>
          <w:sz w:val="20"/>
        </w:rPr>
        <w:t xml:space="preserve">to </w:t>
      </w:r>
      <w:r>
        <w:rPr>
          <w:rFonts w:ascii="Times New Roman;serif" w:hAnsi="Times New Roman;serif"/>
          <w:b w:val="false"/>
          <w:color w:val="231F20"/>
          <w:sz w:val="20"/>
        </w:rPr>
        <w:t xml:space="preserve">increases in investments in next generation products. The increase was due to salaries and related expenses as a result of headcount growth from hiring, share-based compensation costs, cloud services and IT expenses, depreciation and amortization, and allocated facility overhead expenses, which was partially offset by an increase in research and development tax credits. </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tbl>
      <w:tblPr>
        <w:tblW w:w="7348" w:type="dxa"/>
        <w:jc w:val="left"/>
        <w:tblInd w:w="0" w:type="dxa"/>
        <w:tblLayout w:type="fixed"/>
        <w:tblCellMar>
          <w:top w:w="28" w:type="dxa"/>
          <w:left w:w="28" w:type="dxa"/>
          <w:bottom w:w="28" w:type="dxa"/>
          <w:right w:w="28" w:type="dxa"/>
        </w:tblCellMar>
      </w:tblPr>
      <w:tblGrid>
        <w:gridCol w:w="1069"/>
        <w:gridCol w:w="940"/>
        <w:gridCol w:w="946"/>
        <w:gridCol w:w="109"/>
        <w:gridCol w:w="109"/>
        <w:gridCol w:w="109"/>
        <w:gridCol w:w="211"/>
        <w:gridCol w:w="541"/>
        <w:gridCol w:w="109"/>
        <w:gridCol w:w="109"/>
        <w:gridCol w:w="109"/>
        <w:gridCol w:w="109"/>
        <w:gridCol w:w="211"/>
        <w:gridCol w:w="541"/>
        <w:gridCol w:w="109"/>
        <w:gridCol w:w="109"/>
        <w:gridCol w:w="109"/>
        <w:gridCol w:w="109"/>
        <w:gridCol w:w="220"/>
        <w:gridCol w:w="220"/>
        <w:gridCol w:w="551"/>
        <w:gridCol w:w="109"/>
        <w:gridCol w:w="109"/>
        <w:gridCol w:w="109"/>
        <w:gridCol w:w="109"/>
        <w:gridCol w:w="109"/>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Selling, general and administrative expenses increased by $58 million, or 22%, during the three months ended June 30, 2026 as compared to the three months ended June 30, 2025, </w:t>
      </w:r>
      <w:r>
        <w:rPr>
          <w:rFonts w:ascii="Times New Roman;serif" w:hAnsi="Times New Roman;serif"/>
          <w:b w:val="false"/>
          <w:color w:val="231F20"/>
          <w:sz w:val="20"/>
        </w:rPr>
        <w:t>primarily due to increases in s</w:t>
      </w:r>
      <w:r>
        <w:rPr>
          <w:rFonts w:ascii="Times New Roman;serif" w:hAnsi="Times New Roman;serif"/>
          <w:b w:val="false"/>
          <w:color w:val="000000"/>
          <w:sz w:val="20"/>
        </w:rPr>
        <w:t>hare-based compensation costs and salaries and related expenses as a result of headcount growth</w:t>
      </w:r>
      <w:r>
        <w:rPr>
          <w:rFonts w:ascii="Times New Roman;serif" w:hAnsi="Times New Roman;serif"/>
          <w:b w:val="false"/>
          <w:color w:val="231F2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Disposal, restructuring and other operating expenses, net</w:t>
      </w:r>
    </w:p>
    <w:tbl>
      <w:tblPr>
        <w:tblW w:w="9191" w:type="dxa"/>
        <w:jc w:val="left"/>
        <w:tblInd w:w="0" w:type="dxa"/>
        <w:tblLayout w:type="fixed"/>
        <w:tblCellMar>
          <w:top w:w="28" w:type="dxa"/>
          <w:left w:w="28" w:type="dxa"/>
          <w:bottom w:w="28" w:type="dxa"/>
          <w:right w:w="28" w:type="dxa"/>
        </w:tblCellMar>
      </w:tblPr>
      <w:tblGrid>
        <w:gridCol w:w="1704"/>
        <w:gridCol w:w="1499"/>
        <w:gridCol w:w="1507"/>
        <w:gridCol w:w="109"/>
        <w:gridCol w:w="109"/>
        <w:gridCol w:w="109"/>
        <w:gridCol w:w="234"/>
        <w:gridCol w:w="368"/>
        <w:gridCol w:w="121"/>
        <w:gridCol w:w="121"/>
        <w:gridCol w:w="121"/>
        <w:gridCol w:w="121"/>
        <w:gridCol w:w="234"/>
        <w:gridCol w:w="452"/>
        <w:gridCol w:w="121"/>
        <w:gridCol w:w="121"/>
        <w:gridCol w:w="121"/>
        <w:gridCol w:w="121"/>
        <w:gridCol w:w="399"/>
        <w:gridCol w:w="399"/>
        <w:gridCol w:w="401"/>
        <w:gridCol w:w="109"/>
        <w:gridCol w:w="109"/>
        <w:gridCol w:w="109"/>
        <w:gridCol w:w="109"/>
        <w:gridCol w:w="109"/>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 Change </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27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Percentage changes +/- 1000% are considered not meaningful and are presented as "nm."</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Disposal, restructuring and other operating expenses, net for the three months ended June 30, 2026 were $7 million, </w:t>
      </w:r>
      <w:r>
        <w:rPr>
          <w:rFonts w:ascii="Times New Roman;serif" w:hAnsi="Times New Roman;serif"/>
          <w:b w:val="false"/>
          <w:color w:val="231F20"/>
          <w:sz w:val="20"/>
        </w:rPr>
        <w:t>primarily</w:t>
      </w:r>
      <w:r>
        <w:rPr>
          <w:color w:val="000000"/>
        </w:rPr>
        <w:t xml:space="preserve"> </w:t>
      </w:r>
      <w:r>
        <w:rPr>
          <w:rFonts w:ascii="Times New Roman;serif" w:hAnsi="Times New Roman;serif"/>
          <w:b w:val="false"/>
          <w:color w:val="000000"/>
          <w:sz w:val="20"/>
        </w:rPr>
        <w:t>related to contract termination costs for outsourced services with Arm China.</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Income (loss) from equity investments, net</w:t>
      </w:r>
    </w:p>
    <w:tbl>
      <w:tblPr>
        <w:tblW w:w="8036" w:type="dxa"/>
        <w:jc w:val="left"/>
        <w:tblInd w:w="0" w:type="dxa"/>
        <w:tblLayout w:type="fixed"/>
        <w:tblCellMar>
          <w:top w:w="28" w:type="dxa"/>
          <w:left w:w="28" w:type="dxa"/>
          <w:bottom w:w="28" w:type="dxa"/>
          <w:right w:w="28" w:type="dxa"/>
        </w:tblCellMar>
      </w:tblPr>
      <w:tblGrid>
        <w:gridCol w:w="1286"/>
        <w:gridCol w:w="1131"/>
        <w:gridCol w:w="1138"/>
        <w:gridCol w:w="109"/>
        <w:gridCol w:w="109"/>
        <w:gridCol w:w="109"/>
        <w:gridCol w:w="236"/>
        <w:gridCol w:w="522"/>
        <w:gridCol w:w="122"/>
        <w:gridCol w:w="122"/>
        <w:gridCol w:w="122"/>
        <w:gridCol w:w="122"/>
        <w:gridCol w:w="236"/>
        <w:gridCol w:w="286"/>
        <w:gridCol w:w="122"/>
        <w:gridCol w:w="122"/>
        <w:gridCol w:w="122"/>
        <w:gridCol w:w="122"/>
        <w:gridCol w:w="399"/>
        <w:gridCol w:w="399"/>
        <w:gridCol w:w="401"/>
        <w:gridCol w:w="109"/>
        <w:gridCol w:w="109"/>
        <w:gridCol w:w="109"/>
        <w:gridCol w:w="109"/>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 Change </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27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Percentage changes +/- 1000% are considered not meaningful and are presented as "nm."</w:t>
      </w:r>
    </w:p>
    <w:p>
      <w:pPr>
        <w:pStyle w:val="TextBody"/>
        <w:bidi w:val="0"/>
        <w:spacing w:lineRule="auto" w:line="288" w:before="120" w:after="240"/>
        <w:ind w:left="0" w:right="0" w:firstLine="360"/>
        <w:jc w:val="both"/>
        <w:rPr/>
      </w:pPr>
      <w:r>
        <w:rPr>
          <w:rFonts w:ascii="Times New Roman;serif" w:hAnsi="Times New Roman;serif"/>
          <w:b w:val="false"/>
          <w:color w:val="000000"/>
          <w:sz w:val="20"/>
        </w:rPr>
        <w:t>Income (loss) from equity investments, net increased by $124 million during the three months ended June 30, 2026 as compared to the three months ended June 30, 2025, primarily due to</w:t>
      </w:r>
      <w:r>
        <w:rPr>
          <w:color w:val="231F20"/>
        </w:rPr>
        <w:t xml:space="preserve"> </w:t>
      </w:r>
      <w:r>
        <w:rPr>
          <w:rFonts w:ascii="Times New Roman;serif" w:hAnsi="Times New Roman;serif"/>
          <w:b w:val="false"/>
          <w:color w:val="231F20"/>
          <w:sz w:val="20"/>
        </w:rPr>
        <w:t>unrealized gains related to equity investments in publicly listed companies, realized and unrealized gains and losses related to equity method investments accounted for at fair value and non-marketable securities.</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Interest income, net</w:t>
      </w:r>
    </w:p>
    <w:tbl>
      <w:tblPr>
        <w:tblW w:w="6886"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221"/>
        <w:gridCol w:w="378"/>
        <w:gridCol w:w="114"/>
        <w:gridCol w:w="114"/>
        <w:gridCol w:w="114"/>
        <w:gridCol w:w="114"/>
        <w:gridCol w:w="221"/>
        <w:gridCol w:w="378"/>
        <w:gridCol w:w="114"/>
        <w:gridCol w:w="114"/>
        <w:gridCol w:w="114"/>
        <w:gridCol w:w="114"/>
        <w:gridCol w:w="220"/>
        <w:gridCol w:w="220"/>
        <w:gridCol w:w="551"/>
        <w:gridCol w:w="109"/>
        <w:gridCol w:w="109"/>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net increased by $4 million, or 15%, for the three months ended June 30, 2026 as compared to the three months ended June 30, 2025, primarily due to higher average cash balances offset by lower interest rate yields recognized on cash and short-term investments.</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Other non-operating income (loss), net</w:t>
      </w:r>
    </w:p>
    <w:tbl>
      <w:tblPr>
        <w:tblW w:w="7341" w:type="dxa"/>
        <w:jc w:val="left"/>
        <w:tblInd w:w="0" w:type="dxa"/>
        <w:tblLayout w:type="fixed"/>
        <w:tblCellMar>
          <w:top w:w="28" w:type="dxa"/>
          <w:left w:w="28" w:type="dxa"/>
          <w:bottom w:w="28" w:type="dxa"/>
          <w:right w:w="28" w:type="dxa"/>
        </w:tblCellMar>
      </w:tblPr>
      <w:tblGrid>
        <w:gridCol w:w="1172"/>
        <w:gridCol w:w="1031"/>
        <w:gridCol w:w="1037"/>
        <w:gridCol w:w="109"/>
        <w:gridCol w:w="109"/>
        <w:gridCol w:w="109"/>
        <w:gridCol w:w="241"/>
        <w:gridCol w:w="292"/>
        <w:gridCol w:w="124"/>
        <w:gridCol w:w="124"/>
        <w:gridCol w:w="124"/>
        <w:gridCol w:w="124"/>
        <w:gridCol w:w="241"/>
        <w:gridCol w:w="292"/>
        <w:gridCol w:w="124"/>
        <w:gridCol w:w="124"/>
        <w:gridCol w:w="124"/>
        <w:gridCol w:w="124"/>
        <w:gridCol w:w="233"/>
        <w:gridCol w:w="233"/>
        <w:gridCol w:w="551"/>
        <w:gridCol w:w="109"/>
        <w:gridCol w:w="109"/>
        <w:gridCol w:w="109"/>
        <w:gridCol w:w="109"/>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non-operating income (loss), net increased by $2 million, or 200%, for the three months ended June 30, 2026 as compared to the three months ended June 30, 2025, primarily due to realized and unrealized foreign exchange rate movement.</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Income tax benefit (expense)</w:t>
      </w:r>
    </w:p>
    <w:tbl>
      <w:tblPr>
        <w:tblW w:w="6994"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214"/>
        <w:gridCol w:w="367"/>
        <w:gridCol w:w="110"/>
        <w:gridCol w:w="110"/>
        <w:gridCol w:w="110"/>
        <w:gridCol w:w="110"/>
        <w:gridCol w:w="214"/>
        <w:gridCol w:w="443"/>
        <w:gridCol w:w="110"/>
        <w:gridCol w:w="110"/>
        <w:gridCol w:w="110"/>
        <w:gridCol w:w="110"/>
        <w:gridCol w:w="269"/>
        <w:gridCol w:w="271"/>
        <w:gridCol w:w="551"/>
        <w:gridCol w:w="109"/>
        <w:gridCol w:w="109"/>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benefit (expense) decreased by $33 million, or 206%, for the three months ended June 30, 2026 as compared to the three months ended June 30, 2025, primarily because of changes in our projected annual tax expense, changes in the percentage of annual income earned during the quarter, and differences in the tax deductions for share-based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liquidity in terms of our ability to fund our cash obligations as they become due, including requirements of our business operations, working capital requirements, capital expenditures, contractual obligations, acquisitions and investments, and other commitments. We have historically funded, and intend to continue to fund, our operations primarily through cash generated from our business operations, partially supported by government research grants and tax credits. As of June 30, 2026, we had cash and cash equivalents of $3,058 million and short-term investments of $830 million. For the three months ended June 30, 2026 and 2025, the government incentive benefit recognized in research and development was $47 million and $32 million, respectively.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and short-term investments will be adequate to meet our liquidity requirements for at least the next 12 months and in the longer term. We continuously evaluate our liquidity and capital resources to ensure we can finance future capital requirements. Our future capital requirements will depend on several factors, including our revenue growth, the timing and extent of spending on research and development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8708" w:type="dxa"/>
        <w:jc w:val="left"/>
        <w:tblInd w:w="0" w:type="dxa"/>
        <w:tblLayout w:type="fixed"/>
        <w:tblCellMar>
          <w:top w:w="28" w:type="dxa"/>
          <w:left w:w="28" w:type="dxa"/>
          <w:bottom w:w="28" w:type="dxa"/>
          <w:right w:w="28" w:type="dxa"/>
        </w:tblCellMar>
      </w:tblPr>
      <w:tblGrid>
        <w:gridCol w:w="2069"/>
        <w:gridCol w:w="1815"/>
        <w:gridCol w:w="1830"/>
        <w:gridCol w:w="109"/>
        <w:gridCol w:w="109"/>
        <w:gridCol w:w="109"/>
        <w:gridCol w:w="251"/>
        <w:gridCol w:w="733"/>
        <w:gridCol w:w="129"/>
        <w:gridCol w:w="129"/>
        <w:gridCol w:w="129"/>
        <w:gridCol w:w="129"/>
        <w:gridCol w:w="251"/>
        <w:gridCol w:w="733"/>
        <w:gridCol w:w="183"/>
      </w:tblGrid>
      <w:tr>
        <w:trPr/>
        <w:tc>
          <w:tcPr>
            <w:tcW w:w="206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for) operating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for) investing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for) financing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(decrease) in cash and cash equivalents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at the beginning of the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Net Cash Provided by (Used for) Operating Activities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$570 million to $902 million for the three months ended June 30, 2026 as compared to the three months ended June 30, 2025, primarily due to certain non-cash items such as higher share-based compensation costs and favorable changes in assets and liabilities, partially offset by non-cash gains from equity investments and increases in deferred income taxes. Changes in working capital were primarily driven by a $389 million favorable cash flow movement related to accounts receivables due to revenue growth and the timing of payments from customers, a $370 million favorable movement in other liabilities related to timing of payroll taxes and higher outstanding balance of employment taxes payable on vested shares, and a decrease of $31 million in cash used for tax liabilities. These benefits were partially offset by a $197 million unfavorable cash flow movement related to contract liabilities primarily due to revenue recognized exceeding billings, a $73 million decrease on the movement in contract assets compared to prior period due to the timing of revenue recognition and a $47 million unfavorable cash flow movement related to prepaid expenses and other assets due to timing of payments.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Net Cash Provided by (Used for) Investing Activities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decreased by $105 million to $267 million for the three months ended June 30, 2026 as compared to the three months ended June 30, 2025, primarily due to a $290 million increase in proceeds from maturity of short-term investments, partially offset by a $72 million increase in purchases of equity investments, a $60 million increase in purchases of short-term investments and a $43 million increase in purchases of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Net Cash Provided by (Used for) Financing Activities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 increased by $203 million to $326 million for the three months ended June 30, 2026 as compared to the three months ended June 30, 2025, primarily due to a $193 million increase in payments of withholding taxes on vested share-based awards resulting from changes in share price and the shift to withhold-to-cover method in satisfaction of tax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condensed consolidated financial statements.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most significant accounting policies include revenue recognition, valuation of equity investments measured at fair value, share-based compensation, impairment of goodwill, and income taxes. These policies and the estimates and judgments involved are discussed further in the Management’s Discussion and Analysis of Financial Condition and Results of Operations section in our Annual Report. We have other significant accounting policies that either do not generally require estimates and judgments that are as difficult or subjective, or it is less likely that such accounting policies would have a material impact on our reported results of operations for a given period.</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Except for the accounting policies and estimates outlined under </w:t>
      </w:r>
      <w:r>
        <w:rPr>
          <w:rFonts w:ascii="Times New Roman;serif" w:hAnsi="Times New Roman;serif"/>
          <w:b w:val="false"/>
          <w:i/>
          <w:color w:val="000000"/>
          <w:sz w:val="20"/>
        </w:rPr>
        <w:t xml:space="preserve">Note 1 - Description of Business and Summary of Significant Accounting Policies </w:t>
      </w:r>
      <w:r>
        <w:rPr>
          <w:rFonts w:ascii="Times New Roman;serif" w:hAnsi="Times New Roman;serif"/>
          <w:b w:val="false"/>
          <w:color w:val="000000"/>
          <w:sz w:val="20"/>
        </w:rPr>
        <w:t>in the Notes to the Condensed Consolidated Financial Statements included in this Quarterly Report, there have been no material changes during the three months ended June 30, 2026 to the items that we disclosed as our significant accounting policies and estimates in the Management’s Discussion and Analysis of Financial Condition and Results of Operations section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8c1b28ac898243e7b65bfdb5ec79cb4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center"/>
        <w:rPr>
          <w:rFonts w:ascii="Times New Roman;serif" w:hAnsi="Times New Roman;serif"/>
          <w:b/>
          <w:color w:val="231F20"/>
          <w:sz w:val="20"/>
        </w:rPr>
      </w:pPr>
      <w:r>
        <w:rPr>
          <w:rFonts w:ascii="Times New Roman;serif" w:hAnsi="Times New Roman;serif"/>
          <w:b/>
          <w:color w:val="231F20"/>
          <w:sz w:val="20"/>
        </w:rPr>
        <w:t>SIGNATURE</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Pursuant to the requirements of the Securities Exchange Act of 1934, the registrant has duly caused this report to be signed on its behalf by the undersigned, thereunto duly authorized.</w:t>
      </w:r>
    </w:p>
    <w:tbl>
      <w:tblPr>
        <w:tblW w:w="5303" w:type="dxa"/>
        <w:jc w:val="left"/>
        <w:tblInd w:w="0" w:type="dxa"/>
        <w:tblLayout w:type="fixed"/>
        <w:tblCellMar>
          <w:top w:w="28" w:type="dxa"/>
          <w:left w:w="28" w:type="dxa"/>
          <w:bottom w:w="28" w:type="dxa"/>
          <w:right w:w="28" w:type="dxa"/>
        </w:tblCellMar>
      </w:tblPr>
      <w:tblGrid>
        <w:gridCol w:w="618"/>
        <w:gridCol w:w="544"/>
        <w:gridCol w:w="547"/>
        <w:gridCol w:w="328"/>
        <w:gridCol w:w="328"/>
        <w:gridCol w:w="328"/>
        <w:gridCol w:w="757"/>
        <w:gridCol w:w="757"/>
        <w:gridCol w:w="109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ARM HOLDINGS PLC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Laura Bartels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Laura Bartels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Accounting Officer </w:t>
              <w:br/>
              <w:t>(Principal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21372</Words>
  <Characters>117984</Characters>
  <CharactersWithSpaces>138085</CharactersWithSpaces>
  <Paragraphs>2041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