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946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Earnings Press Release dated February 4, 2026</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Shareholder Letter dated February 4, 2026</w:t>
            </w: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Arm Everywhere Press Release dated February 4, 2026</w:t>
            </w:r>
          </w:p>
        </w:tc>
      </w:tr>
      <w:tr>
        <w:trPr>
          <w:trHeight w:val="1019"/>
        </w:trPr>
        <w:tc>
          <w:tcPr>
            <w:tcW w:w="17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440" w:type="dxa"/>
            <w:vAlign w:val="bottom"/>
          </w:tcPr>
          <w:p>
            <w:pPr>
              <w:spacing w:after="0"/>
              <w:rPr>
                <w:sz w:val="21"/>
                <w:szCs w:val="21"/>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440" w:type="dxa"/>
            <w:vAlign w:val="bottom"/>
          </w:tcPr>
          <w:p>
            <w:pPr>
              <w:spacing w:after="0"/>
              <w:rPr>
                <w:sz w:val="16"/>
                <w:szCs w:val="16"/>
                <w:color w:val="auto"/>
              </w:rPr>
            </w:pPr>
          </w:p>
        </w:tc>
        <w:tc>
          <w:tcPr>
            <w:tcW w:w="2540" w:type="dxa"/>
            <w:vAlign w:val="bottom"/>
          </w:tcPr>
          <w:p>
            <w:pPr>
              <w:ind w:left="176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Arm Holdings plc Reports Results for the Third Quarter of the Fiscal Year Ending 2026</w:t>
      </w:r>
    </w:p>
    <w:p>
      <w:pPr>
        <w:spacing w:after="0" w:line="25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Cambridge, England, Feb. 4, 2026: </w:t>
      </w:r>
      <w:r>
        <w:rPr>
          <w:rFonts w:ascii="Times New Roman" w:cs="Times New Roman" w:eastAsia="Times New Roman" w:hAnsi="Times New Roman"/>
          <w:sz w:val="22"/>
          <w:szCs w:val="22"/>
          <w:color w:val="auto"/>
        </w:rPr>
        <w:t>Arm Holdings plc (NASDAQ: ARM), the company that is building the future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has today published a letter to its shareholders containing the company’s results for its third quarter of fiscal year 2026, which ended Dec. 31, 2025.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spacing w:after="0" w:line="20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Arm will host an audio webcast to discuss its results at 14:00 PT / 17:00 ET / 22:00 GMT today, Feb. 4. The live webcast will be available at https://edge.media-server.com/mmc/p/o443v7p2 and a replay will be at https://investors.arm.com/financials/quarterly-annual-results.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1"/>
          <w:szCs w:val="21"/>
          <w:color w:val="auto"/>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22 million software developers, we are building the future of AI on Arm.</w:t>
      </w:r>
    </w:p>
    <w:p>
      <w:pPr>
        <w:spacing w:after="0" w:line="204"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1995-2026 Arm Limited.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18" w:lineRule="auto"/>
        <w:rPr>
          <w:sz w:val="20"/>
          <w:szCs w:val="20"/>
          <w:color w:val="auto"/>
        </w:rPr>
      </w:pPr>
      <w:r>
        <w:rPr>
          <w:rFonts w:ascii="Times New Roman" w:cs="Times New Roman" w:eastAsia="Times New Roman" w:hAnsi="Times New Roman"/>
          <w:sz w:val="22"/>
          <w:szCs w:val="22"/>
          <w:color w:val="auto"/>
        </w:rPr>
        <w:t>Kristen Ray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23" w:lineRule="auto"/>
        <w:rPr>
          <w:sz w:val="20"/>
          <w:szCs w:val="20"/>
          <w:color w:val="auto"/>
        </w:rPr>
      </w:pPr>
      <w:r>
        <w:rPr>
          <w:rFonts w:ascii="Times New Roman" w:cs="Times New Roman" w:eastAsia="Times New Roman" w:hAnsi="Times New Roman"/>
          <w:sz w:val="22"/>
          <w:szCs w:val="22"/>
          <w:color w:val="auto"/>
        </w:rPr>
        <w:t>Arm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p>
      <w:pPr>
        <w:sectPr>
          <w:pgSz w:w="11900" w:h="16838" w:orient="portrait"/>
          <w:cols w:equalWidth="0" w:num="1">
            <w:col w:w="11140"/>
          </w:cols>
          <w:pgMar w:left="320" w:top="140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452110" cy="7054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705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27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0139"/>
          </w:cols>
          <w:pgMar w:left="320" w:top="1170" w:right="1440" w:bottom="1440" w:gutter="0" w:footer="0" w:header="0"/>
        </w:sectPr>
      </w:pPr>
    </w:p>
    <w:bookmarkStart w:id="4" w:name="page5"/>
    <w:bookmarkEnd w:id="4"/>
    <w:p>
      <w:pPr>
        <w:ind w:left="40" w:right="20"/>
        <w:spacing w:after="0" w:line="27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4057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471805"/>
                    </a:xfrm>
                    <a:prstGeom prst="rect">
                      <a:avLst/>
                    </a:prstGeom>
                    <a:noFill/>
                  </pic:spPr>
                </pic:pic>
              </a:graphicData>
            </a:graphic>
          </wp:anchor>
        </w:drawing>
        <w:t>Arm will be hosting a conference call via an audio webcast to discuss earnings at 14:00 Pacific Time (17:00 Eastern Time, 22:00 GMT) on Wednesday, February 4, 2026. A replay of and a transcript of the call will be available the following day.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webcast and replay can be accessed at: https://edge.media-server.com/mmc/p/o443v7p2/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Dear Shareholder,</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Arm delivered record third quarter results. Revenue grew 26% year-on-year to $1.24 billion, representing record quarterly revenue and our fourth consecutive billion dollar revenue quarter. Royalty revenue grew a robust 27% year-over-year to a record of $737 million driven by growth across our target end markets, including AI and general purpose data center, smartphones, physical AI and edge AI. Licensing revenue of $505 million increased 25% year-over-year. Demand for the Arm platform is strong as more leading companies signed high-value licenses for next-generation technologies.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growth lifted our non-GAAP EPS to $0.43 as we continue to increase investment in R&amp;D. Our results reflect the strength of our platform and our long-term commitment to innovation across a broad range of compute technologies. The fundamentals of the Arm business have never been better.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A Diversified Compute Platform Built for the AI Era</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AI is driving a fundamental shift in how compute is architected, deployed, and scaled. As AI workloads proliferate across cloud infrastructure, autonomous systems, and edge devices, the industry requires platforms that deliver high performance, energy efficiency, and flexibility across a broad range of power envelopes and use cases. Only Arm’s compute platform can address these demands, supporting AI workloads ranging from milliwatts to gigawatts, and serving the industry’s broadest set of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seeing strong momentum for AI across every layer of computing, from the edge to the cloud. To align with where this growth is taking shape, we have organized our business into three AI domains: Edge AI, serving smartphones and IoT; Physical AI, supporting automotive and robotics; and Cloud AI, addressing data center and networking.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 Subsystems Drive Royalty Growth and Value Capture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announcing our Arm Compute Subsystems (CSS) nearly 2 ½ years ago, we have seen demand beyond our expectations. During the quarter, Arm signed two additional CSS licenses for use in edge AI tablets and smartphones, bringing the total to 21 CSS licenses across 12 companies. Five customers are now shipping CSS-based chips, including two shipping its second-generation platform, and the top four Android smartphone vendors are all shipping CSS-powered devices. The challenges associated with complex chip design are only increasing and as a result more and more customers are moving to CSS to address this. The increased CSS adoption represents a significant tailwind to royalty growth, as CSS expands both the value Arm delivers and the economics we capture.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Cloud and Data Center Adoption Reaches New Scale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shift towards inference is redefining AI datacenter designs. Increasingly, this inference is agent-based. These workloads are persistent, always on, and power constrained. This is a fundamental change in how AI systems operate.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reason for this is that agent-based AI involves many agents running continuously — coordinating tasks, accessing data, and interacting with services in real time. These systems are control and orchestration-heavy, running continuously and not as one-off requests. This type of work can only be done by CPUs, which is why this evolution is making the CPU more essential than ever in AI datacenters.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agent-based inference scales, demand increases for CPU chips with even higher numbers of CPU cores. These require more power efficient CPUs that can run continuously within tight power and cost constraints.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requirement for more CPU cores in a chip and more power efficient cores directly benefits Arm. Arm-based CPU chips deliver industry-leading performance per watt, enabling customers to scale core counts and run always-on AI workloads efficiently. We are seeing this trend play out in the market now where Arm Neoverse CPUs have now surpassed one billion cores deployed, and Arm’s share among top hyperscalers is expected to reach nearly 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15"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The leading hyperscalers are launching new products with increased core counts to address this opportunity. AWS launched its fifth-generation Graviton processor with 192 cores, doubling core count from Graviton4, and delivering up to 25% higher performance and 33% lower latency improvement versus Graviton4. NVIDIA’s next-generation Vera CPU features 88 Arm-based cores, up from 72 cores in the Grace CPU generation. Microsoft recently introduced Cobalt 200, built on the higher performance Arm Neoverse CSS V3 with 132 cores, up from 128 cores in Cobalt 100, which was based on the prior Neoverse N2 platform. Google previewed its second Arm-based server processor, with Axion-powered N4A instances delivering up to 2x better price-performance and 80% better performance per watt than comparable x86 offerings and has now migrated over 30,000 applications to the Arm instruction set.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Arm compute platform enables tightly integrated system designs that scale AI more efficiently, increasing AI output—often measured as more tokens per watt—so customers can deploy more AI applications within the same power and cost envelope. AWS integrates Graviton CPUs with Arm-based Nitro DPUs and Trainium accelerators to deliver system-level efficiency while preserving customer flexibility. NVIDIA’s AI platforms pair their GPUs with Arm-based Grace CPUs and Arm-based Bluefield DPUs, and the transition to its Arm-based Vera platform delivering a 6x increase in DPU compute capability over the prior generation.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these trends reinforce a clear conclusion: as AI inference becomes more agent-based, CPU-led orchestration and power efficiency matter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Triple-digit growth in Arm's data center royalty revenue illustrates that Arm’s role at the center of modern data center architectures continues to grow.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Edge and Physical AI Open New Growth Frontiers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AI is now moving beyond the datacenter into everyday devices. These devices have distinctive design challenges as opposed to the datacenter. Vehicles and machines that operate in real time under strict power, safety, and reliability constraints represent a vastly different design problem. In these environments, CPUs play the leading role. Edge and physical AI systems are dominated by control logic, safety monitoring, and system coordination, with AI models invoked as part of a larger, continuous workflow. Efficient, predictable, local general-purpose compute is essential to support these always on workloads while operating within tight power budgets.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common example is an on-device AI agent running on a smartphone, PC, or in a vehicle. The agent continuously monitors system and sensor inputs, prioritizes tasks, invokes AI models when needed, and responds in real time — all while operating quietly in the background and preserving battery life. Given the power constraints, the CPU is managing all these tasks.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requirements align perfectly with where Arm excels. Arm’s compute platform delivers excellent power efficiency, predictable latency, and power sipping always-on operation, while providing a common software foundation that scales across consumer devices, vehicles, and robotics. This software consistency allows customers to deploy AI systems across multiple form factors without rebuilding software stacks, supported by the world’s largest developer ecosystem.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Leading innovators recognize this and are building custom Arm-based chips to tightly integrate AI, sensing, and real-time control while preserving software continuity. In December, Rivian announced its third-generation Autonomy Computer built on the Arm-based Rivian Autonomy Processor, powering their first production vehicle based on a custom Arm chip and the first to deploy Armv9 in a production car. Tesla’s upcoming Optimus humanoid robot is also powered by a custom Arm-based AI processor, underscoring Arm’s role at the forefront of physical AI.</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the broader robotics and autonomous systems market is scaling through Arm-based platforms from leading silicon providers. NVIDIA’s Jetson Thor platform and Qualcomm’s Dragonwing platform are built on Arm and are widely used to power robots, autonomous machines, and intelligent vehicles across industries. Together, these deployments reinforce Arm as the common compute foundation for the physical AI ecosystem.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edge, adoption of Arm-based platforms across smartphones, Chromebooks, and PCs continues to grow as demand rises for on-device AI that balances performance, battery life, and privacy. In Chromebooks, OEMs including Lenovo and Acer are deploying Arm-based designs from entry level systems through the Chromebook Plus category, driven by Arm’s performance-per-watt advantage versus x86, which translates into several additional hours of battery life.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Arm: The Foundation for AI at Every Scale</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AI is reshaping every part of computing — from hyperscale data centers and autonomous machines to devices in the palm of your hand. As AI systems become more agent-based and increasingly distributed across cloud, edge, and physical environments, customers require platforms that deliver performance, efficiency, and consistency across a wide range of use cases and power envelopes.</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Arm uniquely delivers this foundation. Our compute platform spans from milliwatts to gigawatts and is supported by the world’s largest developer ecosystem, with over 22 million developers, representing more than 80% of the global total. This ecosystem enables customers to deploy AI workloads across data centers, devices, and embedded systems without rebuilding software stacks or retraining developers, allowing AI to move seamlessly as workloads evolve.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remain focused on executing our strategy: strengthening our product portfolio, expanding our software and developer ecosystem, and innovating closely with our partners to deliver system-level solutions optimized for the AI era. As AI continues to proliferate across industries and form factors, Arm’s platform will remain the common foundation connecting them all — driving long-term growth, ecosystem expansion, and sustainable value creation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54" w:lineRule="exact"/>
        <w:rPr>
          <w:sz w:val="20"/>
          <w:szCs w:val="20"/>
          <w:color w:val="auto"/>
        </w:rPr>
      </w:pPr>
    </w:p>
    <w:p>
      <w:pPr>
        <w:jc w:val="both"/>
        <w:ind w:left="40" w:right="20"/>
        <w:spacing w:after="0" w:line="289" w:lineRule="auto"/>
        <w:rPr>
          <w:sz w:val="20"/>
          <w:szCs w:val="20"/>
          <w:color w:val="auto"/>
        </w:rPr>
      </w:pPr>
      <w:r>
        <w:rPr>
          <w:rFonts w:ascii="Times New Roman" w:cs="Times New Roman" w:eastAsia="Times New Roman" w:hAnsi="Times New Roman"/>
          <w:sz w:val="17"/>
          <w:szCs w:val="17"/>
          <w:color w:val="auto"/>
        </w:rPr>
        <w:t>“Arm delivered a record revenue quarter as demand for AI computing on our platform continues to accelerate” said Rene Haas, CEO. “Record royalty results in the third quarter reflect the growing scale of our ecosystem, as customers design the Arm compute platform into next-generation systems across cloud, edge, and physical environments to deliver high-performance, power-efficient AI. The fundamentals of the Arm business have never been stronger.”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w:t>
      </w:r>
    </w:p>
    <w:p>
      <w:pPr>
        <w:sectPr>
          <w:pgSz w:w="11900" w:h="16838" w:orient="portrait"/>
          <w:cols w:equalWidth="0" w:num="1">
            <w:col w:w="11240"/>
          </w:cols>
          <w:pgMar w:left="320" w:top="927"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Rene Haas,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Jason Child,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Chief Financial Officer</w:t>
      </w:r>
    </w:p>
    <w:p>
      <w:pPr>
        <w:spacing w:after="0" w:line="37"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0057FF"/>
        </w:rPr>
        <w:t>Investor Contact</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Times New Roman" w:cs="Times New Roman" w:eastAsia="Times New Roman" w:hAnsi="Times New Roman"/>
          <w:sz w:val="17"/>
          <w:szCs w:val="17"/>
          <w:b w:val="1"/>
          <w:bCs w:val="1"/>
          <w:color w:val="0057FF"/>
        </w:rPr>
        <w:t>Media Contact</w:t>
      </w:r>
    </w:p>
    <w:p>
      <w:pPr>
        <w:spacing w:after="0" w:line="38"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Investor.Relations@arm.com</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Times New Roman" w:cs="Times New Roman" w:eastAsia="Times New Roman" w:hAnsi="Times New Roman"/>
          <w:sz w:val="17"/>
          <w:szCs w:val="17"/>
          <w:color w:val="231F20"/>
        </w:rPr>
        <w:t>Global-PRteam@arm.com</w:t>
      </w:r>
    </w:p>
    <w:p>
      <w:pPr>
        <w:spacing w:after="0" w:line="25"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57FF"/>
        </w:rPr>
        <w:t>Q3 FYE26 Financial Overview</w:t>
      </w:r>
    </w:p>
    <w:p>
      <w:pPr>
        <w:spacing w:after="0" w:line="229" w:lineRule="exact"/>
        <w:rPr>
          <w:sz w:val="20"/>
          <w:szCs w:val="20"/>
          <w:color w:val="auto"/>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Arm's Q3 results demonstrated strong year-over-year revenue growth. Total revenue increased 26% year-over-year to $1,242 million, representing a record quarter for revenue and exceeding $1 billion for the fourth consecutive quarter.</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Royalty revenue increased 27% year-over-year to </w:t>
      </w:r>
      <w:r>
        <w:rPr>
          <w:rFonts w:ascii="Times New Roman" w:cs="Times New Roman" w:eastAsia="Times New Roman" w:hAnsi="Times New Roman"/>
          <w:sz w:val="18"/>
          <w:szCs w:val="18"/>
          <w:color w:val="231F20"/>
        </w:rPr>
        <w:t>$737 million, driven</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231F20"/>
        </w:rPr>
        <w:t>c</w:t>
      </w:r>
      <w:r>
        <w:rPr>
          <w:rFonts w:ascii="Times New Roman" w:cs="Times New Roman" w:eastAsia="Times New Roman" w:hAnsi="Times New Roman"/>
          <w:sz w:val="18"/>
          <w:szCs w:val="18"/>
          <w:color w:val="auto"/>
        </w:rPr>
        <w:t>ontinued adoption of Arm technology with higher royalty rates per chip, such as Armv9 architecture and Arm CSS, and increased usage of Arm-based chips in data centers.</w:t>
      </w:r>
    </w:p>
    <w:p>
      <w:pPr>
        <w:spacing w:after="0" w:line="53"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License and other 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25% year-over-year to </w:t>
      </w:r>
      <w:r>
        <w:rPr>
          <w:rFonts w:ascii="Times New Roman" w:cs="Times New Roman" w:eastAsia="Times New Roman" w:hAnsi="Times New Roman"/>
          <w:sz w:val="18"/>
          <w:szCs w:val="18"/>
          <w:color w:val="000000"/>
        </w:rPr>
        <w:t>$505 million d</w:t>
      </w:r>
      <w:r>
        <w:rPr>
          <w:rFonts w:ascii="Times New Roman" w:cs="Times New Roman" w:eastAsia="Times New Roman" w:hAnsi="Times New Roman"/>
          <w:sz w:val="18"/>
          <w:szCs w:val="18"/>
          <w:color w:val="231F20"/>
        </w:rPr>
        <w:t>ue to normal fluctuations in the timing and size of multiple high-value license agreements and contributions from backlog.</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Annualized contract value (ACV), a metric for normalized license and other revenue, increased 28% year-over-year to $1,620 million.</w:t>
      </w:r>
    </w:p>
    <w:p>
      <w:pPr>
        <w:spacing w:after="0" w:line="117" w:lineRule="exact"/>
        <w:rPr>
          <w:rFonts w:ascii="Times New Roman" w:cs="Times New Roman" w:eastAsia="Times New Roman" w:hAnsi="Times New Roman"/>
          <w:sz w:val="18"/>
          <w:szCs w:val="18"/>
          <w:color w:val="231F20"/>
        </w:rPr>
      </w:pPr>
    </w:p>
    <w:p>
      <w:pPr>
        <w:jc w:val="both"/>
        <w:ind w:left="340" w:hanging="332"/>
        <w:spacing w:after="0" w:line="266"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Remaining performance obligations (RPO), a metric for unearned revenue and amounts to be invoiced and recognized in future periods, decreased 8% year-over-year to $2,148 million. </w:t>
      </w:r>
      <w:r>
        <w:rPr>
          <w:rFonts w:ascii="Times New Roman" w:cs="Times New Roman" w:eastAsia="Times New Roman" w:hAnsi="Times New Roman"/>
          <w:sz w:val="18"/>
          <w:szCs w:val="18"/>
          <w:color w:val="231F20"/>
        </w:rPr>
        <w:t>The Company expects to recognize approximately</w:t>
      </w:r>
      <w:r>
        <w:rPr>
          <w:rFonts w:ascii="Times New Roman" w:cs="Times New Roman" w:eastAsia="Times New Roman" w:hAnsi="Times New Roman"/>
          <w:sz w:val="18"/>
          <w:szCs w:val="18"/>
          <w:color w:val="auto"/>
        </w:rPr>
        <w:t xml:space="preserve"> 31% </w:t>
      </w:r>
      <w:r>
        <w:rPr>
          <w:rFonts w:ascii="Times New Roman" w:cs="Times New Roman" w:eastAsia="Times New Roman" w:hAnsi="Times New Roman"/>
          <w:sz w:val="18"/>
          <w:szCs w:val="18"/>
          <w:color w:val="231F20"/>
        </w:rPr>
        <w:t>of RPO as revenue over the next</w:t>
      </w:r>
      <w:r>
        <w:rPr>
          <w:rFonts w:ascii="Times New Roman" w:cs="Times New Roman" w:eastAsia="Times New Roman" w:hAnsi="Times New Roman"/>
          <w:sz w:val="18"/>
          <w:szCs w:val="18"/>
          <w:color w:val="auto"/>
        </w:rPr>
        <w:t xml:space="preserve"> 12 </w:t>
      </w:r>
      <w:r>
        <w:rPr>
          <w:rFonts w:ascii="Times New Roman" w:cs="Times New Roman" w:eastAsia="Times New Roman" w:hAnsi="Times New Roman"/>
          <w:sz w:val="18"/>
          <w:szCs w:val="18"/>
          <w:color w:val="231F20"/>
        </w:rPr>
        <w:t>months,</w:t>
      </w:r>
      <w:r>
        <w:rPr>
          <w:rFonts w:ascii="Times New Roman" w:cs="Times New Roman" w:eastAsia="Times New Roman" w:hAnsi="Times New Roman"/>
          <w:sz w:val="18"/>
          <w:szCs w:val="18"/>
          <w:color w:val="auto"/>
        </w:rPr>
        <w:t xml:space="preserve"> 19% </w:t>
      </w:r>
      <w:r>
        <w:rPr>
          <w:rFonts w:ascii="Times New Roman" w:cs="Times New Roman" w:eastAsia="Times New Roman" w:hAnsi="Times New Roman"/>
          <w:sz w:val="18"/>
          <w:szCs w:val="18"/>
          <w:color w:val="231F20"/>
        </w:rPr>
        <w:t>over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subsequent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231F20"/>
        </w:rPr>
        <w:t xml:space="preserve">-to </w:t>
      </w:r>
      <w:r>
        <w:rPr>
          <w:rFonts w:ascii="Times New Roman" w:cs="Times New Roman" w:eastAsia="Times New Roman" w:hAnsi="Times New Roman"/>
          <w:sz w:val="18"/>
          <w:szCs w:val="18"/>
          <w:color w:val="000000"/>
        </w:rPr>
        <w:t>24</w:t>
      </w:r>
      <w:r>
        <w:rPr>
          <w:rFonts w:ascii="Times New Roman" w:cs="Times New Roman" w:eastAsia="Times New Roman" w:hAnsi="Times New Roman"/>
          <w:sz w:val="18"/>
          <w:szCs w:val="18"/>
          <w:color w:val="231F20"/>
        </w:rPr>
        <w:t>-month period, and the remainder thereafter.</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Arm Total Access licenses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31F20"/>
        </w:rPr>
        <w:t xml:space="preserve"> during the quarter to 50, including more than half of our top 30 customers. Arm Flexible Access customers </w:t>
      </w:r>
      <w:r>
        <w:rPr>
          <w:rFonts w:ascii="Times New Roman" w:cs="Times New Roman" w:eastAsia="Times New Roman" w:hAnsi="Times New Roman"/>
          <w:sz w:val="18"/>
          <w:szCs w:val="18"/>
          <w:color w:val="000000"/>
        </w:rPr>
        <w:t xml:space="preserve">increased </w:t>
      </w:r>
      <w:r>
        <w:rPr>
          <w:rFonts w:ascii="Times New Roman" w:cs="Times New Roman" w:eastAsia="Times New Roman" w:hAnsi="Times New Roman"/>
          <w:sz w:val="18"/>
          <w:szCs w:val="18"/>
          <w:color w:val="231F20"/>
        </w:rPr>
        <w:t>by</w:t>
      </w:r>
      <w:r>
        <w:rPr>
          <w:rFonts w:ascii="Times New Roman" w:cs="Times New Roman" w:eastAsia="Times New Roman" w:hAnsi="Times New Roman"/>
          <w:sz w:val="18"/>
          <w:szCs w:val="18"/>
          <w:color w:val="000000"/>
        </w:rPr>
        <w:t xml:space="preserve"> 6 </w:t>
      </w:r>
      <w:r>
        <w:rPr>
          <w:rFonts w:ascii="Times New Roman" w:cs="Times New Roman" w:eastAsia="Times New Roman" w:hAnsi="Times New Roman"/>
          <w:sz w:val="18"/>
          <w:szCs w:val="18"/>
          <w:color w:val="231F20"/>
        </w:rPr>
        <w:t>during the quarter to 318.</w:t>
      </w:r>
    </w:p>
    <w:p>
      <w:pPr>
        <w:spacing w:after="0" w:line="53"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GAAP gross profit was $1,212 million, which equates to a GAAP gross margin of 97.6%. Non-GAAP gross profit was $1,221 million, which equates to a non-GAAP gross margin of 98.3%.</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expenses were $1,027 million. </w:t>
      </w:r>
      <w:r>
        <w:rPr>
          <w:rFonts w:ascii="Times New Roman" w:cs="Times New Roman" w:eastAsia="Times New Roman" w:hAnsi="Times New Roman"/>
          <w:sz w:val="18"/>
          <w:szCs w:val="18"/>
          <w:color w:val="000000"/>
        </w:rPr>
        <w:t>Non-GAAP operating expenses were</w:t>
      </w:r>
      <w:r>
        <w:rPr>
          <w:rFonts w:ascii="Times New Roman" w:cs="Times New Roman" w:eastAsia="Times New Roman" w:hAnsi="Times New Roman"/>
          <w:sz w:val="18"/>
          <w:szCs w:val="18"/>
          <w:color w:val="231F20"/>
        </w:rPr>
        <w:t xml:space="preserve"> $716 million and </w:t>
      </w:r>
      <w:r>
        <w:rPr>
          <w:rFonts w:ascii="Times New Roman" w:cs="Times New Roman" w:eastAsia="Times New Roman" w:hAnsi="Times New Roman"/>
          <w:sz w:val="18"/>
          <w:szCs w:val="18"/>
          <w:color w:val="000000"/>
        </w:rPr>
        <w:t>increased 37%</w:t>
      </w:r>
      <w:r>
        <w:rPr>
          <w:rFonts w:ascii="Times New Roman" w:cs="Times New Roman" w:eastAsia="Times New Roman" w:hAnsi="Times New Roman"/>
          <w:sz w:val="18"/>
          <w:szCs w:val="18"/>
          <w:color w:val="231F20"/>
        </w:rPr>
        <w:t xml:space="preserve"> year-over-year.</w:t>
      </w:r>
    </w:p>
    <w:p>
      <w:pPr>
        <w:spacing w:after="0" w:line="117"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research and development was </w:t>
      </w:r>
      <w:r>
        <w:rPr>
          <w:rFonts w:ascii="Times New Roman" w:cs="Times New Roman" w:eastAsia="Times New Roman" w:hAnsi="Times New Roman"/>
          <w:sz w:val="18"/>
          <w:szCs w:val="18"/>
          <w:color w:val="000000"/>
        </w:rPr>
        <w:t>$737 million. Non-GAAP</w:t>
      </w:r>
      <w:r>
        <w:rPr>
          <w:rFonts w:ascii="Times New Roman" w:cs="Times New Roman" w:eastAsia="Times New Roman" w:hAnsi="Times New Roman"/>
          <w:sz w:val="18"/>
          <w:szCs w:val="18"/>
          <w:color w:val="231F20"/>
        </w:rPr>
        <w:t xml:space="preserve"> research and development </w:t>
      </w:r>
      <w:r>
        <w:rPr>
          <w:rFonts w:ascii="Times New Roman" w:cs="Times New Roman" w:eastAsia="Times New Roman" w:hAnsi="Times New Roman"/>
          <w:sz w:val="18"/>
          <w:szCs w:val="18"/>
          <w:color w:val="000000"/>
        </w:rPr>
        <w:t>was $512 million and increased 46% year-over-year driven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by investment in engineering headcount.</w:t>
      </w:r>
    </w:p>
    <w:p>
      <w:pPr>
        <w:spacing w:after="0" w:line="53"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selling, general and administrative was $284 million</w:t>
      </w:r>
      <w:r>
        <w:rPr>
          <w:rFonts w:ascii="Times New Roman" w:cs="Times New Roman" w:eastAsia="Times New Roman" w:hAnsi="Times New Roman"/>
          <w:sz w:val="18"/>
          <w:szCs w:val="18"/>
          <w:color w:val="231F20"/>
        </w:rPr>
        <w:t>. Non-</w:t>
      </w:r>
      <w:r>
        <w:rPr>
          <w:rFonts w:ascii="Times New Roman" w:cs="Times New Roman" w:eastAsia="Times New Roman" w:hAnsi="Times New Roman"/>
          <w:sz w:val="18"/>
          <w:szCs w:val="18"/>
          <w:color w:val="auto"/>
        </w:rPr>
        <w:t xml:space="preserve">GAAP selling, general and administrative was $204 million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increased 19% </w:t>
      </w:r>
      <w:r>
        <w:rPr>
          <w:rFonts w:ascii="Times New Roman" w:cs="Times New Roman" w:eastAsia="Times New Roman" w:hAnsi="Times New Roman"/>
          <w:sz w:val="18"/>
          <w:szCs w:val="18"/>
          <w:color w:val="231F20"/>
        </w:rPr>
        <w:t>year-over-year.</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income was $185 million. </w:t>
      </w:r>
      <w:r>
        <w:rPr>
          <w:rFonts w:ascii="Times New Roman" w:cs="Times New Roman" w:eastAsia="Times New Roman" w:hAnsi="Times New Roman"/>
          <w:sz w:val="18"/>
          <w:szCs w:val="18"/>
          <w:color w:val="000000"/>
        </w:rPr>
        <w:t>Non-GAAP operating income was</w:t>
      </w:r>
      <w:r>
        <w:rPr>
          <w:rFonts w:ascii="Times New Roman" w:cs="Times New Roman" w:eastAsia="Times New Roman" w:hAnsi="Times New Roman"/>
          <w:sz w:val="18"/>
          <w:szCs w:val="18"/>
          <w:color w:val="231F20"/>
        </w:rPr>
        <w:t xml:space="preserve"> $505 million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operating margin decreased to </w:t>
      </w:r>
      <w:r>
        <w:rPr>
          <w:rFonts w:ascii="Times New Roman" w:cs="Times New Roman" w:eastAsia="Times New Roman" w:hAnsi="Times New Roman"/>
          <w:sz w:val="18"/>
          <w:szCs w:val="18"/>
          <w:color w:val="231F20"/>
        </w:rPr>
        <w:t>14.9%</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color w:val="231F20"/>
        </w:rPr>
        <w:t>17.8%</w:t>
      </w:r>
      <w:r>
        <w:rPr>
          <w:rFonts w:ascii="Times New Roman" w:cs="Times New Roman" w:eastAsia="Times New Roman" w:hAnsi="Times New Roman"/>
          <w:sz w:val="18"/>
          <w:szCs w:val="18"/>
          <w:color w:val="auto"/>
        </w:rPr>
        <w:t xml:space="preserve"> in the prior year period. Non-GAAP operating margin decreased to 40.7% from 45.0% in the prior year period.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GAAP effective tax rate was 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The non-GAAP effective tax rate was 14.9%.</w:t>
      </w:r>
    </w:p>
    <w:p>
      <w:pPr>
        <w:spacing w:after="0" w:line="117"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net income was $223 million and </w:t>
      </w:r>
      <w:r>
        <w:rPr>
          <w:rFonts w:ascii="Times New Roman" w:cs="Times New Roman" w:eastAsia="Times New Roman" w:hAnsi="Times New Roman"/>
          <w:sz w:val="18"/>
          <w:szCs w:val="18"/>
          <w:color w:val="000000"/>
        </w:rPr>
        <w:t>GAAP</w:t>
      </w:r>
      <w:r>
        <w:rPr>
          <w:rFonts w:ascii="Times New Roman" w:cs="Times New Roman" w:eastAsia="Times New Roman" w:hAnsi="Times New Roman"/>
          <w:sz w:val="18"/>
          <w:szCs w:val="18"/>
          <w:color w:val="231F20"/>
        </w:rPr>
        <w:t xml:space="preserve"> fully diluted earnings per share ("EPS") was $0.21 compared with $0.24 in the same period a year ago. Non-GAAP net income was $457 million and non-GAAP fully diluted EPS was </w:t>
      </w:r>
      <w:r>
        <w:rPr>
          <w:rFonts w:ascii="Times New Roman" w:cs="Times New Roman" w:eastAsia="Times New Roman" w:hAnsi="Times New Roman"/>
          <w:sz w:val="18"/>
          <w:szCs w:val="18"/>
          <w:color w:val="000000"/>
        </w:rPr>
        <w:t>$0.43</w:t>
      </w:r>
      <w:r>
        <w:rPr>
          <w:rFonts w:ascii="Times New Roman" w:cs="Times New Roman" w:eastAsia="Times New Roman" w:hAnsi="Times New Roman"/>
          <w:sz w:val="18"/>
          <w:szCs w:val="18"/>
          <w:color w:val="231F20"/>
        </w:rPr>
        <w:t xml:space="preserve"> compared with </w:t>
      </w:r>
      <w:r>
        <w:rPr>
          <w:rFonts w:ascii="Times New Roman" w:cs="Times New Roman" w:eastAsia="Times New Roman" w:hAnsi="Times New Roman"/>
          <w:sz w:val="18"/>
          <w:szCs w:val="18"/>
          <w:color w:val="000000"/>
        </w:rPr>
        <w:t>$0.39</w:t>
      </w:r>
      <w:r>
        <w:rPr>
          <w:rFonts w:ascii="Times New Roman" w:cs="Times New Roman" w:eastAsia="Times New Roman" w:hAnsi="Times New Roman"/>
          <w:sz w:val="18"/>
          <w:szCs w:val="18"/>
          <w:color w:val="231F20"/>
        </w:rPr>
        <w:t xml:space="preserve"> in the same period a year ago.</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Operating cash flow was </w:t>
      </w:r>
      <w:r>
        <w:rPr>
          <w:rFonts w:ascii="Times New Roman" w:cs="Times New Roman" w:eastAsia="Times New Roman" w:hAnsi="Times New Roman"/>
          <w:sz w:val="18"/>
          <w:szCs w:val="18"/>
          <w:color w:val="231F20"/>
        </w:rPr>
        <w:t>$365 million and non-GAAP f</w:t>
      </w:r>
      <w:r>
        <w:rPr>
          <w:rFonts w:ascii="Times New Roman" w:cs="Times New Roman" w:eastAsia="Times New Roman" w:hAnsi="Times New Roman"/>
          <w:sz w:val="18"/>
          <w:szCs w:val="18"/>
          <w:color w:val="auto"/>
        </w:rPr>
        <w:t xml:space="preserve">ree cash flow (FCF) was </w:t>
      </w:r>
      <w:r>
        <w:rPr>
          <w:rFonts w:ascii="Times New Roman" w:cs="Times New Roman" w:eastAsia="Times New Roman" w:hAnsi="Times New Roman"/>
          <w:sz w:val="18"/>
          <w:szCs w:val="18"/>
          <w:color w:val="231F20"/>
        </w:rPr>
        <w:t>$169 million.</w:t>
      </w:r>
    </w:p>
    <w:p>
      <w:pPr>
        <w:spacing w:after="0" w:line="117"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Cash and cash equivalents and short-term investments totaled </w:t>
      </w:r>
      <w:r>
        <w:rPr>
          <w:rFonts w:ascii="Times New Roman" w:cs="Times New Roman" w:eastAsia="Times New Roman" w:hAnsi="Times New Roman"/>
          <w:sz w:val="18"/>
          <w:szCs w:val="18"/>
          <w:color w:val="000000"/>
        </w:rPr>
        <w:t>$3,542 million</w:t>
      </w:r>
      <w:r>
        <w:rPr>
          <w:rFonts w:ascii="Times New Roman" w:cs="Times New Roman" w:eastAsia="Times New Roman" w:hAnsi="Times New Roman"/>
          <w:sz w:val="18"/>
          <w:szCs w:val="18"/>
          <w:color w:val="231F20"/>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57FF"/>
        </w:rPr>
        <w:t>Guidance and Results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20" w:type="dxa"/>
            <w:vAlign w:val="bottom"/>
            <w:tcBorders>
              <w:top w:val="single" w:sz="8" w:color="auto"/>
              <w:left w:val="single" w:sz="8" w:color="auto"/>
              <w:right w:val="single" w:sz="8" w:color="auto"/>
            </w:tcBorders>
            <w:vMerge w:val="restart"/>
            <w:shd w:val="clear" w:color="auto" w:fill="0057FF"/>
          </w:tcPr>
          <w:p>
            <w:pPr>
              <w:ind w:left="80"/>
              <w:spacing w:after="0"/>
              <w:rPr>
                <w:sz w:val="20"/>
                <w:szCs w:val="20"/>
                <w:color w:val="auto"/>
              </w:rPr>
            </w:pPr>
            <w:r>
              <w:rPr>
                <w:rFonts w:ascii="Times New Roman" w:cs="Times New Roman" w:eastAsia="Times New Roman" w:hAnsi="Times New Roman"/>
                <w:sz w:val="18"/>
                <w:szCs w:val="18"/>
                <w:b w:val="1"/>
                <w:bCs w:val="1"/>
                <w:color w:val="FFFFFF"/>
              </w:rPr>
              <w:t>Quarterly Guidance &amp; Results</w:t>
            </w:r>
          </w:p>
        </w:tc>
        <w:tc>
          <w:tcPr>
            <w:tcW w:w="2220" w:type="dxa"/>
            <w:vAlign w:val="bottom"/>
            <w:tcBorders>
              <w:top w:val="single" w:sz="8" w:color="auto"/>
              <w:right w:val="single" w:sz="8" w:color="auto"/>
            </w:tcBorders>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rPr>
              <w:t>Q3 FYE26</w:t>
            </w:r>
          </w:p>
        </w:tc>
        <w:tc>
          <w:tcPr>
            <w:tcW w:w="2200" w:type="dxa"/>
            <w:vAlign w:val="bottom"/>
            <w:tcBorders>
              <w:top w:val="single" w:sz="8" w:color="auto"/>
              <w:right w:val="single" w:sz="8" w:color="auto"/>
            </w:tcBorders>
            <w:shd w:val="clear" w:color="auto" w:fill="0057FF"/>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Q3 FYE26</w:t>
            </w:r>
          </w:p>
        </w:tc>
        <w:tc>
          <w:tcPr>
            <w:tcW w:w="2220" w:type="dxa"/>
            <w:vAlign w:val="bottom"/>
            <w:tcBorders>
              <w:top w:val="single" w:sz="8" w:color="auto"/>
              <w:right w:val="single" w:sz="8" w:color="auto"/>
            </w:tcBorders>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Q4 FYE26</w:t>
            </w:r>
          </w:p>
        </w:tc>
        <w:tc>
          <w:tcPr>
            <w:tcW w:w="0" w:type="dxa"/>
            <w:vAlign w:val="bottom"/>
          </w:tcPr>
          <w:p>
            <w:pPr>
              <w:spacing w:after="0"/>
              <w:rPr>
                <w:sz w:val="1"/>
                <w:szCs w:val="1"/>
                <w:color w:val="auto"/>
              </w:rPr>
            </w:pPr>
          </w:p>
        </w:tc>
      </w:tr>
      <w:tr>
        <w:trPr>
          <w:trHeight w:val="144"/>
        </w:trPr>
        <w:tc>
          <w:tcPr>
            <w:tcW w:w="4620" w:type="dxa"/>
            <w:vAlign w:val="bottom"/>
            <w:tcBorders>
              <w:left w:val="single" w:sz="8" w:color="auto"/>
              <w:right w:val="single" w:sz="8" w:color="auto"/>
            </w:tcBorders>
            <w:vMerge w:val="continue"/>
            <w:shd w:val="clear" w:color="auto" w:fill="0057FF"/>
          </w:tcPr>
          <w:p>
            <w:pPr>
              <w:spacing w:after="0"/>
              <w:rPr>
                <w:sz w:val="12"/>
                <w:szCs w:val="12"/>
                <w:color w:val="auto"/>
              </w:rPr>
            </w:pPr>
          </w:p>
        </w:tc>
        <w:tc>
          <w:tcPr>
            <w:tcW w:w="2220" w:type="dxa"/>
            <w:vAlign w:val="bottom"/>
            <w:tcBorders>
              <w:right w:val="single" w:sz="8" w:color="auto"/>
            </w:tcBorders>
            <w:vMerge w:val="restart"/>
            <w:shd w:val="clear" w:color="auto" w:fill="0057FF"/>
          </w:tcPr>
          <w:p>
            <w:pPr>
              <w:ind w:left="72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2200" w:type="dxa"/>
            <w:vAlign w:val="bottom"/>
            <w:tcBorders>
              <w:right w:val="single" w:sz="8" w:color="auto"/>
            </w:tcBorders>
            <w:vMerge w:val="restart"/>
            <w:shd w:val="clear" w:color="auto" w:fill="0057FF"/>
          </w:tcPr>
          <w:p>
            <w:pPr>
              <w:ind w:left="860"/>
              <w:spacing w:after="0"/>
              <w:rPr>
                <w:sz w:val="20"/>
                <w:szCs w:val="20"/>
                <w:color w:val="auto"/>
              </w:rPr>
            </w:pPr>
            <w:r>
              <w:rPr>
                <w:rFonts w:ascii="Times New Roman" w:cs="Times New Roman" w:eastAsia="Times New Roman" w:hAnsi="Times New Roman"/>
                <w:sz w:val="18"/>
                <w:szCs w:val="18"/>
                <w:b w:val="1"/>
                <w:bCs w:val="1"/>
                <w:color w:val="FFFFFF"/>
              </w:rPr>
              <w:t>Results</w:t>
            </w:r>
          </w:p>
        </w:tc>
        <w:tc>
          <w:tcPr>
            <w:tcW w:w="2220" w:type="dxa"/>
            <w:vAlign w:val="bottom"/>
            <w:tcBorders>
              <w:right w:val="single" w:sz="8" w:color="auto"/>
            </w:tcBorders>
            <w:vMerge w:val="restart"/>
            <w:shd w:val="clear" w:color="auto" w:fill="0057FF"/>
          </w:tcPr>
          <w:p>
            <w:pPr>
              <w:ind w:left="74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0" w:type="dxa"/>
            <w:vAlign w:val="bottom"/>
          </w:tcPr>
          <w:p>
            <w:pPr>
              <w:spacing w:after="0"/>
              <w:rPr>
                <w:sz w:val="1"/>
                <w:szCs w:val="1"/>
                <w:color w:val="auto"/>
              </w:rPr>
            </w:pPr>
          </w:p>
        </w:tc>
      </w:tr>
      <w:tr>
        <w:trPr>
          <w:trHeight w:val="122"/>
        </w:trPr>
        <w:tc>
          <w:tcPr>
            <w:tcW w:w="4620" w:type="dxa"/>
            <w:vAlign w:val="bottom"/>
            <w:tcBorders>
              <w:left w:val="single" w:sz="8" w:color="auto"/>
              <w:bottom w:val="single" w:sz="8" w:color="0057FF"/>
              <w:right w:val="single" w:sz="8" w:color="auto"/>
            </w:tcBorders>
            <w:shd w:val="clear" w:color="auto" w:fill="0057FF"/>
          </w:tcPr>
          <w:p>
            <w:pPr>
              <w:spacing w:after="0"/>
              <w:rPr>
                <w:sz w:val="10"/>
                <w:szCs w:val="10"/>
                <w:color w:val="auto"/>
              </w:rPr>
            </w:pPr>
          </w:p>
        </w:tc>
        <w:tc>
          <w:tcPr>
            <w:tcW w:w="222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220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222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$1.225bn +/- $50m</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$1.242bn</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$1.470bn +/- $50m</w:t>
            </w:r>
          </w:p>
        </w:tc>
        <w:tc>
          <w:tcPr>
            <w:tcW w:w="0" w:type="dxa"/>
            <w:vAlign w:val="bottom"/>
          </w:tcPr>
          <w:p>
            <w:pPr>
              <w:spacing w:after="0"/>
              <w:rPr>
                <w:sz w:val="1"/>
                <w:szCs w:val="1"/>
                <w:color w:val="auto"/>
              </w:rPr>
            </w:pPr>
          </w:p>
        </w:tc>
      </w:tr>
      <w:tr>
        <w:trPr>
          <w:trHeight w:val="22"/>
        </w:trPr>
        <w:tc>
          <w:tcPr>
            <w:tcW w:w="4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2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~$720m</w:t>
            </w:r>
          </w:p>
        </w:tc>
        <w:tc>
          <w:tcPr>
            <w:tcW w:w="22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$716m</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~$745m</w:t>
            </w:r>
          </w:p>
        </w:tc>
        <w:tc>
          <w:tcPr>
            <w:tcW w:w="0" w:type="dxa"/>
            <w:vAlign w:val="bottom"/>
          </w:tcPr>
          <w:p>
            <w:pPr>
              <w:spacing w:after="0"/>
              <w:rPr>
                <w:sz w:val="1"/>
                <w:szCs w:val="1"/>
                <w:color w:val="auto"/>
              </w:rPr>
            </w:pPr>
          </w:p>
        </w:tc>
      </w:tr>
      <w:tr>
        <w:trPr>
          <w:trHeight w:val="290"/>
        </w:trPr>
        <w:tc>
          <w:tcPr>
            <w:tcW w:w="4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$0.41 +/- $0.04</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$0.43</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$0.58 +/- $0.04</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right="20" w:hanging="252"/>
        <w:spacing w:after="0" w:line="261" w:lineRule="auto"/>
        <w:tabs>
          <w:tab w:leader="none" w:pos="22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w:t>
      </w:r>
    </w:p>
    <w:p>
      <w:pPr>
        <w:ind w:left="260"/>
        <w:spacing w:after="0"/>
        <w:rPr>
          <w:sz w:val="20"/>
          <w:szCs w:val="20"/>
          <w:color w:val="auto"/>
        </w:rPr>
      </w:pPr>
      <w:r>
        <w:rPr>
          <w:rFonts w:ascii="Times New Roman" w:cs="Times New Roman" w:eastAsia="Times New Roman" w:hAnsi="Times New Roman"/>
          <w:sz w:val="14"/>
          <w:szCs w:val="14"/>
          <w:color w:val="auto"/>
        </w:rPr>
        <w:t>because Arm is unable to provide such reconciliation without unreasonable effort. The inability to provide each reconciliation is due to the unpredictability of the amounts and timing of</w:t>
      </w:r>
    </w:p>
    <w:p>
      <w:pPr>
        <w:spacing w:after="0" w:line="15"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events affecting the items we exclude from the non-GAAP measure.</w:t>
            </w:r>
          </w:p>
        </w:tc>
        <w:tc>
          <w:tcPr>
            <w:tcW w:w="1080" w:type="dxa"/>
            <w:vAlign w:val="bottom"/>
            <w:vMerge w:val="restart"/>
          </w:tcPr>
          <w:p>
            <w:pPr>
              <w:ind w:left="620"/>
              <w:spacing w:after="0"/>
              <w:rPr>
                <w:sz w:val="20"/>
                <w:szCs w:val="20"/>
                <w:color w:val="auto"/>
              </w:rPr>
            </w:pPr>
            <w:r>
              <w:rPr>
                <w:rFonts w:ascii="Arial" w:cs="Arial" w:eastAsia="Arial" w:hAnsi="Arial"/>
                <w:sz w:val="14"/>
                <w:szCs w:val="14"/>
                <w:color w:val="auto"/>
                <w:w w:val="99"/>
              </w:rPr>
              <w:t>Page 6</w:t>
            </w:r>
          </w:p>
        </w:tc>
        <w:tc>
          <w:tcPr>
            <w:tcW w:w="0" w:type="dxa"/>
            <w:vAlign w:val="bottom"/>
          </w:tcPr>
          <w:p>
            <w:pPr>
              <w:spacing w:after="0"/>
              <w:rPr>
                <w:sz w:val="1"/>
                <w:szCs w:val="1"/>
                <w:color w:val="auto"/>
              </w:rPr>
            </w:pPr>
          </w:p>
        </w:tc>
      </w:tr>
      <w:tr>
        <w:trPr>
          <w:trHeight w:val="84"/>
        </w:trPr>
        <w:tc>
          <w:tcPr>
            <w:tcW w:w="45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57FF"/>
        </w:rPr>
        <w:t>Key Financial and Operating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9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following table sets forth a summary of the key financial and operating metrics for the three months ended December 31, 2025 (for year-to-date key financial metrics, see the "Condensed Consolidated Income Statements" and "GAAP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Reconciliation" sections below):</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980" w:type="dxa"/>
            <w:vAlign w:val="bottom"/>
            <w:tcBorders>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40" w:type="dxa"/>
            <w:vAlign w:val="bottom"/>
            <w:tcBorders>
              <w:top w:val="single" w:sz="8" w:color="auto"/>
              <w:bottom w:val="single" w:sz="8" w:color="auto"/>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Non-GAAP </w:t>
            </w:r>
            <w:r>
              <w:rPr>
                <w:rFonts w:ascii="Times New Roman" w:cs="Times New Roman" w:eastAsia="Times New Roman" w:hAnsi="Times New Roman"/>
                <w:sz w:val="23"/>
                <w:szCs w:val="23"/>
                <w:b w:val="1"/>
                <w:bCs w:val="1"/>
                <w:color w:val="auto"/>
                <w:vertAlign w:val="superscript"/>
              </w:rPr>
              <w:t>(1)</w:t>
            </w:r>
          </w:p>
        </w:tc>
        <w:tc>
          <w:tcPr>
            <w:tcW w:w="9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where indicated)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FYE25</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18"/>
        </w:trPr>
        <w:tc>
          <w:tcPr>
            <w:tcW w:w="4980" w:type="dxa"/>
            <w:vAlign w:val="bottom"/>
            <w:tcBorders>
              <w:left w:val="single" w:sz="8" w:color="auto"/>
              <w:right w:val="single" w:sz="8" w:color="auto"/>
            </w:tcBorders>
          </w:tcPr>
          <w:p>
            <w:pPr>
              <w:ind w:left="4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23"/>
                <w:szCs w:val="23"/>
                <w:b w:val="1"/>
                <w:bCs w:val="1"/>
                <w:color w:val="auto"/>
                <w:vertAlign w:val="superscript"/>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$1,242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$1,242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$983</w:t>
            </w:r>
          </w:p>
        </w:tc>
        <w:tc>
          <w:tcPr>
            <w:tcW w:w="140" w:type="dxa"/>
            <w:vAlign w:val="bottom"/>
          </w:tcPr>
          <w:p>
            <w:pPr>
              <w:spacing w:after="0"/>
              <w:rPr>
                <w:sz w:val="18"/>
                <w:szCs w:val="18"/>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0" w:type="dxa"/>
            <w:vAlign w:val="bottom"/>
          </w:tcPr>
          <w:p>
            <w:pPr>
              <w:spacing w:after="0"/>
              <w:rPr>
                <w:sz w:val="1"/>
                <w:szCs w:val="1"/>
                <w:color w:val="auto"/>
              </w:rPr>
            </w:pPr>
          </w:p>
        </w:tc>
      </w:tr>
      <w:tr>
        <w:trPr>
          <w:trHeight w:val="229"/>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403</w:t>
            </w:r>
          </w:p>
        </w:tc>
        <w:tc>
          <w:tcPr>
            <w:tcW w:w="140" w:type="dxa"/>
            <w:vAlign w:val="bottom"/>
          </w:tcPr>
          <w:p>
            <w:pPr>
              <w:spacing w:after="0"/>
              <w:rPr>
                <w:sz w:val="19"/>
                <w:szCs w:val="19"/>
                <w:color w:val="auto"/>
              </w:rPr>
            </w:pPr>
          </w:p>
        </w:tc>
        <w:tc>
          <w:tcPr>
            <w:tcW w:w="9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580</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1,212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955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1,221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964</w:t>
            </w:r>
          </w:p>
        </w:tc>
        <w:tc>
          <w:tcPr>
            <w:tcW w:w="140" w:type="dxa"/>
            <w:vAlign w:val="bottom"/>
          </w:tcPr>
          <w:p>
            <w:pPr>
              <w:spacing w:after="0"/>
              <w:rPr>
                <w:sz w:val="18"/>
                <w:szCs w:val="18"/>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97.2%</w:t>
            </w:r>
          </w:p>
        </w:tc>
        <w:tc>
          <w:tcPr>
            <w:tcW w:w="10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98.3%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98.1%</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$(522)</w:t>
            </w:r>
          </w:p>
        </w:tc>
        <w:tc>
          <w:tcPr>
            <w:tcW w:w="140" w:type="dxa"/>
            <w:vAlign w:val="bottom"/>
          </w:tcPr>
          <w:p>
            <w:pPr>
              <w:spacing w:after="0"/>
              <w:rPr>
                <w:sz w:val="18"/>
                <w:szCs w:val="18"/>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37%</w:t>
            </w:r>
          </w:p>
        </w:tc>
        <w:tc>
          <w:tcPr>
            <w:tcW w:w="0" w:type="dxa"/>
            <w:vAlign w:val="bottom"/>
          </w:tcPr>
          <w:p>
            <w:pPr>
              <w:spacing w:after="0"/>
              <w:rPr>
                <w:sz w:val="1"/>
                <w:szCs w:val="1"/>
                <w:color w:val="auto"/>
              </w:rPr>
            </w:pPr>
          </w:p>
        </w:tc>
      </w:tr>
      <w:tr>
        <w:trPr>
          <w:trHeight w:val="229"/>
        </w:trPr>
        <w:tc>
          <w:tcPr>
            <w:tcW w:w="49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(737)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(533)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(512)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(350)</w:t>
            </w:r>
          </w:p>
        </w:tc>
        <w:tc>
          <w:tcPr>
            <w:tcW w:w="140" w:type="dxa"/>
            <w:vAlign w:val="bottom"/>
          </w:tcPr>
          <w:p>
            <w:pPr>
              <w:spacing w:after="0"/>
              <w:rPr>
                <w:sz w:val="19"/>
                <w:szCs w:val="19"/>
                <w:color w:val="auto"/>
              </w:rPr>
            </w:pPr>
          </w:p>
        </w:tc>
        <w:tc>
          <w:tcPr>
            <w:tcW w:w="9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6"/>
        </w:trPr>
        <w:tc>
          <w:tcPr>
            <w:tcW w:w="49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(284)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(172)</w:t>
            </w:r>
          </w:p>
        </w:tc>
        <w:tc>
          <w:tcPr>
            <w:tcW w:w="140" w:type="dxa"/>
            <w:vAlign w:val="bottom"/>
          </w:tcPr>
          <w:p>
            <w:pPr>
              <w:spacing w:after="0"/>
              <w:rPr>
                <w:sz w:val="19"/>
                <w:szCs w:val="19"/>
                <w:color w:val="auto"/>
              </w:rPr>
            </w:pPr>
          </w:p>
        </w:tc>
        <w:tc>
          <w:tcPr>
            <w:tcW w:w="9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8"/>
        </w:trPr>
        <w:tc>
          <w:tcPr>
            <w:tcW w:w="4980" w:type="dxa"/>
            <w:vAlign w:val="bottom"/>
            <w:tcBorders>
              <w:left w:val="single" w:sz="8" w:color="auto"/>
              <w:bottom w:val="single" w:sz="8" w:color="auto"/>
              <w:right w:val="single" w:sz="8" w:color="auto"/>
            </w:tcBorders>
          </w:tcPr>
          <w:p>
            <w:pPr>
              <w:ind w:left="260"/>
              <w:spacing w:after="0" w:line="237" w:lineRule="exact"/>
              <w:rPr>
                <w:sz w:val="20"/>
                <w:szCs w:val="20"/>
                <w:color w:val="auto"/>
              </w:rPr>
            </w:pPr>
            <w:r>
              <w:rPr>
                <w:rFonts w:ascii="Times New Roman" w:cs="Times New Roman" w:eastAsia="Times New Roman" w:hAnsi="Times New Roman"/>
                <w:sz w:val="18"/>
                <w:szCs w:val="18"/>
                <w:color w:val="auto"/>
              </w:rPr>
              <w:t xml:space="preserve">Disposal, restructuring and other operating expenses, net </w:t>
            </w:r>
            <w:r>
              <w:rPr>
                <w:rFonts w:ascii="Times New Roman" w:cs="Times New Roman" w:eastAsia="Times New Roman" w:hAnsi="Times New Roman"/>
                <w:sz w:val="23"/>
                <w:szCs w:val="23"/>
                <w:color w:val="auto"/>
                <w:vertAlign w:val="superscript"/>
              </w:rPr>
              <w:t>(4)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185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505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442</w:t>
            </w:r>
          </w:p>
        </w:tc>
        <w:tc>
          <w:tcPr>
            <w:tcW w:w="140" w:type="dxa"/>
            <w:vAlign w:val="bottom"/>
          </w:tcPr>
          <w:p>
            <w:pPr>
              <w:spacing w:after="0"/>
              <w:rPr>
                <w:sz w:val="18"/>
                <w:szCs w:val="18"/>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14.9%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17.8%</w:t>
            </w:r>
          </w:p>
        </w:tc>
        <w:tc>
          <w:tcPr>
            <w:tcW w:w="10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40.7%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45.0%</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252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457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417</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per share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$0.43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$0.39</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365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349</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 trailing twelve months (TTM)</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893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573</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metrics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FYE25</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Annualized contract value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$1,270</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Remaining performance obligations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$2,325</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Total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Flexible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295</w:t>
            </w:r>
          </w:p>
        </w:tc>
        <w:tc>
          <w:tcPr>
            <w:tcW w:w="1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260" w:hanging="242"/>
        <w:spacing w:after="0" w:line="272" w:lineRule="auto"/>
        <w:tabs>
          <w:tab w:leader="none" w:pos="240" w:val="left"/>
        </w:tabs>
        <w:rPr>
          <w:sz w:val="20"/>
          <w:szCs w:val="20"/>
          <w:color w:val="auto"/>
        </w:rPr>
      </w:pPr>
      <w:r>
        <w:rPr>
          <w:rFonts w:ascii="Times New Roman" w:cs="Times New Roman" w:eastAsia="Times New Roman" w:hAnsi="Times New Roman"/>
          <w:sz w:val="14"/>
          <w:szCs w:val="14"/>
          <w:color w:val="auto"/>
        </w:rPr>
        <w:t>(1)</w:t>
        <w:tab/>
        <w:t>Non-GAAP cost of sales, Non-GAAP gross profit, Non-GAAP gross margin, Non-GAAP operating expenses, Non-GAAP operating income (loss) Non-GAAP operating margin, Non-GAAP net income (loss), Non-GAAP diluted earnings (loss) per share,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Total revenue, license and other revenue, and royalty revenue are presented in accordance with GAAP only.</w:t>
      </w:r>
    </w:p>
    <w:p>
      <w:pPr>
        <w:spacing w:after="0" w:line="4" w:lineRule="exact"/>
        <w:rPr>
          <w:sz w:val="20"/>
          <w:szCs w:val="20"/>
          <w:color w:val="auto"/>
        </w:rPr>
      </w:pPr>
    </w:p>
    <w:p>
      <w:pPr>
        <w:jc w:val="both"/>
        <w:ind w:left="260" w:hanging="242"/>
        <w:spacing w:after="0" w:line="241" w:lineRule="auto"/>
        <w:tabs>
          <w:tab w:leader="none" w:pos="240" w:val="left"/>
        </w:tabs>
        <w:rPr>
          <w:sz w:val="20"/>
          <w:szCs w:val="20"/>
          <w:color w:val="auto"/>
        </w:rPr>
      </w:pPr>
      <w:r>
        <w:rPr>
          <w:rFonts w:ascii="Times New Roman" w:cs="Times New Roman" w:eastAsia="Times New Roman" w:hAnsi="Times New Roman"/>
          <w:sz w:val="14"/>
          <w:szCs w:val="14"/>
          <w:color w:val="auto"/>
        </w:rPr>
        <w:t>(3)</w:t>
        <w:tab/>
        <w:t>Operating metrics are as of the last day of the applicable period. We continually review our key operating metrics to ensure that they provide useful information to investors in understanding and evaluating our results of operations. The quarterly number of employees and engineers as a key operating metric has become less relevant to our growth. We will continue to disclose our</w:t>
      </w:r>
    </w:p>
    <w:p>
      <w:pPr>
        <w:spacing w:after="0" w:line="1" w:lineRule="exact"/>
        <w:rPr>
          <w:sz w:val="20"/>
          <w:szCs w:val="20"/>
          <w:color w:val="auto"/>
        </w:rPr>
      </w:pPr>
    </w:p>
    <w:p>
      <w:pPr>
        <w:ind w:left="260" w:right="20"/>
        <w:spacing w:after="0" w:line="231" w:lineRule="auto"/>
        <w:rPr>
          <w:sz w:val="20"/>
          <w:szCs w:val="20"/>
          <w:color w:val="auto"/>
        </w:rPr>
      </w:pPr>
      <w:r>
        <w:rPr>
          <w:rFonts w:ascii="Times New Roman" w:cs="Times New Roman" w:eastAsia="Times New Roman" w:hAnsi="Times New Roman"/>
          <w:sz w:val="14"/>
          <w:szCs w:val="14"/>
          <w:color w:val="auto"/>
        </w:rPr>
        <w:t>total number of employees on an annual basis in the shareholder letter for our fourth fiscal quarter, which we believe is sufficient and in line with comparable companies. As such, starting in Q1 FYE26, we are no longer reporting the total number of employees and engineers in our shareholder letter for our first, second and third fiscal quarters.</w:t>
      </w:r>
    </w:p>
    <w:p>
      <w:pPr>
        <w:spacing w:after="0" w:line="1" w:lineRule="exact"/>
        <w:rPr>
          <w:sz w:val="20"/>
          <w:szCs w:val="20"/>
          <w:color w:val="auto"/>
        </w:rPr>
      </w:pPr>
    </w:p>
    <w:p>
      <w:pPr>
        <w:ind w:left="360" w:right="5380" w:hanging="5387"/>
        <w:spacing w:after="0"/>
        <w:tabs>
          <w:tab w:leader="none" w:pos="340" w:val="left"/>
        </w:tabs>
        <w:rPr>
          <w:sz w:val="20"/>
          <w:szCs w:val="20"/>
          <w:color w:val="auto"/>
        </w:rPr>
      </w:pPr>
      <w:r>
        <w:rPr>
          <w:rFonts w:ascii="Times New Roman" w:cs="Times New Roman" w:eastAsia="Times New Roman" w:hAnsi="Times New Roman"/>
          <w:sz w:val="14"/>
          <w:szCs w:val="14"/>
          <w:color w:val="auto"/>
        </w:rPr>
        <w:t>(4)</w:t>
        <w:tab/>
        <w:t xml:space="preserve">Percentage changes +/- 1000% are considered not meaningful and are presented as "nm." </w:t>
      </w:r>
      <w:r>
        <w:rPr>
          <w:rFonts w:ascii="Arial" w:cs="Arial" w:eastAsia="Arial" w:hAnsi="Arial"/>
          <w:sz w:val="14"/>
          <w:szCs w:val="14"/>
          <w:color w:val="auto"/>
        </w:rPr>
        <w:t>Page 7</w:t>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057FF"/>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product offerings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License and other revenue</w:t>
      </w:r>
    </w:p>
    <w:p>
      <w:pPr>
        <w:spacing w:after="0" w:line="227" w:lineRule="exact"/>
        <w:rPr>
          <w:sz w:val="20"/>
          <w:szCs w:val="20"/>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Intellectual property license </w:t>
      </w:r>
      <w:r>
        <w:rPr>
          <w:rFonts w:ascii="Times New Roman" w:cs="Times New Roman" w:eastAsia="Times New Roman" w:hAnsi="Times New Roman"/>
          <w:sz w:val="18"/>
          <w:szCs w:val="18"/>
          <w:color w:val="231F20"/>
        </w:rPr>
        <w:t>— We generally license IP under non-exclusive license agreements that provide usage rights for specific applications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t>
      </w:r>
      <w:r>
        <w:rPr>
          <w:rFonts w:ascii="Times New Roman" w:cs="Times New Roman" w:eastAsia="Times New Roman" w:hAnsi="Times New Roman"/>
          <w:sz w:val="18"/>
          <w:szCs w:val="18"/>
          <w:color w:val="000000"/>
        </w:rPr>
        <w:t>Where arrangements include royalty buydowns or upfront minimum royalty commitments, the Company treats them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 fixed contract consideration. </w:t>
      </w:r>
      <w:r>
        <w:rPr>
          <w:rFonts w:ascii="Times New Roman" w:cs="Times New Roman" w:eastAsia="Times New Roman" w:hAnsi="Times New Roman"/>
          <w:sz w:val="18"/>
          <w:szCs w:val="18"/>
          <w:color w:val="231F20"/>
        </w:rPr>
        <w:t>Revenue allocated to the IP license is recognized at a point in time upon the delivery or beginning of the license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7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Software sales, including development systems </w:t>
      </w:r>
      <w:r>
        <w:rPr>
          <w:rFonts w:ascii="Times New Roman" w:cs="Times New Roman" w:eastAsia="Times New Roman" w:hAnsi="Times New Roman"/>
          <w:sz w:val="18"/>
          <w:szCs w:val="18"/>
          <w:color w:val="231F20"/>
        </w:rPr>
        <w:t>— Sales of software, including development systems, which are not specifically designed for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given license (such as off-the-shelf software), are recognized upon delivery when control has been transferred and the customer can begin to use and benefit from the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Professional services </w:t>
      </w:r>
      <w:r>
        <w:rPr>
          <w:rFonts w:ascii="Times New Roman" w:cs="Times New Roman" w:eastAsia="Times New Roman" w:hAnsi="Times New Roman"/>
          <w:sz w:val="18"/>
          <w:szCs w:val="18"/>
          <w:color w:val="231F20"/>
        </w:rPr>
        <w:t>— Services (such as training, professional and design services) that we provide, which are not essential to the functionality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IP, are separately stated and priced in the contract and accounted for separately. Training revenue is recognized as services are performed. Revenue from professional and design services is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 In certain arrangements, we also provide customers with professional and design services, as a stand-ready obligation, that are recognized on a ratable basis over the term of the contract.</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Support and maintenance </w:t>
      </w:r>
      <w:r>
        <w:rPr>
          <w:rFonts w:ascii="Times New Roman" w:cs="Times New Roman" w:eastAsia="Times New Roman" w:hAnsi="Times New Roman"/>
          <w:sz w:val="18"/>
          <w:szCs w:val="18"/>
          <w:color w:val="231F20"/>
        </w:rPr>
        <w:t>— Support and maintenance is a stand-ready obligation to the customer that is both provided and consumed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simultaneously. Revenue is recognized on a straight-line basis over the period for which support and maintenance is contractually agreed pursuant to the license.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Royalty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40"/>
          </w:cols>
          <w:pgMar w:left="320" w:top="10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0057FF"/>
        </w:rPr>
        <w:t>Royalty technology mix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Royalty mix by architecture such as Armv9 is estimated at the SoC level based on the architecture of the primary CPU or an approximation of the IP mix and is subject to change based on the availability of additional product detail. Referenced figures are based on the most recent royalty report data that relates to the prior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Number of extant Arm Total Access and Arm Flexible Access licenses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we track the number of extant Arm Total Access and Arm Flexible Access licenses with our customers, and those contracted through Arm Technology (China) Co. Limited ("Arm China"). Over the last several years many customers have opted for Arm Total Access and Arm Flexible Access licenses because of the subscription model providing comprehensive access to Arm IP products, tools and models, support and training, software, and physical 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Annualized contract value ("ACV")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Remaining performance obligations ("RPO")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RPO represents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Arm has elected to exclude potential future royalty receipts from the disclosure of RPO. Revenue recognition occurs upon delivery or beginning of license term, whichever is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utilize and present financial measures that are not calculated and presented in accordance with GAAP. Our non-GAAP financial measures include non-GAAP cost of sales, non-GAAP gross profit (loss), non-GAAP gross margin, non-GAAP research and development operating expenses, non-GAAP selling, general and administrative operating expenses, non-GAAP disposal, restructuring and other operating expenses, net, non-GAAP operating expense, non-GAAP operating income (loss), non-GAAP operating margin, non-GAAP effective tax rate benefit (expense), non-GAAP income (loss) from equity investments, net, non-GAAP interest income, net, non-GAAP other non-operating income (loss), net, non-GAAP income (loss) before income taxes, non-GAAP income tax benefit (expense), net, non-GAAP net income (loss), non-GAAP basic and diluted net income per share, or earnings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1035"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financial measures (other than non-GAAP free cash flow and non-GAAP free cash flow TTM) presented herein exclude acquisition-related expenses,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other operating income (expenses), net, restructuring and related costs, gain on disposal of business, costs associated with disposal activities, (income) loss from equity investments, (income) loss from debt investments, and income tax effect on non-GAAP adjustments. Non-GAAP free cash flow and non-GAAP free cash flow TTM exclude purchases of property and equipment, purchases of intangible assets, and payment of intangible asset obligations.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40"/>
          </w:cols>
          <w:pgMar w:left="320" w:top="1039"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related parties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0" w:type="dxa"/>
            <w:vAlign w:val="bottom"/>
          </w:tcPr>
          <w:p>
            <w:pPr>
              <w:spacing w:after="0"/>
              <w:rPr>
                <w:sz w:val="1"/>
                <w:szCs w:val="1"/>
                <w:color w:val="auto"/>
              </w:rPr>
            </w:pPr>
          </w:p>
        </w:tc>
      </w:tr>
      <w:tr>
        <w:trPr>
          <w:trHeight w:val="165"/>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Disposal, restructuring and other operating expenses, net</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9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2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5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47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40" w:top="117"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 of $248 and $279 as of December 31, 2025 and March 31, 2025,</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(including contract assets from related parties of $499 and $152 as of December 31, 2025 and March 31, 2025,</w:t>
            </w:r>
          </w:p>
        </w:tc>
        <w:tc>
          <w:tcPr>
            <w:tcW w:w="20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 (including investments held under fair value option of $157 and $300 as of December 31, 2025 and March 31,</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2025, 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0" w:type="dxa"/>
            <w:vAlign w:val="bottom"/>
          </w:tcPr>
          <w:p>
            <w:pPr>
              <w:spacing w:after="0"/>
              <w:rPr>
                <w:sz w:val="1"/>
                <w:szCs w:val="1"/>
                <w:color w:val="auto"/>
              </w:rPr>
            </w:pPr>
          </w:p>
        </w:tc>
      </w:tr>
      <w:tr>
        <w:trPr>
          <w:trHeight w:val="21"/>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7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Tax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 of $91 and $105 as of December 31, 2025 and March 31, 2025,</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(including payables to related parties of $10 and $11 as of December 31, 2025 and March 31, 2025,</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accrued compensation</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$0.001 par value; 1,097 shares authorized, 1,062 shares issued and outstanding as of December 31, 2025; and</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1,088 shares authorized, 1,057 shares issued and outstanding as of March 31, 2025</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20"/>
          </w:cols>
          <w:pgMar w:left="340" w:top="117"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operating activities: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6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cost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expense</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business divestiture</w:t>
            </w:r>
          </w:p>
        </w:tc>
        <w:tc>
          <w:tcPr>
            <w:tcW w:w="9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assets, net (including contract assets from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liabilities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(including payables to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investing activities</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business divestiture</w:t>
            </w:r>
          </w:p>
        </w:tc>
        <w:tc>
          <w:tcPr>
            <w:tcW w:w="9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settlement of loans, including convertible loans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or liquidation of equity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investing activities, net, including investments in convertible loans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investing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financing activities</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of intangible asset obligations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9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of withholding tax on vested shares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00" w:type="dxa"/>
            <w:vAlign w:val="bottom"/>
          </w:tcPr>
          <w:p>
            <w:pPr>
              <w:spacing w:after="0"/>
              <w:rPr>
                <w:sz w:val="15"/>
                <w:szCs w:val="15"/>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8890</wp:posOffset>
            </wp:positionV>
            <wp:extent cx="3926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-86995</wp:posOffset>
            </wp:positionV>
            <wp:extent cx="3926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GAAP to Non-GAAP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114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taxes</w:t>
            </w:r>
          </w:p>
        </w:tc>
        <w:tc>
          <w:tcPr>
            <w:tcW w:w="1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880" w:type="dxa"/>
            <w:vAlign w:val="bottom"/>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25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Acquisition- compensation SBC, net of</w:t>
            </w:r>
          </w:p>
        </w:tc>
        <w:tc>
          <w:tcPr>
            <w:tcW w:w="1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debt</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700" w:type="dxa"/>
            <w:vAlign w:val="bottom"/>
            <w:vMerge w:val="continue"/>
          </w:tcPr>
          <w:p>
            <w:pPr>
              <w:spacing w:after="0"/>
              <w:rPr>
                <w:sz w:val="12"/>
                <w:szCs w:val="12"/>
                <w:color w:val="auto"/>
              </w:rPr>
            </w:pPr>
          </w:p>
        </w:tc>
        <w:tc>
          <w:tcPr>
            <w:tcW w:w="8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R&amp;D tax</w:t>
            </w:r>
          </w:p>
        </w:tc>
        <w:tc>
          <w:tcPr>
            <w:tcW w:w="3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 and investments, investments, non-GAAP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203"/>
        </w:trPr>
        <w:tc>
          <w:tcPr>
            <w:tcW w:w="3740" w:type="dxa"/>
            <w:vAlign w:val="bottom"/>
            <w:gridSpan w:val="2"/>
            <w:vMerge w:val="continue"/>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incentives</w:t>
            </w:r>
            <w:r>
              <w:rPr>
                <w:rFonts w:ascii="Times New Roman" w:cs="Times New Roman" w:eastAsia="Times New Roman" w:hAnsi="Times New Roman"/>
                <w:sz w:val="18"/>
                <w:szCs w:val="18"/>
                <w:b w:val="1"/>
                <w:bCs w:val="1"/>
                <w:color w:val="auto"/>
                <w:w w:val="95"/>
                <w:vertAlign w:val="superscript"/>
              </w:rPr>
              <w:t>(1)</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$1,242</w:t>
            </w:r>
          </w:p>
        </w:tc>
        <w:tc>
          <w:tcPr>
            <w:tcW w:w="82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5"/>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$1,242</w:t>
            </w:r>
          </w:p>
        </w:tc>
        <w:tc>
          <w:tcPr>
            <w:tcW w:w="0" w:type="dxa"/>
            <w:vAlign w:val="bottom"/>
          </w:tcPr>
          <w:p>
            <w:pPr>
              <w:spacing w:after="0"/>
              <w:rPr>
                <w:sz w:val="1"/>
                <w:szCs w:val="1"/>
                <w:color w:val="auto"/>
              </w:rPr>
            </w:pPr>
          </w:p>
        </w:tc>
      </w:tr>
      <w:tr>
        <w:trPr>
          <w:trHeight w:val="19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40" w:type="dxa"/>
            <w:vAlign w:val="bottom"/>
            <w:gridSpan w:val="2"/>
            <w:vMerge w:val="continue"/>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1,212</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8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97.6%</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(737)</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(512)</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(284)</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(204)</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Disposal, restructuring and other operating expenses,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gridSpan w:val="2"/>
            <w:vMerge w:val="continue"/>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(716)</w:t>
            </w:r>
          </w:p>
        </w:tc>
        <w:tc>
          <w:tcPr>
            <w:tcW w:w="0" w:type="dxa"/>
            <w:vAlign w:val="bottom"/>
          </w:tcPr>
          <w:p>
            <w:pPr>
              <w:spacing w:after="0"/>
              <w:rPr>
                <w:sz w:val="1"/>
                <w:szCs w:val="1"/>
                <w:color w:val="auto"/>
              </w:rPr>
            </w:pPr>
          </w:p>
        </w:tc>
      </w:tr>
      <w:tr>
        <w:trPr>
          <w:trHeight w:val="19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185</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14.9%</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9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23"/>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40" w:type="dxa"/>
            <w:vAlign w:val="bottom"/>
            <w:gridSpan w:val="2"/>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228</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9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$223</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1"/>
        </w:trPr>
        <w:tc>
          <w:tcPr>
            <w:tcW w:w="374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ordinary</w:t>
            </w: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37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$0.21</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$0.21</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1,062</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1,069</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 benefit (expense)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5360"/>
        <w:spacing w:after="0"/>
        <w:rPr>
          <w:rFonts w:ascii="Times New Roman" w:cs="Times New Roman" w:eastAsia="Times New Roman" w:hAnsi="Times New Roman"/>
          <w:sz w:val="14"/>
          <w:szCs w:val="14"/>
          <w:color w:val="auto"/>
        </w:rPr>
      </w:pPr>
      <w:r>
        <w:rPr>
          <w:rFonts w:ascii="Arial" w:cs="Arial" w:eastAsia="Arial" w:hAnsi="Arial"/>
          <w:sz w:val="14"/>
          <w:szCs w:val="14"/>
          <w:color w:val="auto"/>
        </w:rPr>
        <w:t>Page 14</w:t>
      </w:r>
    </w:p>
    <w:p>
      <w:pPr>
        <w:sectPr>
          <w:pgSz w:w="11900" w:h="16838" w:orient="portrait"/>
          <w:cols w:equalWidth="0" w:num="1">
            <w:col w:w="11240"/>
          </w:cols>
          <w:pgMar w:left="320" w:top="1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8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98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SBC, net</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4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780" w:type="dxa"/>
            <w:vAlign w:val="bottom"/>
            <w:vMerge w:val="continue"/>
          </w:tcPr>
          <w:p>
            <w:pPr>
              <w:spacing w:after="0"/>
              <w:rPr>
                <w:sz w:val="12"/>
                <w:szCs w:val="12"/>
                <w:color w:val="auto"/>
              </w:rPr>
            </w:pPr>
          </w:p>
        </w:tc>
        <w:tc>
          <w:tcPr>
            <w:tcW w:w="9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R&amp;D tax</w:t>
            </w:r>
          </w:p>
        </w:tc>
        <w:tc>
          <w:tcPr>
            <w:tcW w:w="1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 investments,</w:t>
            </w:r>
          </w:p>
        </w:tc>
        <w:tc>
          <w:tcPr>
            <w:tcW w:w="17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non-GAAP  Non-GAAP</w:t>
            </w:r>
          </w:p>
        </w:tc>
        <w:tc>
          <w:tcPr>
            <w:tcW w:w="0" w:type="dxa"/>
            <w:vAlign w:val="bottom"/>
          </w:tcPr>
          <w:p>
            <w:pPr>
              <w:spacing w:after="0"/>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9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incentives</w:t>
            </w:r>
            <w:r>
              <w:rPr>
                <w:rFonts w:ascii="Times New Roman" w:cs="Times New Roman" w:eastAsia="Times New Roman" w:hAnsi="Times New Roman"/>
                <w:sz w:val="18"/>
                <w:szCs w:val="18"/>
                <w:b w:val="1"/>
                <w:bCs w:val="1"/>
                <w:color w:val="auto"/>
                <w:w w:val="98"/>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78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$983</w:t>
            </w:r>
          </w:p>
        </w:tc>
        <w:tc>
          <w:tcPr>
            <w:tcW w:w="98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(28)</w:t>
            </w:r>
          </w:p>
        </w:tc>
        <w:tc>
          <w:tcPr>
            <w:tcW w:w="9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955</w:t>
            </w:r>
          </w:p>
        </w:tc>
        <w:tc>
          <w:tcPr>
            <w:tcW w:w="9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8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97.2%</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(533)</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154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(350)</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(247)</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66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(172)</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(780)</w:t>
            </w:r>
          </w:p>
        </w:tc>
        <w:tc>
          <w:tcPr>
            <w:tcW w:w="9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220</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(522)</w:t>
            </w: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175</w:t>
            </w:r>
          </w:p>
        </w:tc>
        <w:tc>
          <w:tcPr>
            <w:tcW w:w="9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227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17.8%</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39</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28</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28</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26</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160" w:type="dxa"/>
            <w:vAlign w:val="bottom"/>
            <w:gridSpan w:val="2"/>
            <w:vMerge w:val="continue"/>
          </w:tcPr>
          <w:p>
            <w:pPr>
              <w:spacing w:after="0"/>
              <w:rPr>
                <w:sz w:val="15"/>
                <w:szCs w:val="15"/>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268</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227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(16)</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(63)</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$252</w:t>
            </w:r>
          </w:p>
        </w:tc>
        <w:tc>
          <w:tcPr>
            <w:tcW w:w="9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$227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$(63)</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1"/>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$0.24</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$0.24</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1,052</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0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1,064</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December 31, 2025</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16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840" w:type="dxa"/>
            <w:vAlign w:val="bottom"/>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35"/>
        </w:trPr>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25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Acquisition- compensation SBC, net of</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1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debt</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R&amp;D tax</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disposal</w:t>
            </w:r>
          </w:p>
        </w:tc>
        <w:tc>
          <w:tcPr>
            <w:tcW w:w="356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 and disposal of investments, investments,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non-GAAP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 amounts)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incentives</w:t>
            </w:r>
            <w:r>
              <w:rPr>
                <w:rFonts w:ascii="Times New Roman" w:cs="Times New Roman" w:eastAsia="Times New Roman" w:hAnsi="Times New Roman"/>
                <w:sz w:val="9"/>
                <w:szCs w:val="9"/>
                <w:b w:val="1"/>
                <w:bCs w:val="1"/>
                <w:color w:val="auto"/>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7"/>
        </w:trPr>
        <w:tc>
          <w:tcPr>
            <w:tcW w:w="1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$3,430</w:t>
            </w:r>
          </w:p>
        </w:tc>
        <w:tc>
          <w:tcPr>
            <w:tcW w:w="82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5"/>
              </w:rPr>
              <w:t>$—</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19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3"/>
        </w:trPr>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40" w:type="dxa"/>
            <w:vAlign w:val="bottom"/>
            <w:gridSpan w:val="2"/>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3,341</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3,367</w:t>
            </w:r>
          </w:p>
        </w:tc>
        <w:tc>
          <w:tcPr>
            <w:tcW w:w="0" w:type="dxa"/>
            <w:vAlign w:val="bottom"/>
          </w:tcPr>
          <w:p>
            <w:pPr>
              <w:spacing w:after="0"/>
              <w:rPr>
                <w:sz w:val="1"/>
                <w:szCs w:val="1"/>
                <w:color w:val="auto"/>
              </w:rPr>
            </w:pPr>
          </w:p>
        </w:tc>
      </w:tr>
      <w:tr>
        <w:trPr>
          <w:trHeight w:val="18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97.4%</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98.2%</w:t>
            </w:r>
          </w:p>
        </w:tc>
        <w:tc>
          <w:tcPr>
            <w:tcW w:w="0" w:type="dxa"/>
            <w:vAlign w:val="bottom"/>
          </w:tcPr>
          <w:p>
            <w:pPr>
              <w:spacing w:after="0"/>
              <w:rPr>
                <w:sz w:val="1"/>
                <w:szCs w:val="1"/>
                <w:color w:val="auto"/>
              </w:rPr>
            </w:pPr>
          </w:p>
        </w:tc>
      </w:tr>
      <w:tr>
        <w:trPr>
          <w:trHeight w:val="19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(2,078)</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188"/>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development</w:t>
            </w:r>
          </w:p>
        </w:tc>
        <w:tc>
          <w:tcPr>
            <w:tcW w:w="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(795)</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194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88"/>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Disposal, restructuring</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and other operating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1"/>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expenses, net</w:t>
            </w:r>
          </w:p>
        </w:tc>
        <w:tc>
          <w:tcPr>
            <w:tcW w:w="6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5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Total operating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(2,879)</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769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117</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199"/>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5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791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121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99"/>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40.3%</w:t>
            </w:r>
          </w:p>
        </w:tc>
        <w:tc>
          <w:tcPr>
            <w:tcW w:w="0" w:type="dxa"/>
            <w:vAlign w:val="bottom"/>
          </w:tcPr>
          <w:p>
            <w:pPr>
              <w:spacing w:after="0"/>
              <w:rPr>
                <w:sz w:val="1"/>
                <w:szCs w:val="1"/>
                <w:color w:val="auto"/>
              </w:rPr>
            </w:pPr>
          </w:p>
        </w:tc>
      </w:tr>
      <w:tr>
        <w:trPr>
          <w:trHeight w:val="154"/>
        </w:trPr>
        <w:tc>
          <w:tcPr>
            <w:tcW w:w="15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Income (loss) from</w:t>
            </w: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4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equity investments,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c>
          <w:tcPr>
            <w:tcW w:w="0" w:type="dxa"/>
            <w:vAlign w:val="bottom"/>
          </w:tcPr>
          <w:p>
            <w:pPr>
              <w:spacing w:after="0"/>
              <w:rPr>
                <w:sz w:val="1"/>
                <w:szCs w:val="1"/>
                <w:color w:val="auto"/>
              </w:rPr>
            </w:pPr>
          </w:p>
        </w:tc>
      </w:tr>
      <w:tr>
        <w:trPr>
          <w:trHeight w:val="16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(loss), net</w:t>
            </w:r>
          </w:p>
        </w:tc>
        <w:tc>
          <w:tcPr>
            <w:tcW w:w="6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5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Income (loss) before</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676</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791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121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1,468</w:t>
            </w:r>
          </w:p>
        </w:tc>
        <w:tc>
          <w:tcPr>
            <w:tcW w:w="0" w:type="dxa"/>
            <w:vAlign w:val="bottom"/>
          </w:tcPr>
          <w:p>
            <w:pPr>
              <w:spacing w:after="0"/>
              <w:rPr>
                <w:sz w:val="1"/>
                <w:szCs w:val="1"/>
                <w:color w:val="auto"/>
              </w:rPr>
            </w:pPr>
          </w:p>
        </w:tc>
      </w:tr>
      <w:tr>
        <w:trPr>
          <w:trHeight w:val="190"/>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(135)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6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$591</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$791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$121</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11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21"/>
        </w:trPr>
        <w:tc>
          <w:tcPr>
            <w:tcW w:w="154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w:t>
            </w: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15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54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share attributable</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4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to ordinary</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$0.56</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$0.55</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6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4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1,060</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20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1,068</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rFonts w:ascii="Times New Roman" w:cs="Times New Roman" w:eastAsia="Times New Roman" w:hAnsi="Times New Roman"/>
          <w:sz w:val="14"/>
          <w:szCs w:val="14"/>
          <w:color w:val="auto"/>
        </w:rPr>
      </w:pPr>
    </w:p>
    <w:p>
      <w:pPr>
        <w:spacing w:after="0" w:line="273" w:lineRule="exact"/>
        <w:rPr>
          <w:rFonts w:ascii="Times New Roman" w:cs="Times New Roman" w:eastAsia="Times New Roman" w:hAnsi="Times New Roman"/>
          <w:sz w:val="14"/>
          <w:szCs w:val="14"/>
          <w:color w:val="auto"/>
        </w:rPr>
      </w:pPr>
    </w:p>
    <w:p>
      <w:pPr>
        <w:ind w:left="5360"/>
        <w:spacing w:after="0"/>
        <w:rPr>
          <w:rFonts w:ascii="Times New Roman" w:cs="Times New Roman" w:eastAsia="Times New Roman" w:hAnsi="Times New Roman"/>
          <w:sz w:val="14"/>
          <w:szCs w:val="14"/>
          <w:color w:val="auto"/>
        </w:rPr>
      </w:pPr>
      <w:r>
        <w:rPr>
          <w:rFonts w:ascii="Arial" w:cs="Arial" w:eastAsia="Arial" w:hAnsi="Arial"/>
          <w:sz w:val="14"/>
          <w:szCs w:val="14"/>
          <w:color w:val="auto"/>
        </w:rPr>
        <w:t>Page 16</w:t>
      </w:r>
    </w:p>
    <w:p>
      <w:pPr>
        <w:sectPr>
          <w:pgSz w:w="11900" w:h="16838" w:orient="portrait"/>
          <w:cols w:equalWidth="0" w:num="1">
            <w:col w:w="11240"/>
          </w:cols>
          <w:pgMar w:left="320" w:top="1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December 31, 2024</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8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SBC, net</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4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and per share amounts)</w:t>
            </w:r>
          </w:p>
        </w:tc>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R&amp;D tax</w:t>
            </w:r>
          </w:p>
        </w:tc>
        <w:tc>
          <w:tcPr>
            <w:tcW w:w="1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 investments,</w:t>
            </w:r>
          </w:p>
        </w:tc>
        <w:tc>
          <w:tcPr>
            <w:tcW w:w="17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non-GAAP  Non-GAAP</w:t>
            </w:r>
          </w:p>
        </w:tc>
        <w:tc>
          <w:tcPr>
            <w:tcW w:w="0" w:type="dxa"/>
            <w:vAlign w:val="bottom"/>
          </w:tcPr>
          <w:p>
            <w:pPr>
              <w:spacing w:after="0"/>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incentives</w:t>
            </w:r>
            <w:r>
              <w:rPr>
                <w:rFonts w:ascii="Times New Roman" w:cs="Times New Roman" w:eastAsia="Times New Roman" w:hAnsi="Times New Roman"/>
                <w:sz w:val="18"/>
                <w:szCs w:val="18"/>
                <w:b w:val="1"/>
                <w:bCs w:val="1"/>
                <w:color w:val="auto"/>
                <w:w w:val="98"/>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78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$2,766</w:t>
            </w: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$2,766</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2,673</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18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96.6%</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(1,525)</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437</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(970)</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(727)</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170</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(513)</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continue"/>
          </w:tcPr>
          <w:p>
            <w:pPr>
              <w:spacing w:after="0"/>
              <w:rPr>
                <w:sz w:val="16"/>
                <w:szCs w:val="16"/>
                <w:color w:val="auto"/>
              </w:rPr>
            </w:pPr>
          </w:p>
        </w:tc>
        <w:tc>
          <w:tcPr>
            <w:tcW w:w="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(2,252)</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607</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421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627</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18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15.2%</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53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89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89</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13</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160" w:type="dxa"/>
            <w:vAlign w:val="bottom"/>
            <w:gridSpan w:val="2"/>
            <w:vMerge w:val="continue"/>
          </w:tcPr>
          <w:p>
            <w:pPr>
              <w:spacing w:after="0"/>
              <w:rPr>
                <w:sz w:val="15"/>
                <w:szCs w:val="15"/>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576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627</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9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(171)</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(165)</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$582</w:t>
            </w:r>
          </w:p>
        </w:tc>
        <w:tc>
          <w:tcPr>
            <w:tcW w:w="10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$627</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$(171)</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$1,153</w:t>
            </w:r>
          </w:p>
        </w:tc>
        <w:tc>
          <w:tcPr>
            <w:tcW w:w="0" w:type="dxa"/>
            <w:vAlign w:val="bottom"/>
          </w:tcPr>
          <w:p>
            <w:pPr>
              <w:spacing w:after="0"/>
              <w:rPr>
                <w:sz w:val="1"/>
                <w:szCs w:val="1"/>
                <w:color w:val="auto"/>
              </w:rPr>
            </w:pPr>
          </w:p>
        </w:tc>
      </w:tr>
      <w:tr>
        <w:trPr>
          <w:trHeight w:val="21"/>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$0.56</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$0.55</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1,049</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1,062</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ind w:left="5360"/>
        <w:spacing w:after="0"/>
        <w:rPr>
          <w:rFonts w:ascii="Times New Roman" w:cs="Times New Roman" w:eastAsia="Times New Roman" w:hAnsi="Times New Roman"/>
          <w:sz w:val="14"/>
          <w:szCs w:val="14"/>
          <w:color w:val="auto"/>
        </w:rPr>
      </w:pPr>
      <w:r>
        <w:rPr>
          <w:rFonts w:ascii="Arial" w:cs="Arial" w:eastAsia="Arial" w:hAnsi="Arial"/>
          <w:sz w:val="14"/>
          <w:szCs w:val="14"/>
          <w:color w:val="auto"/>
        </w:rPr>
        <w:t>Page 17</w:t>
      </w:r>
    </w:p>
    <w:p>
      <w:pPr>
        <w:sectPr>
          <w:pgSz w:w="11900" w:h="16838" w:orient="portrait"/>
          <w:cols w:equalWidth="0" w:num="1">
            <w:col w:w="11240"/>
          </w:cols>
          <w:pgMar w:left="320" w:top="1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reconciliations of Net cash provided by (used for) operating activities to Non-GAAP free cash flow and Non-GAAP free cash flow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TTM:</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16"/>
                <w:szCs w:val="16"/>
                <w:color w:val="auto"/>
              </w:rPr>
            </w:pPr>
          </w:p>
        </w:tc>
        <w:tc>
          <w:tcPr>
            <w:tcW w:w="30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Trailing Twelve Months Ended December 31,</w:t>
            </w:r>
          </w:p>
        </w:tc>
        <w:tc>
          <w:tcPr>
            <w:tcW w:w="0" w:type="dxa"/>
            <w:vAlign w:val="bottom"/>
          </w:tcPr>
          <w:p>
            <w:pPr>
              <w:spacing w:after="0"/>
              <w:rPr>
                <w:sz w:val="1"/>
                <w:szCs w:val="1"/>
                <w:color w:val="auto"/>
              </w:rPr>
            </w:pPr>
          </w:p>
        </w:tc>
      </w:tr>
      <w:tr>
        <w:trPr>
          <w:trHeight w:val="2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9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 TTM</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our dependence on the semiconductor and electronics industries and the demand for the products of our customers; our dependence on the compatibility of our products with the manufacturing and design processes of our customers; our development of compute subsystems, chiplets, or complete System-on-a-Chip (SoC) solutions as well as other more integrated compute products; our reliance on third parties to market and sell chips and end products incorporating our products, as well as add value to our licensed products; our dependence on a limited number of customers for a significant portion of our revenue; the loss of any of our senior management personnel or one or more key employees or our inability to attract and retain qualified personnel; our ability to adequately fund our research and development efforts; risks related to the availability of development tools, systems software, electronic design automation tools and operating systems compatible with our architecture; our ability to protect our proprietary products and our brand, and the costs of protecting such intellectual property rights, particularly as a result of litigation; our ability to verify royalty amounts owed to us under our licensing agreements; risks related to foreign exchange fluctuations; changes in our effective tax rate; risks associated with organic growth or growth from strategic investments or acquisitions we make, and the risk of failing to effectively manage our growth; risks associated with the slow development of the market for our connectivity, device and data management platform; the possibility of cyberattacks, breaches of our security controls and unauthorized access to our data or a customer’s data; our ability to satisfy data protection, security, privacy or other government- and industry-specific requirements; risks associated with the interests of SoftBank Group Corp., our controlling shareholder, conflicting with the interests of other holders of our ordinary shares and American depositary shares; and effects of global general economic conditions, political factors, war or hostility, pandemics and other events outside of our control. Refer to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Annual Report on Form 20-F for the fiscal year ended March 31, 2025, filed with the SEC on May 28, 2025, for additional risks and uncertainties that may cause our actual results, levels of activity, performance or achievements to be materially different from the information expressed or implied by forward-looking statements included herein.</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19</w:t>
      </w:r>
    </w:p>
    <w:p>
      <w:pPr>
        <w:sectPr>
          <w:pgSz w:w="11900" w:h="16838" w:orient="portrait"/>
          <w:cols w:equalWidth="0" w:num="1">
            <w:col w:w="11240"/>
          </w:cols>
          <w:pgMar w:left="320" w:top="10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Arm to Host ‘Arm Everywhere’ Event and Webcast</w:t>
      </w:r>
    </w:p>
    <w:p>
      <w:pPr>
        <w:spacing w:after="0" w:line="2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Cambridge, England, Feb. 4, 2026: </w:t>
      </w:r>
      <w:r>
        <w:rPr>
          <w:rFonts w:ascii="Times New Roman" w:cs="Times New Roman" w:eastAsia="Times New Roman" w:hAnsi="Times New Roman"/>
          <w:sz w:val="22"/>
          <w:szCs w:val="22"/>
          <w:color w:val="auto"/>
        </w:rPr>
        <w:t>Arm Holdings plc (NASDAQ: ARM) today announced it will host Arm Everywhere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24, 2026 at the Fort Mason Center for Arts &amp; Culture, beginning at 10:00 Pacific Time and ending at 16:30 Pacific Time. The event will mark a defining moment for AI and the future of intelligent compute.</w:t>
      </w:r>
    </w:p>
    <w:p>
      <w:pPr>
        <w:spacing w:after="0" w:line="20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Arm Everywhere will bring together Arm executives and industry-leading partners to share perspectives on the future of AI, highlighting how decades of engineering leadership and collaboration across hardware, software, and systems is enabling more efficient, scalable, and intelligent computing platforms, for everyone.</w:t>
      </w:r>
    </w:p>
    <w:p>
      <w:pPr>
        <w:spacing w:after="0" w:line="21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event will be held live, in person, with a simultaneous virtual webcast at arm.com/company/arm-everywhere. In-person attendance will be limited, while virtual participation will be open to global audiences.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and financial analysts can register their interest for the in-person event at everywhere.arm.com.</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Media and industry analysts interested in learning more about the event should contact the Arm External Communications team at global-prteam@arm.com.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22 million software developers, we are building the future of AI on Arm.</w:t>
      </w:r>
    </w:p>
    <w:p>
      <w:pPr>
        <w:spacing w:after="0" w:line="208"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1995-2026 Arm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 Ray</w:t>
      </w: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Arm Investor Relations</w:t>
      </w:r>
    </w:p>
    <w:p>
      <w:pPr>
        <w:spacing w:after="0"/>
        <w:rPr>
          <w:sz w:val="20"/>
          <w:szCs w:val="20"/>
          <w:color w:val="auto"/>
        </w:rPr>
      </w:pPr>
      <w:r>
        <w:rPr>
          <w:rFonts w:ascii="Times New Roman" w:cs="Times New Roman" w:eastAsia="Times New Roman" w:hAnsi="Times New Roman"/>
          <w:sz w:val="22"/>
          <w:szCs w:val="22"/>
          <w:color w:val="auto"/>
        </w:rPr>
        <w:t>Investor.Relations@arm.com</w:t>
      </w:r>
    </w:p>
    <w:sectPr>
      <w:pgSz w:w="11900" w:h="16838" w:orient="portrait"/>
      <w:cols w:equalWidth="0" w:num="1">
        <w:col w:w="11100"/>
      </w:cols>
      <w:pgMar w:left="320" w:top="14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2026-02-04T15:14:48Z</dcterms:created>
  <dcterms:modified xsi:type="dcterms:W3CDTF">2026-02-04T15:14:48Z</dcterms:modified>
</cp:coreProperties>
</file>