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6737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6737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98"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85" w:lineRule="exact"/>
        <w:rPr>
          <w:sz w:val="24"/>
          <w:szCs w:val="24"/>
          <w:color w:val="auto"/>
        </w:rPr>
      </w:pPr>
    </w:p>
    <w:p>
      <w:pPr>
        <w:ind w:left="198" w:hanging="198"/>
        <w:spacing w:after="0"/>
        <w:tabs>
          <w:tab w:leader="none" w:pos="19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196" w:lineRule="exact"/>
        <w:rPr>
          <w:rFonts w:ascii="MS PGothic" w:cs="MS PGothic" w:eastAsia="MS PGothic" w:hAnsi="MS PGothic"/>
          <w:sz w:val="17"/>
          <w:szCs w:val="17"/>
          <w:color w:val="auto"/>
        </w:rPr>
      </w:pPr>
    </w:p>
    <w:p>
      <w:pPr>
        <w:ind w:left="4978"/>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718" w:hanging="215"/>
        <w:spacing w:after="0"/>
        <w:tabs>
          <w:tab w:leader="none" w:pos="71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84" w:lineRule="exact"/>
        <w:rPr>
          <w:rFonts w:ascii="MS PGothic" w:cs="MS PGothic" w:eastAsia="MS PGothic" w:hAnsi="MS PGothic"/>
          <w:sz w:val="18"/>
          <w:szCs w:val="18"/>
          <w:color w:val="auto"/>
        </w:rPr>
      </w:pPr>
    </w:p>
    <w:p>
      <w:pPr>
        <w:ind w:left="3558"/>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March 31, 2024</w:t>
      </w:r>
    </w:p>
    <w:p>
      <w:pPr>
        <w:spacing w:after="0" w:line="184" w:lineRule="exact"/>
        <w:rPr>
          <w:rFonts w:ascii="MS PGothic" w:cs="MS PGothic" w:eastAsia="MS PGothic" w:hAnsi="MS PGothic"/>
          <w:sz w:val="18"/>
          <w:szCs w:val="18"/>
          <w:color w:val="auto"/>
        </w:rPr>
      </w:pPr>
    </w:p>
    <w:p>
      <w:pPr>
        <w:ind w:left="4978"/>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98" w:lineRule="exact"/>
        <w:rPr>
          <w:rFonts w:ascii="MS PGothic" w:cs="MS PGothic" w:eastAsia="MS PGothic" w:hAnsi="MS PGothic"/>
          <w:sz w:val="18"/>
          <w:szCs w:val="18"/>
          <w:color w:val="auto"/>
        </w:rPr>
      </w:pPr>
    </w:p>
    <w:p>
      <w:pPr>
        <w:ind w:left="518" w:hanging="200"/>
        <w:spacing w:after="0"/>
        <w:tabs>
          <w:tab w:leader="none" w:pos="518"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4" w:lineRule="exact"/>
        <w:rPr>
          <w:rFonts w:ascii="MS PGothic" w:cs="MS PGothic" w:eastAsia="MS PGothic" w:hAnsi="MS PGothic"/>
          <w:sz w:val="18"/>
          <w:szCs w:val="18"/>
          <w:color w:val="auto"/>
        </w:rPr>
      </w:pPr>
    </w:p>
    <w:p>
      <w:pPr>
        <w:ind w:left="4978"/>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84" w:lineRule="exact"/>
        <w:rPr>
          <w:rFonts w:ascii="MS PGothic" w:cs="MS PGothic" w:eastAsia="MS PGothic" w:hAnsi="MS PGothic"/>
          <w:sz w:val="18"/>
          <w:szCs w:val="18"/>
          <w:color w:val="auto"/>
        </w:rPr>
      </w:pPr>
    </w:p>
    <w:p>
      <w:pPr>
        <w:ind w:left="318" w:hanging="216"/>
        <w:spacing w:after="0"/>
        <w:tabs>
          <w:tab w:leader="none" w:pos="3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HELL COMPANY REPORT PURSUANT TO SECTION 13 OR 15(d) OF THE SECURITIES EXCHANGE ACT OF 1934</w:t>
      </w:r>
    </w:p>
    <w:p>
      <w:pPr>
        <w:spacing w:after="0" w:line="202" w:lineRule="exact"/>
        <w:rPr>
          <w:sz w:val="24"/>
          <w:szCs w:val="24"/>
          <w:color w:val="auto"/>
        </w:rPr>
      </w:pPr>
    </w:p>
    <w:p>
      <w:pPr>
        <w:ind w:left="2438"/>
        <w:spacing w:after="0"/>
        <w:rPr>
          <w:sz w:val="20"/>
          <w:szCs w:val="20"/>
          <w:color w:val="auto"/>
        </w:rPr>
      </w:pPr>
      <w:r>
        <w:rPr>
          <w:rFonts w:ascii="Times New Roman" w:cs="Times New Roman" w:eastAsia="Times New Roman" w:hAnsi="Times New Roman"/>
          <w:sz w:val="18"/>
          <w:szCs w:val="18"/>
          <w:color w:val="auto"/>
        </w:rPr>
        <w:t>Date of event requiring this shell company report ____________________</w:t>
      </w:r>
    </w:p>
    <w:p>
      <w:pPr>
        <w:spacing w:after="0" w:line="185" w:lineRule="exact"/>
        <w:rPr>
          <w:sz w:val="24"/>
          <w:szCs w:val="24"/>
          <w:color w:val="auto"/>
        </w:rPr>
      </w:pPr>
    </w:p>
    <w:p>
      <w:pPr>
        <w:ind w:left="2438"/>
        <w:spacing w:after="0"/>
        <w:rPr>
          <w:sz w:val="20"/>
          <w:szCs w:val="20"/>
          <w:color w:val="auto"/>
        </w:rPr>
      </w:pPr>
      <w:r>
        <w:rPr>
          <w:rFonts w:ascii="Times New Roman" w:cs="Times New Roman" w:eastAsia="Times New Roman" w:hAnsi="Times New Roman"/>
          <w:sz w:val="18"/>
          <w:szCs w:val="18"/>
          <w:color w:val="auto"/>
        </w:rPr>
        <w:t>For the transition period from ____________________ to ____________________</w:t>
      </w:r>
    </w:p>
    <w:p>
      <w:pPr>
        <w:spacing w:after="0" w:line="18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3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38"/>
          <w:szCs w:val="38"/>
          <w:b w:val="1"/>
          <w:bCs w:val="1"/>
          <w:color w:val="auto"/>
        </w:rPr>
        <w:t>Arm Holdings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65405</wp:posOffset>
            </wp:positionV>
            <wp:extent cx="6737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73"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71120</wp:posOffset>
            </wp:positionV>
            <wp:extent cx="6737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16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94" w:lineRule="exact"/>
        <w:rPr>
          <w:sz w:val="24"/>
          <w:szCs w:val="24"/>
          <w:color w:val="auto"/>
        </w:rPr>
      </w:pPr>
    </w:p>
    <w:p>
      <w:pPr>
        <w:ind w:left="4378"/>
        <w:spacing w:after="0"/>
        <w:rPr>
          <w:sz w:val="20"/>
          <w:szCs w:val="20"/>
          <w:color w:val="auto"/>
        </w:rPr>
      </w:pPr>
      <w:r>
        <w:rPr>
          <w:rFonts w:ascii="Times New Roman" w:cs="Times New Roman" w:eastAsia="Times New Roman" w:hAnsi="Times New Roman"/>
          <w:sz w:val="18"/>
          <w:szCs w:val="18"/>
          <w:b w:val="1"/>
          <w:bCs w:val="1"/>
          <w:color w:val="auto"/>
        </w:rPr>
        <w:t>110 Fulbourn Road</w:t>
      </w:r>
    </w:p>
    <w:p>
      <w:pPr>
        <w:spacing w:after="0" w:line="31" w:lineRule="exact"/>
        <w:rPr>
          <w:sz w:val="24"/>
          <w:szCs w:val="24"/>
          <w:color w:val="auto"/>
        </w:rPr>
      </w:pPr>
    </w:p>
    <w:p>
      <w:pPr>
        <w:ind w:left="4318"/>
        <w:spacing w:after="0"/>
        <w:rPr>
          <w:sz w:val="20"/>
          <w:szCs w:val="20"/>
          <w:color w:val="auto"/>
        </w:rPr>
      </w:pPr>
      <w:r>
        <w:rPr>
          <w:rFonts w:ascii="Times New Roman" w:cs="Times New Roman" w:eastAsia="Times New Roman" w:hAnsi="Times New Roman"/>
          <w:sz w:val="18"/>
          <w:szCs w:val="18"/>
          <w:b w:val="1"/>
          <w:bCs w:val="1"/>
          <w:color w:val="auto"/>
        </w:rPr>
        <w:t>Cambridge CB1 9NJ</w:t>
      </w:r>
    </w:p>
    <w:p>
      <w:pPr>
        <w:spacing w:after="0" w:line="6" w:lineRule="exact"/>
        <w:rPr>
          <w:sz w:val="24"/>
          <w:szCs w:val="24"/>
          <w:color w:val="auto"/>
        </w:rPr>
      </w:pPr>
    </w:p>
    <w:p>
      <w:pPr>
        <w:ind w:left="4478"/>
        <w:spacing w:after="0"/>
        <w:rPr>
          <w:sz w:val="20"/>
          <w:szCs w:val="20"/>
          <w:color w:val="auto"/>
        </w:rPr>
      </w:pPr>
      <w:r>
        <w:rPr>
          <w:rFonts w:ascii="Times New Roman" w:cs="Times New Roman" w:eastAsia="Times New Roman" w:hAnsi="Times New Roman"/>
          <w:sz w:val="18"/>
          <w:szCs w:val="18"/>
          <w:b w:val="1"/>
          <w:bCs w:val="1"/>
          <w:color w:val="auto"/>
        </w:rPr>
        <w:t>United Kingdom</w:t>
      </w: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Tel: 44 (1223) 400 400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55880</wp:posOffset>
            </wp:positionV>
            <wp:extent cx="6737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145"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4"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Spencer Collins</w:t>
      </w:r>
    </w:p>
    <w:p>
      <w:pPr>
        <w:spacing w:after="0" w:line="3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110 Fulbourn Road</w:t>
      </w:r>
    </w:p>
    <w:p>
      <w:pPr>
        <w:spacing w:after="0" w:line="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Cambridge CB1 9NJ</w:t>
      </w:r>
    </w:p>
    <w:p>
      <w:pPr>
        <w:spacing w:after="0" w:line="6"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United Kingdom</w:t>
      </w: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Tel: 44 (1223) 400 400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55880</wp:posOffset>
            </wp:positionV>
            <wp:extent cx="673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45"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194" w:lineRule="exact"/>
        <w:rPr>
          <w:sz w:val="24"/>
          <w:szCs w:val="24"/>
          <w:color w:val="auto"/>
        </w:rPr>
      </w:pPr>
    </w:p>
    <w:p>
      <w:pPr>
        <w:ind w:left="2198"/>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-325755</wp:posOffset>
            </wp:positionH>
            <wp:positionV relativeFrom="paragraph">
              <wp:posOffset>589915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8"/>
          </w:cols>
          <w:pgMar w:left="822" w:top="144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18"/>
        </w:trPr>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American Depositary Shares, each representing one</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ARM</w:t>
            </w:r>
          </w:p>
        </w:tc>
        <w:tc>
          <w:tcPr>
            <w:tcW w:w="5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1"/>
        </w:trPr>
        <w:tc>
          <w:tcPr>
            <w:tcW w:w="39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Ordinary Share, nominal value £0.001 per share</w:t>
            </w: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Ordinary shares, nominal value £0.001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Not for trading, but only in connection with the registration of the American Depositary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71120</wp:posOffset>
            </wp:positionV>
            <wp:extent cx="6737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71120</wp:posOffset>
            </wp:positionV>
            <wp:extent cx="6737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ordinary shares outstanding of Arm Holdings plc as of March 31, 2024 was 1,040,330,497.</w:t>
      </w:r>
    </w:p>
    <w:p>
      <w:pPr>
        <w:spacing w:after="0" w:line="157"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3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7" w:lineRule="exact"/>
        <w:rPr>
          <w:sz w:val="20"/>
          <w:szCs w:val="20"/>
          <w:color w:val="auto"/>
        </w:rPr>
      </w:pPr>
    </w:p>
    <w:p>
      <w:pPr>
        <w:ind w:left="500"/>
        <w:spacing w:after="0"/>
        <w:tabs>
          <w:tab w:leader="none" w:pos="2580" w:val="left"/>
          <w:tab w:leader="none" w:pos="3140" w:val="left"/>
          <w:tab w:leader="none" w:pos="4620" w:val="left"/>
          <w:tab w:leader="none" w:pos="5440" w:val="left"/>
          <w:tab w:leader="none" w:pos="7400" w:val="left"/>
          <w:tab w:leader="none" w:pos="8180" w:val="left"/>
          <w:tab w:leader="none" w:pos="105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Non-Accelerated filer</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306"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firstLine="332"/>
        <w:spacing w:after="0" w:line="282" w:lineRule="auto"/>
        <w:tabs>
          <w:tab w:leader="none" w:pos="6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2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44"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firstLine="324"/>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Arial Unicode MS" w:cs="Arial Unicode MS" w:eastAsia="Arial Unicode MS" w:hAnsi="Arial Unicode MS"/>
          <w:sz w:val="18"/>
          <w:szCs w:val="18"/>
          <w:color w:val="auto"/>
        </w:rPr>
        <w:t>☐</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 GAAP</w:t>
            </w:r>
          </w:p>
        </w:tc>
        <w:tc>
          <w:tcPr>
            <w:tcW w:w="7680" w:type="dxa"/>
            <w:vAlign w:val="bottom"/>
          </w:tcPr>
          <w:p>
            <w:pPr>
              <w:ind w:left="160"/>
              <w:spacing w:after="0"/>
              <w:rPr>
                <w:sz w:val="20"/>
                <w:szCs w:val="20"/>
                <w:color w:val="auto"/>
              </w:rPr>
            </w:pPr>
            <w:r>
              <w:rPr>
                <w:rFonts w:ascii="Wingdings" w:cs="Wingdings" w:eastAsia="Wingdings" w:hAnsi="Wingdings"/>
                <w:sz w:val="35"/>
                <w:szCs w:val="35"/>
                <w:b w:val="1"/>
                <w:bCs w:val="1"/>
                <w:color w:val="auto"/>
                <w:vertAlign w:val="superscript"/>
              </w:rPr>
              <w:t>x</w:t>
            </w:r>
            <w:r>
              <w:rPr>
                <w:rFonts w:ascii="Times New Roman" w:cs="Times New Roman" w:eastAsia="Times New Roman" w:hAnsi="Times New Roman"/>
                <w:sz w:val="18"/>
                <w:szCs w:val="18"/>
                <w:color w:val="auto"/>
              </w:rPr>
              <w:t xml:space="preserve">  International Financial Reporting Standards as issued by the International Accounting Standards</w:t>
            </w:r>
          </w:p>
        </w:tc>
        <w:tc>
          <w:tcPr>
            <w:tcW w:w="440" w:type="dxa"/>
            <w:vAlign w:val="bottom"/>
          </w:tcPr>
          <w:p>
            <w:pPr>
              <w:ind w:left="120"/>
              <w:spacing w:after="0"/>
              <w:rPr>
                <w:sz w:val="20"/>
                <w:szCs w:val="20"/>
                <w:color w:val="auto"/>
              </w:rPr>
            </w:pPr>
            <w:r>
              <w:rPr>
                <w:rFonts w:ascii="Wingdings" w:cs="Wingdings" w:eastAsia="Wingdings" w:hAnsi="Wingdings"/>
                <w:sz w:val="18"/>
                <w:szCs w:val="18"/>
                <w:b w:val="1"/>
                <w:bCs w:val="1"/>
                <w:color w:val="auto"/>
              </w:rPr>
              <w:t>o</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ind w:left="16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1020" w:type="dxa"/>
            <w:vAlign w:val="bottom"/>
          </w:tcPr>
          <w:p>
            <w:pPr>
              <w:spacing w:after="0"/>
              <w:rPr>
                <w:sz w:val="20"/>
                <w:szCs w:val="20"/>
                <w:color w:val="auto"/>
              </w:rPr>
            </w:pPr>
          </w:p>
        </w:tc>
        <w:tc>
          <w:tcPr>
            <w:tcW w:w="768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Board</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319" w:lineRule="exact"/>
        <w:rPr>
          <w:sz w:val="20"/>
          <w:szCs w:val="20"/>
          <w:color w:val="auto"/>
        </w:rPr>
      </w:pPr>
    </w:p>
    <w:p>
      <w:pPr>
        <w:ind w:firstLine="324"/>
        <w:spacing w:after="0" w:line="240"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Item 18 </w:t>
      </w:r>
      <w:r>
        <w:rPr>
          <w:rFonts w:ascii="Arial Unicode MS" w:cs="Arial Unicode MS" w:eastAsia="Arial Unicode MS" w:hAnsi="Arial Unicode MS"/>
          <w:sz w:val="18"/>
          <w:szCs w:val="18"/>
          <w:color w:val="auto"/>
        </w:rPr>
        <w:t>☐</w:t>
      </w:r>
    </w:p>
    <w:p>
      <w:pPr>
        <w:spacing w:after="0" w:line="89" w:lineRule="exact"/>
        <w:rPr>
          <w:sz w:val="20"/>
          <w:szCs w:val="20"/>
          <w:color w:val="auto"/>
        </w:rPr>
      </w:pPr>
    </w:p>
    <w:p>
      <w:pPr>
        <w:ind w:left="340"/>
        <w:spacing w:after="0" w:line="242"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29"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90170</wp:posOffset>
            </wp:positionV>
            <wp:extent cx="6737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115570</wp:posOffset>
            </wp:positionV>
            <wp:extent cx="6737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722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9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6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PART I</w:t>
            </w:r>
          </w:p>
        </w:tc>
        <w:tc>
          <w:tcPr>
            <w:tcW w:w="7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60" w:type="dxa"/>
            <w:vAlign w:val="bottom"/>
            <w:vMerge w:val="continue"/>
          </w:tcPr>
          <w:p>
            <w:pPr>
              <w:spacing w:after="0"/>
              <w:rPr>
                <w:sz w:val="19"/>
                <w:szCs w:val="19"/>
                <w:color w:val="auto"/>
              </w:rPr>
            </w:pPr>
          </w:p>
        </w:tc>
        <w:tc>
          <w:tcPr>
            <w:tcW w:w="7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Identity of Directors, Senior Management and Advisers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2.</w:t>
            </w:r>
          </w:p>
        </w:tc>
        <w:tc>
          <w:tcPr>
            <w:tcW w:w="722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O</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er Statistics and Expected Timetable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3.</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Key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4.</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Information on the Company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4A.</w:t>
            </w:r>
          </w:p>
        </w:tc>
        <w:tc>
          <w:tcPr>
            <w:tcW w:w="722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Unresolved Sta</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 xml:space="preserve">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5.</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and Financial Review and Prospects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6.</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Directors, Senior Management and Employees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7.</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Major Shareholders and Related Party Transactions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8.</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9.</w:t>
            </w:r>
          </w:p>
        </w:tc>
        <w:tc>
          <w:tcPr>
            <w:tcW w:w="722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The O</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er and Listing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10.</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11.</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12.</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Description of Securities Other than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Part II</w:t>
            </w:r>
          </w:p>
        </w:tc>
        <w:tc>
          <w:tcPr>
            <w:tcW w:w="7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Defaults, Dividend Arrearages and Delinquencies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14.</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Material Modifications to the Rights of Security Holders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15.</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16A.</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Audit committee financial expert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16B.</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Code of Ethics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16C.</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16D.</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Exemptions from the Listing Standards for Audit Committees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16E.</w:t>
            </w:r>
          </w:p>
        </w:tc>
        <w:tc>
          <w:tcPr>
            <w:tcW w:w="722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Purchases of Equity Securities by the Issuer and A</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liated Purchasers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16F.</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Registrant’s Certifying Accountant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16G.</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16H.</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16I.</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16J.</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Insider trading policies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16K.</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Part III</w:t>
            </w:r>
          </w:p>
        </w:tc>
        <w:tc>
          <w:tcPr>
            <w:tcW w:w="7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Item 17.</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7"/>
        </w:trPr>
        <w:tc>
          <w:tcPr>
            <w:tcW w:w="206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tbl>
      <w:tblPr>
        <w:tblLayout w:type="fixed"/>
        <w:tblInd w:w="108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18.</w:t>
            </w:r>
          </w:p>
        </w:tc>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19.</w:t>
            </w:r>
          </w:p>
        </w:tc>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82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references in this Annual Report on Form 20-F (this “Annual Report”) to “Arm,” the “Company,” “we,” “us” and “our” refer to (i) Arm Limited and its consolidated subsidiaries prior to the completion of our corporate reorganization, (ii) Arm Holdings Limited and its consolidated subsidiaries after the completion of our corporate reorganization and prior to the re-registration of Arm Holdings Limited as a public limited company and (iii) Arm Holdings plc and its consolidated subsidiaries after the re-registration of Arm Holdings Limited as a public limited company.</w:t>
      </w:r>
    </w:p>
    <w:p>
      <w:pPr>
        <w:spacing w:after="0" w:line="1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fiscal year ends on March 31 of each year. We prepare our consolidated financial statements in accordance with generally accepted accounting principles in the U.S. (“GAAP”). We present our consolidated financial statements in U.S. dollars (“USD”).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historically conducted our business through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 Our corporate reorganization is described in the section titled </w:t>
      </w:r>
      <w:r>
        <w:rPr>
          <w:rFonts w:ascii="Times New Roman" w:cs="Times New Roman" w:eastAsia="Times New Roman" w:hAnsi="Times New Roman"/>
          <w:sz w:val="18"/>
          <w:szCs w:val="18"/>
          <w:i w:val="1"/>
          <w:iCs w:val="1"/>
          <w:color w:val="auto"/>
        </w:rPr>
        <w:t>“Item 4. Information on the Company—A. History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of the Company—Corporate Reorganization.”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information contained in this Annual Report does not amount to statutory accounts within the meaning of section 434(3) of the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2006 (the “Companies Act”).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assumptions and estimates of our and our industry’s future performance are necessarily subject to a high degree of uncertainty and risk due to a variety of factors, including those described in the section titled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These and other factors could cause our future performance to differ materially from our assumptions and estimates. See </w:t>
      </w:r>
      <w:r>
        <w:rPr>
          <w:rFonts w:ascii="Times New Roman" w:cs="Times New Roman" w:eastAsia="Times New Roman" w:hAnsi="Times New Roman"/>
          <w:sz w:val="18"/>
          <w:szCs w:val="18"/>
          <w:i w:val="1"/>
          <w:iCs w:val="1"/>
          <w:color w:val="auto"/>
        </w:rPr>
        <w:t>“Special Note Regarding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(the “Securities Act”), and Section 21E of the Securities Exchange Act of 1934, as amended (the “Exchange Act”), relating to our operations, results of operations and other matters that are based on our current expectations, estimates, assumptions and projections. Statements regarding our future and projections relating to revenue, cost of sales, operating expenses, income (loss), and potential growth opportunities are typical of such statements. The forward-looking statements appear in a number of places, including, but not limited to, “</w:t>
      </w:r>
      <w:r>
        <w:rPr>
          <w:rFonts w:ascii="Times New Roman" w:cs="Times New Roman" w:eastAsia="Times New Roman" w:hAnsi="Times New Roman"/>
          <w:sz w:val="18"/>
          <w:szCs w:val="18"/>
          <w:i w:val="1"/>
          <w:iCs w:val="1"/>
          <w:color w:val="auto"/>
        </w:rPr>
        <w:t>Item 5. Operating and Financial Review and Prospects</w:t>
      </w:r>
      <w:r>
        <w:rPr>
          <w:rFonts w:ascii="Times New Roman" w:cs="Times New Roman" w:eastAsia="Times New Roman" w:hAnsi="Times New Roman"/>
          <w:sz w:val="18"/>
          <w:szCs w:val="18"/>
          <w:color w:val="auto"/>
        </w:rPr>
        <w:t>.”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 looking statements. Such risks and uncertainties include, but are not limited to:</w:t>
      </w:r>
    </w:p>
    <w:p>
      <w:pPr>
        <w:spacing w:after="0" w:line="187"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revenues, cost of sales, gross profit, operating expenses and other operating results, as well as our ability to maintain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semiconductor and electronics industries and the demand for the products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compatibility of our products with the manufacturing and design processes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market and sell chips and end products incorporating our products, as well as add value to our licensed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for a significant portion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sell additional products to our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senior management personnel or one or more key employees or our inability to attract and retain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fund our research and development efforts;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availability of development tools, systems software, electronic design automation (“EDA”) tools and operating systems compatible with our architecture;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products and our brand, and the costs of protecting such intellectual property (“IP”) rights, particularly as a result of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and unpredictability of our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verify royalty amounts owed to us under our licensing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foreign exchange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organic growth or growth from strategic investments or acquisitions we make, and the risk of failing to effectively manage our growth;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slow development of the market for our connectivity, device and data management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cyberattacks, breaches of our security controls and unauthorized access to our data or a customer’s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data protection, security, privacy or other government- and industry-specific requirements;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interests of SoftBank Group Corp., our controlling stockholder (“SoftBank Group”), conflicting with the interests of other holders of our ordinary shares, nominal value £0.001 per share (“ordinary shares”), and American depositary shares, each of which represents the right to receive one ordinary share (“ADSs”), may be evidenced by American depositary receipts (“ADRs”);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global general economic conditions, political factors, war or hostility, pandemics and other events outside of our control;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relating to our financial condition and arrangements.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caution that you should not place undue reliance on any of our forward-looking statements. For a further discussion of these and other factors that could affect our future results, performance, or transactions, see the factors discussed in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Operating and Financial Review and Prospects” </w:t>
      </w:r>
      <w:r>
        <w:rPr>
          <w:rFonts w:ascii="Times New Roman" w:cs="Times New Roman" w:eastAsia="Times New Roman" w:hAnsi="Times New Roman"/>
          <w:sz w:val="18"/>
          <w:szCs w:val="18"/>
          <w:color w:val="auto"/>
        </w:rPr>
        <w:t>of this Annual Report. We undertake no obligation to update forward-looking statements to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or information obtained after the date hereof and disclaim any obligation to do so except as required by applicable laws.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PART 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1.</w:t>
      </w:r>
      <w:r>
        <w:rPr>
          <w:sz w:val="20"/>
          <w:szCs w:val="20"/>
          <w:color w:val="auto"/>
        </w:rPr>
        <w:tab/>
      </w:r>
      <w:r>
        <w:rPr>
          <w:rFonts w:ascii="Times New Roman" w:cs="Times New Roman" w:eastAsia="Times New Roman" w:hAnsi="Times New Roman"/>
          <w:sz w:val="17"/>
          <w:szCs w:val="17"/>
          <w:b w:val="1"/>
          <w:bCs w:val="1"/>
          <w:color w:val="231F20"/>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2.</w:t>
        <w:tab/>
        <w:t>O</w:t>
      </w:r>
      <w:r>
        <w:rPr>
          <w:rFonts w:ascii="Arial" w:cs="Arial" w:eastAsia="Arial" w:hAnsi="Arial"/>
          <w:sz w:val="18"/>
          <w:szCs w:val="18"/>
          <w:color w:val="000000"/>
          <w:shd w:val="clear" w:color="auto" w:fill="231F20"/>
        </w:rPr>
        <w:t>ﬀ</w:t>
      </w:r>
      <w:r>
        <w:rPr>
          <w:rFonts w:ascii="Times New Roman" w:cs="Times New Roman" w:eastAsia="Times New Roman" w:hAnsi="Times New Roman"/>
          <w:sz w:val="18"/>
          <w:szCs w:val="18"/>
          <w:b w:val="1"/>
          <w:bCs w:val="1"/>
          <w:color w:val="231F20"/>
        </w:rPr>
        <w:t>er Statistics and Expected Timetable</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3.</w:t>
        <w:tab/>
        <w:t>Key Information</w:t>
      </w:r>
    </w:p>
    <w:p>
      <w:pPr>
        <w:spacing w:after="0" w:line="22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184"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Reasons for the o</w:t>
      </w:r>
      <w:r>
        <w:rPr>
          <w:rFonts w:ascii="Arial" w:cs="Arial" w:eastAsia="Arial" w:hAnsi="Arial"/>
          <w:sz w:val="18"/>
          <w:szCs w:val="18"/>
          <w:i w:val="1"/>
          <w:iCs w:val="1"/>
          <w:color w:val="auto"/>
          <w:highlight w:val="black"/>
        </w:rPr>
        <w:t>ﬀ</w:t>
      </w:r>
      <w:r>
        <w:rPr>
          <w:rFonts w:ascii="Times New Roman" w:cs="Times New Roman" w:eastAsia="Times New Roman" w:hAnsi="Times New Roman"/>
          <w:sz w:val="18"/>
          <w:szCs w:val="18"/>
          <w:b w:val="1"/>
          <w:bCs w:val="1"/>
          <w:i w:val="1"/>
          <w:iCs w:val="1"/>
          <w:color w:val="auto"/>
          <w:highlight w:val="black"/>
        </w:rPr>
        <w:t>e</w:t>
      </w:r>
      <w:r>
        <w:rPr>
          <w:rFonts w:ascii="Times New Roman" w:cs="Times New Roman" w:eastAsia="Times New Roman" w:hAnsi="Times New Roman"/>
          <w:sz w:val="18"/>
          <w:szCs w:val="18"/>
          <w:b w:val="1"/>
          <w:bCs w:val="1"/>
          <w:i w:val="1"/>
          <w:iCs w:val="1"/>
          <w:color w:val="auto"/>
        </w:rPr>
        <w:t>r and use of proceeds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Annual Report and in other documents we file with or furnish to the U.S. Securities and Exchange Commission (the “SEC”), the following risk factors should be considered in evaluating our business. The occurrence of any of the events or developments described below could materially harm our business, financial condition, results of operations and prospects. In such an event, the market price of our ADSs could decline. Additional risks and uncertainties not presently known to us or that we currently deem immaterial also may materially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Among these important risks are the following, which are more fully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primarily depends on trends in the semiconductor and electronics industries and the demand for the products of our customers and our customers’ customers.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and sell additional products to our existing customers, our business, results of operations, financial condition and prospects may be materially and adversely affected.</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 w:name="page7"/>
    <w:bookmarkEnd w:id="6"/>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market and sell chips incorporating our products and to enhance the value of our licensed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particularly our licensing and royalty revenues, can vary significantly between periods and may be unpredictable.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decide to license our architecture and develop their own processors based on our architecture, rather than utilize our processor products pursuant to an implementation license.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revenue comes from a limited number of customers, which exposes us to greater risks than if our customer base were more diversified.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semiconductor and electronics industries could have a material adverse effect on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predominantly come from a limited number of end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new products in response to, or in anticipation of, rapid technological changes in our industry or the industries we serve,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requires us to expend significant resources without assurances that we will generate revenue in the amounts we anticipate, on the expected timeline or at all.</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revenue from the People’s Republic of China, including the Hong Kong Special Administrative Region and the Macau Special Administrative Region, but excluding Taiwan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commercial relationship with Arm Technology (China) Co. Limited (“Arm China”) to access the PRC market. If that commercial relationship no longer existed or deteriorates, our ability to compete in the PRC market could be materially and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SoftBank Group control the operations of Arm China, which operates independently of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operating results may be materially and adversely affected by global economic conditions and other events outside of our control.</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conform to, or are not compatible with, existing or emerging industry standards, demand for our products may decrease.</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by third parties for alleged infringement, misappropriation or other violation of their IP rights or proprietary rights and our defense against these claims can be costly.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Government Regulation and Legal Compliance</w:t>
      </w:r>
    </w:p>
    <w:p>
      <w:pPr>
        <w:spacing w:after="0" w:line="229"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in international jurisdictions and we may be negatively impacted by export restrictions and trade barriers.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Status as a Controlled Company and Foreign Private Issuer</w:t>
      </w:r>
    </w:p>
    <w:p>
      <w:pPr>
        <w:spacing w:after="0" w:line="229"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Stock Market LLC (“Nasdaq”) corporate governance rules and, as a result, are eligible to rely on exemptions from certain corporate governance requirements that provide protection to stockholders of companies that are not controlled companies.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SoftBank Group controls us and/or is entitled to certain rights under the Shareholder Governance Agreement (as defined below), other holders of our ordinary shares and ADSs will have limited ability to influence matters requiring shareholder approval or the composition of our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SoftBank Group’s interests may conflict with our own interests and those of holders of our ADSs.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 foreign private issuer, we may opt out of certain Nasdaq corporate governance rules applicable to public companies organized in the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primarily depends on trends in the semiconductor and electronics industries and the demand for the products of our customers and our customers’ customers.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Demand for our products and services is largely dependent on the semiconductor and electronics industries, which are volatile, intensely competitive and generally characterized by declining average selling prices (“ASPs”) over the life of a generation of chips. The effect of these price decreases is compounded by the fact that our royalty rates generally decrease as the volume of sales increases, subject to an agreed minimum royalty per chip. Additionally, demand for our products and services could decrease if growth in the semiconductor or electronics industries slows or declines.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revenue we generate from licensing activities is also largely dependent on the rate at which systems companies develop and adopt new product generations, which, in turn, is affected by the level of demand for their integrated circuits (“ICs”) and other products. Decreasing demand from systems companies for chips based on our products would directly and adversely affect the amount of royalty revenues we receive. As a result of our dependence on demand from systems companies, we are subject to several risks affecting these systems companies, any one of which may influence the success or failure of a particular systems company. These risks include, among others:</w:t>
      </w:r>
    </w:p>
    <w:p>
      <w:pPr>
        <w:spacing w:after="0" w:line="18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faced by the systems company in its particular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engineering and marketing capabilities of the systems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systems company’s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the economic and political conditions of the region(s) in which the systems company operates, particularly to the extent that such developments create an unfavorable business environment;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and inventory correction affecting the systems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challenges unrelated to our products faced by the systems company in developing its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resources of the systems company.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risks and others which are outside of our control could adversely affect any number of systems companies upon which our success depends, which could, in turn, have a material adverse effect on our business, results of operations, financial condition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substantially on the acceptance of our products and services by semiconductor and systems companies, particularly those that develop and market chips for high-volume electronic devices in the automotive, embedded and internet of things (“IoT”), enterprise electronics, and mobile and consumer electronics markets. There are</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competing microprocessor architectures in the market and there is no certainty that the market will continue to accept our products to the same or greater extent than it does today.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Demand from large, global systems companies, including original equipment manufacturers (“OEMs”), drive much of the development of silicon chips and computer systems. Accordingly, acceptance of our products by these companies as well as semiconductor and other companies for use in a variety of end-market applications is critical for our continued success.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semiconductor and electronics industries have also become increasingly complex and subject to increasing design and manufacturing costs. Many of our customers utilize third-party vendors for EDA tools and also outsource the manufacture of their semiconductor designs to foundries. We work closely with major EDA vendors and foundries to ensure that our products are compatible with their design tools and manufacturing processes. However, if we fail to optimize our products for use with major EDA vendors’ tools and foundries’ manufacturing processes, or if our access to such tools and processes is hampered, then our products may become less desirable to our customers. Similarly, for customers that do not outsource design and manufacturing processes, if our products are unsuitable for the customers’ internal processes, then our products may not be acceptable to those customers.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there are risks inherent in the manufacturing of next-generation process technologies, including production timing delays, lower-than-anticipated manufacturing yields, and product defects and errata. If foundries are unable to successfully or efficiently manufacture future generations of chips based on our products, demand for our products could be materially adversely affected along with our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market for our products is intensely competitive and characterized by rapid changes in design and manufacturing technologies, end-user requirements, industry standards, and frequent new product introductions and improvements. We anticipate continued challenges from current and new competitors, including established technologies such as the x86 architecture, a family of instruction set architecture (“ISAs”), as well as by free, open-source technologies, including the RISC-V architecture. Many of our customers are also major supporters of the RISC-V architecture and related technologies. If RISC-V-related technology continues to be developed and market support for RISC-V increases, our customers may choose to utilize this free, open-source architecture instead of our products. Additionally, many of our direct and indirect competitors, including some of our semiconductor customers, are major corporations with substantially greater technical, financial and marketing resources and name recognition than we have. Some of these competitors have a much larger application software base and a much larger installed customer base than we do, and there can be no assurance that we will have the financial resources, technical expertise, and marketing, distribution and support capabilities to compete successfully with them in the future.</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markets where we are established already and new markets we have entered, intend to enter or may in the future enter, our primary competitors may have greater financial, technical, marketing, distribution, support or other resources and capabilities, greater brand recognition, lower labor and development costs, different regulatory restrictions or a larger customer base than we do. In certain of these markets, we may have to invest substantial resources into developing an ecosystem of software and tools to create a competitive ecosystem that allows us to compete with alternative architectures such as x86 and RISC-V, which have business models that are different from ours and may be more attractive to some of our customers. Our competitors may devote greater resources to the development, promotion and sale of products and services, they may offer lower pricing and different customer engagement models, and their performance, features and product quality may be more desirable than those of our company. Our current and potential competitors may also establish cooperative relationships among themselves or with third parties that may further enhance their resources or strengthen their positions within these markets, or may be subject to more favorable regulatory regimes. For example, in August 2023, a group of our customers and other competitors announced a joint venture aimed at accelerating the adoption of RISC-V. Although the development of alternative architectures and technology is a time-intensive process, if our competitors establish cooperative relationships or consolidate with each other or third parties, such as the recently announced joint venture focused on RISC-V, they may have additional resources that would allow them to more quickly develop architectures and other technology that directly compete with our products. Such cooperative relationships or consolidations may also allow competitors to anticipate or respond more quickly and effectively than we can to new or changing opportunities, technologies, standards or customer requirements. If we are unable to anticipate or react to these competitive challenges, our competitive position could weaken and we could experience a decline in revenue and profitability.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semiconductor companies have developed their own proprietary architecture for specific markets or applications. These companies may utilize their proprietary architecture to penetrate markets where we are currently the architecture of choice, or where our products may be utilized, making it more difficult for us to penetrate such markets in the future. Some semiconductor companies have proprietary architectures in applications, including, but not limited to, automotive, data center equipment, networking equipment, electronic storage, microcontrollers, smart sensors, servers and wireless communications. These companies may be significantly entrenched in their markets. If these companies are successful in displacing our products, or if we are unable to penetrate or grow our market share in these areas, licensing opportunities and potential royalty revenues could be harmed, negatively affecting our business, results of operations, financial condition and prospects. Our development systems tools business also faces significant competition from both the open-source community and third-party tools and software suppliers.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our customers likely would incur significant costs in switching to competitors’ architecture, our competitors (including new market entrants) may offer greater incentives to customers through rebates, marketing funds, similar programs and other commercial arrangements to induce them to use their architecture in lieu of our products. Additionally, our competitors with multiple products or services may bundle their architecture, products and services to offer a broader product portfolio (which may include products or services we do not offer), which may make it difficult for us to gain or maintain market share.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Physical IP, which refers to the physical IP components used in the process of translating a design of complex system on chip (“SOC”) integrated circuits into a manufactured chip, business also faces significant competition from third parties, including the internal design groups of integrated circuit (“IC”) manufacturers that have expanded their internal design capabilities and portfolio of Physical IP components. Physical IP components developed internally by our customers may be designed specifically to utilize the unique qualities of their own manufacturing processes, and may benefit from capacity, informational, cost and technical advantages relative to our Physical IP components, and we may be unable to compete effectively with such internal design groups.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remain competitive, we must continue to innovate and develop new products and services, as well as enhancements to our existing products and services, in response to expressed or anticipated customer demand and new market opportunities. We actively consider the impact of next generation technology adopted by market participants, which might result in us exploring new markets and/or different solutions for existing and prospective customers. To that end, we have begun allocating resources and maintain dialogues with ecosystem partners to explore the viability of new products including, without limitation, new products in our IP portfolio, as well as solutions beyond individual IP designs such as RTL-based compute subsystems, GDSII-based compute subsystems, chiplets and complete end chip solutions. To the extent that we pursue entry into new markets or offerings of different solutions, such enterprise may be unsuccessful for any number of reasons. It may also result in us competing with certain existing customers which may result in such customers seeking alternative architectures or products from competitors.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sell additional products to our existing customers, our business, results of operations, financial condition and prospects may be materially and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Adding new customers while maintaining our existing customers, selling additional products to our existing customers and increasing the price we charge to existing customers represent our principal opportunities to increase revenue (particularly licensing revenue). We generate a significant portion of our revenues from customers who incorporate our products into chips used in smartphones, consumer electronics and other embedded chips. If growth in these markets declines (especially in the mobile applications processors market which is our largest single market), our business, financial condition, results of operations and cash flows could be negatively affected, and we would become more dependent on new growth areas to increase revenue and improve our financial condition. We are currently focused on growing our business in key areas such as infrastructure, automotive, IoT, artificial intelligence (“AI”) and 5G. Numerous factors, however, may impede our ability to grow our business in these key areas, add new customers and sell additional products to our existing customers. Those factors include, among others:</w:t>
      </w:r>
    </w:p>
    <w:p>
      <w:pPr>
        <w:spacing w:after="0" w:line="19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new products that are attractive to current and prospective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adoption of our new products in key areas such as infrastructure, automotive, IoT, AI and 5G;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expand relationships with channel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new distribution channels appropriate for such new technology areas;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provide quality technical support once deployed;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new customers and failure to ensure the effectiveness of our marketing programs.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prospective customers do not perceive our products to be of sufficiently high value and quality or they do not believe the costs of our products relative to competing technology can be passed along to their customers, we may not be able to effectively attract new customers, which would materially and adversely affect our business, results of operations, financial condition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market and sell chips incorporating our products and to enhance the value of our licensed products.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our customers to design, manufacture and sell chips incorporating our products in order to generate royalty revenue. A substantial portion of our revenue depends upon the commencement of new design projects by semiconductor companies and their ability to provide complete chips based on our products to meet the specific application needs of their customers. However, our customers are not contractually obligated to design, manufacture or sell chips using our products on an exclusive basis or at all. Some of our existing customers design, manufacture and sell chips based on competing technology, including their own, and other existing or potential customers may do so in the future. To the extent that our customers elect to license technology from competitors, our competitive position could be adversely affected and we could lose market share. Furthermore, under many of our arrangements with customers, there is generally no minimum purchase obligation or guaranteed revenue stream.</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also subject to risks related to the competition faced by our customers in their particular industries, the engineering and marketing capabilities of our customers, the technical challenges unrelated to our products faced by our customers in developing their chips, and the financial and other resources of our customers. We cannot assure you that our customers and other partners will dedicate the resources necessary to promote and further develop chips incorporating our products, that they will manufacture chips containing our products in quantities sufficient to meet demand, that we will be successful in developing, expanding or maintaining our relationships with current or prospective customers or other partners, or that such customers will effectively and successfully promote and sell chips using our products. In addition, if their chips that incorporate our products are faulty, we may suffer reputational harm whether or not any fault results from our products. See </w:t>
      </w:r>
      <w:r>
        <w:rPr>
          <w:rFonts w:ascii="Times New Roman" w:cs="Times New Roman" w:eastAsia="Times New Roman" w:hAnsi="Times New Roman"/>
          <w:sz w:val="18"/>
          <w:szCs w:val="18"/>
          <w:i w:val="1"/>
          <w:iCs w:val="1"/>
          <w:color w:val="auto"/>
        </w:rPr>
        <w:t>“—Errors, defects, bugs or security vulnerabilities in or associated with our products could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to liability and damage our brand and reputation, which could harm our competitive position and result in a loss of market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particularly our licensing and royalty revenues, can vary significantly between periods and may be unpredictable.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and may in the future experience, significant fluctuations in our period-to-period results of operations. Our results may fluctuate and be unpredictable because of a variety of factors, including, among others:</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entry into high-value agreements of which we historically have signed only a limited number each quarter;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mixture of license fees, royalties, and fees for software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correctly accrue royalty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terms and delivery and revenue recognition schedules of our agreements with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license renewals and license extensions;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chips and end products that incorporate our products or expected future demand for such chips and end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effects on demand for end products that incorporate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sales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technology by us, our customers or our competitors, or other actions taken by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orders from, and shipments to, technology companies of chips based on our products from our semiconductor partners and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results of Arm China and its ability to make payments to us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litigation or developments in current litigation, including, but not limited to, lawsuits with Qualcomm and Nuvia (each as defined below), as described under </w:t>
      </w:r>
      <w:r>
        <w:rPr>
          <w:rFonts w:ascii="Times New Roman" w:cs="Times New Roman" w:eastAsia="Times New Roman" w:hAnsi="Times New Roman"/>
          <w:sz w:val="18"/>
          <w:szCs w:val="18"/>
          <w:i w:val="1"/>
          <w:iCs w:val="1"/>
          <w:color w:val="auto"/>
        </w:rPr>
        <w:t>“—We are currently involved in pending litigation”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employees joining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bonuses and other remuneration to employees, including for retention purposes;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our ADSs may cause our operating expenses and cash expenditures to increase as a result of vesting of restricted share units (“RSUs”) and cash-settled awards;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strategic investments, acquisitions or divestitures that we might undertake, and the timing thereof;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nature of our investment in any new products or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inventory correction in or affecting the semiconductor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 and the markets of our customers’ end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technological or other changes in the semiconductor industry, including consolidation among our customers;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economy (such as inflation, rising interest rates or a recession), disruptions in the global supply chain (including shortages of critical semiconductor components and chips) or regulatory changes that impact the semiconductor industry;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regulatory, legal or economic conditions or geopolitical turmoil (including PRC-Taiwan relations), including terrorism, war (including the ongoing conflict between Russia and Ukraine and conflicts in the Middle East) or political or military coups, state-sponsored or politically motivated cyberattacks, or foreign and domestic civil disturbances or political instability;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accounting policies and accounting standards applicable to us, and changes to key accounting estimates and judgments applied by us.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Accurate prediction of the timing of inception of new licenses and renewals of existing licenses is difficult because the development of a business relationship with a potential customer may frequently span a year or more. The fiscal quarter in which a new or renewed license agreement will be entered into, if at all, is difficult to predict, as are the financial terms of any such agreement.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license and royalty revenues are also affected by market conditions in the industries in which our customers operate, particularly in the semiconductor industry, which is cyclical by nature and impacted by broad economic factors, such as worldwide gross domestic product and consumer spending. The semiconductor industry has experienced significant and sometimes sudden and prolonged downturns in the past, including in recent years as a result of supply chain constraints.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these factors and others, many of which are outside of our control, it may be difficult for us to provide accurate forecasts of our revenues and results of operations for future periods, and such factors and others could have a material adverse effect on our business, competitive position, results of operations, financial condition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Customers may decide to license our architecture and develop their own processors based on our architecture, rather than utilize our processor products pursuant to an implementation license.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customers may decide to license our ISA and develop their own processors based on our ISA, rather than utilize our predeveloped products through an implementation license, resulting in less fees paid to us. Customers may choose to develop their own processors if they believe they can do so more effectively than us or if supply and capacity constraints within the semiconductor industry further incentivize vertical integration in an effort to secure additional control over their supply chains. Some of these customers may have greater name recognition and substantially greater financial, management, marketing, service, support, technical, distribution and other resources than we do. If our customers, and particularly one or more key customers from whom we generate a significant portion of our total revenues, elect to develop their own processors based on our ISA, the market for our developed processor portfolio would decline, which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revenue comes from a limited number of customers, which exposes us to greater risks than if our customer base were more diversified.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significant portion of our total revenue is generated from a limited number of key customers. In particular, our top five customers (including Arm China) collectively accounted for approximately 54%, 57% and 56% of our total revenue for the fiscal years ended March 31, 2024, 2023 and 2022, respectively, and our largest customer individually, Arm China, accounted for approximately 21%, 24%, and 18% of our total revenue, respectively, during those fiscal years. As a result of this customer concentration, we are particularly susceptible to adverse developments affecting our key customers and their respective businesses, including industry downturns, decreased demand for their products, increased competition, changes in trade protection and other government policies, financial hardship and changes in their business model, purchasing behavior and strategic priorities, among other factors, many of which are beyond our control. In particular, developments in our key customers’ respective businesses that adversely affect their ability to satisfy their payment obligations to us or result in their determination not to continue or expand their use of our products would have a material adverse impact on our revenue and results of operations to a greater extent than if our customer base were more diversified. Our customer concentration also has afforded certain customers significant bargaining power, which has, in some cases, resulted in pricing or other contractual terms that are less favorable to us. For example, subject to certain limitations, certain of our contracts with key customers contain provisions allowing such customers to obtain licenses to our latest products as soon as they are made available to any other customer. If we were to lose one or more of our key customers or if our business with one or more key customers were to decrease significantly, whether as a result of external impacts on the business of those customers, or, for example, as a result of disputes with such customers with respect to pricing models, there are no assurances that we would be successful in identifying and contracting with one or more customers to replace any lost revenue, which would materially and adversely affect our business, results of operations, financial condition and prospects.</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semiconductor and electronics industries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number of business combinations, including mergers, asset acquisitions and strategic partnerships, have been consummated among our customers in the semiconductor and electronics industries, and more could occur in the future. Consolidation among our customers could lead to a loss of customers, increased customer bargaining power, or reduced customer spending on our products, each of which could have a material adverse effect on our business, results of operations, financial condition and prospects. For example, in the past, some of our larger customers who have negotiated lower pricing models have acquired customers with higher pricing models. In some cases, we have been, and in the future may be, required to renegotiate the pricing model with the acquired company or to honor the lower pricing model applicable for the acquiring customer while providing the same products prior to the acquisition by the larger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predominantly come from a limited number of end markets.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Royalty revenue from mobile applications processors constituted approximately 35% of our royalty revenue for the fiscal year ended March 31, 2024. In these end markets, our substantial existing market share may limit opportunities for future growth. Additionally, demand in these markets may be adversely impacted if consumers reduce their purchases of smartphones and consumer electronics as a result of changes in consumer behavior. If these end markets do not expand, we may be unable to continue to grow our revenues significantly from these markets, if at all. Additionally, circumstances outside of our control, such as the invention of new technologies, could adversely affect the smartphone and consumer electronics markets as a whole, which would have a material adverse impact on our revenue, profitability, and ability to attract new customers.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products are extensible and have been licensed and used in various other target end markets. While these new target markets represent a meaningful opportunity for us, they may not grow or develop as quickly as we expect them to. Furthermore, it could take years to reach a market share similar to our position in smartphones and consumer electronics.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microprocessor architectures such as x86 and RISC-V may already exist across all of these markets, or may be developed for applications within these markets. For applications in markets such as computing, data centers, networking and servers, competing microprocessor architectures, such as x86, already have a large, well-established customer base and are supported by a broad base of related software and development tools. These markets represent a significant portion of our revenue growth opportunity, and they also introduce new sources of competition, including, in some cases, incumbent competitors with established technologies, ecosystems, and customer bases, lower prices or costs, and greater brand recognition. These new markets may not grow as projected or at all, and we may not realize an adequate return on our investments. Due to the interdependence of various components in the products in which our architecture and our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competitors’ architectures are used, customers are unlikely to change to another product, once adopted, until the next generation of a technology. As a result, even if our products are superior to alternative offerings, it may be difficult for our products to displace alternative technologies as a result of high switching costs to change to our products, including the need for potential customers to make significant investments in additional training and development tools and to convert software for existing devices. Additionally, to the extent our competitors have done business with prospective customers for a long period of time and have established relationships, our competitors may have information regarding future trends and requirements of such prospective customers that may not be available to us. If any of these markets do not develop as we currently anticipate or we fail to establish ourselves in these new markets, we could suffer a material adverse effect on our competitive position and business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Fragmentation of the global semiconductor market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sell our products across the semiconductor industry globally and rely on various markets across the world to generate revenue. The global market for our products, both where we are already established and new markets we intend to enter, may be impacted by geopolitical factors. A shift towards geopolitical rivalry could lead to the fragmentation of the global semiconductor market, as certain countries want more end-to-end control over architecture, leading to increased architectural fragmentation and a reduced role for a global architecture. Countries may take political decisions to enforce the use of an alternative architecture, or locally generated implementations for certain use cases, to make their country more resilient in the case of trade barriers or for national security reasons. For us, this could lead to increased costs to support region specific products, reduced revenue as a result of lost investment in territories that no longer use our products and potential market loss and loss of future licensing opportunities, all of which could have a material adverse effect on our business, results of operations, financial condition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new products in response to, or in anticipation of, rapid technological changes in our industry or the industries we serve, our business may be materially and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market for our products is characterized by rapidly changing technology and end-user needs. For example, improvements are rapidly being made in AI, cloud computing, data centers, image sensors, machine learning (“ML”) and the metaverse, among other technologies. Furthermore, the once-rapid improvements in semiconductor transistor density, with consequent reductions in cost and power consumption, are decelerating, and further innovation will become incrementally more difficult and expensive to achieve. As a result of these rapid technological changes and others currently unknown, the future market for our products is difficult to predict. These risks are further exacerbated by the fact that our products often use a common architecture for multiple end markets and our new architecture products often are based on legacy products. Therefore, if our architecture were rendered uncompetitive, obsolete, or otherwise unmarketable it may impact multiple products and may cause us to expend significant resources and incur significant expenses to develop a new architecture.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reputation and relationships with our third-party partners could be adversely affected if we cannot develop technological improvements or adapt our products to technological changes on a timely basis. Whether we will be able to compete in the future will substantially depend on our ability to advance our products to meet these changing market and end-user needs and to anticipate successfully or respond to technological changes in hardware, software and architecture standards on a cost-effective and timely basis. There is additional risk that public opinion regarding products that enable or enhance AI and ML technologies may not be consistent with our expectations, or that market acceptance of such products may be slower than anticipated. For example, failure to achieve widespread acceptance of and to generate significant revenues from AI and ML technologies could materially and adversely impact our business and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requires us to expend significant resources without assurances that we will generate revenue in the amounts we anticipate, on the expected timeline or at all.</w:t>
      </w:r>
    </w:p>
    <w:p>
      <w:pPr>
        <w:spacing w:after="0" w:line="159"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We will have to make significant expenditures to continue developing our semiconductor products and other products. The long development time of generally five or more years from the initial design of our semiconductor products until its incorporation into new end-user applications can place significant strain on our financial resources and personnel. Despite these investments, there can be no assurances that we will realize the financial benefits of our development efforts in the amounts we anticipate, on the expected timeline or at all. For instance, in the past we have experienced delays in the development of certain of our products, which then delayed product deployment and the associated revenues. This risk may be further exacerbated in respect of any new products or solutions that we may develop in the future, are for a new market,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or are solutions that we have not previously offered which may require the build-out of any additional capabilities, relationships and infrastructure.</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our products in our target markets, our business will suffer. A market shift towards an industry standard that we do not currently support and for which we are not currently developing new products could significantly decrease the demand for our products. Despite these uncertainties, we devote substantial financial and other resources, including design, engineering, sales, marketing, and management efforts, to developing and marketing our products in anticipation of incorporation into new end-user applications. Additionally, our competitors may have a competitive advantage if their assessments relating to market adoption of new technologies prove to be more accurate than our assessments. Our failure to anticipate or timely develop new or enhanced products in response to changing market demand could result in the loss of customers and decreased revenue and have a material and adverse effect on our business, cash flows, results of operations and prospects.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we develop and introduce new products, we face the risk that customers may not value or be willing to bear the cost of incorporating these newer products into their chips, including increases in royalty rates for such new products (as compared to existing products), particularly if they believe their customers are satisfied with the current products or unwilling to pay for improved products. Regardless of the improved features or superior performance of the newer products we develop, customers may be unwilling to adopt our new products for a variety of reasons, including design or pricing constraints. Moreover, the complexity and expense associated with our products generally requires a lengthy customer education, evaluation and approval process. Further, economic conditions, including economic downturns and rising rates of inflation, may adversely impact our ability to license products by making it difficult for our customers to plan future business activities, which could cause customers to limit spending or delay decision-making.</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be successful in developing and licensing new products and may experience difficulties or delays that would prevent the successful development, introduction and marketing of new products, and any new products that we may introduce may not achieve market acceptance and generate royalty revenues and profits in the amounts we anticipate, on the expected timeline or at all, which could materially and adversely affect our business, cash flows, results of operations and prospects. These risks are further exacerbated by our focus on developing and marketing high-value products, which naturally require more resources to develop.</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years ended March 31, 2024, 2023, and 2022, revenues from the PRC accounted for approximately 22%, 25% and 18% of our total revenue, respectively, including both direct revenues and revenues derived from our relationship with Arm China. Our revenues in the PRC are derived from PRC semiconductor companies and OEMs, and from non-PRC semiconductor companies and OEMs that utilize our products in chips and end products they sell into the PRC, which, by country, has the largest number of smartphone users in the world. Our failure to maintain PRC-sourced revenues, access new and existing markets in the PRC or gain traction for new business areas in the PRC, or our loss of market share to competition in the PRC, could materially and adversely affect our results of operations and competitive position.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PRC is a significant source of semiconductor industry revenues. However, the near-term growth prospects of the PRC semiconductor industry and related industries are unclear due to the uncertain effects of trade and national security policies, continued elevated levels of private and public indebtedness and related policies. For the fiscal year ended March 31, 2024, our total revenues derived from the PRC have increased by 6% as compared to the prior fiscal year, mainly due to royalty revenues returning to growth in the latter half of the year. However, it is still premature to determine if this positive trend in royalty growth will continue. License revenues declined in the same period, and given the uncertainty driven by the foregoing factors, it is possible that a long-term decline or plateauing of license revenues derived from the PRC could occur. A prolonged downturn or slow recovery in the PRC semiconductor industry or the PRC economy generally could materially and adversely affect our results of operations and competitive position.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Political actions, including trade and national security policies of the U.S. and PRC governments, such as tariffs, placing companies on restricted lists, export controls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Given our revenue concentration in the PRC, if, due to actual, threatened or potential U.S., U.K. or PRC government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actions or policies: Arm China is further limited in, or prohibited from, licensing our products to PRC semiconductor companies and OEMs; our non-PRC semiconductor companies and OEM customers were limited in, or prohibited from, selling devices into the PRC that incorporate our products; PRC semiconductor companies and OEMs develop and use their own technology or use our competitors’ technology in some or all of their devices; or our PRC customers delay or cease making payments of license fees owed, our business, revenues, results of operations, cash flows and financial condition could be materially harmed.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and U.K. have trade and national security policies regarding exports to the PRC of technology with potential military uses that would require us to obtain export licenses for certain processors, which can be difficult to obtain. For example, the highest performance processor in our Neoverse series of processors meets or exceeds performance thresholds under U.S. and U.K. export control regimes and thereby triggers U.S. and U.K. export license requirements prior to export and delivery to customers in the PRC. Given that national security concerns are higher for high-performance computing (“HPC”) technologies destined for the PRC and government response timelines are not defined, it can be challenging and unpredictable to obtain such export licenses. Combined with customer need for certainty, we have been able to address customer demand by licensing other central processing unit (“CPU”) cores that do not exceed the HPC performance export control thresholds but yet still present a compelling solution. Although our inability to sell such Neoverse processor into the PRC has not had a material impact on our business to date, future restrictions on sales of our products into the PRC could have a material adverse impact on our business.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9, 2023, President Biden issued an executive order addressing investments by U.S. persons in companies located in the PRC that engage with certain categories of sensitive technology and products, including semiconductors and microelectronics, quantum information technologies and artificial intelligence. The executive order requires regulations that would implement limits on such investments and was accompanied by an advance notice of proposed rulemaking that outlines proposed regulations; however, the proposed regulations do not have immediate effect, are subject to public comment and a further rulemaking process and will not become effective until the rulemaking process is complete at some time in the future. While we believe it is possible that such regulations may impact our PRC customers, our suppliers, Arm China, or our business with respect to China, given the uncertainties with respect to the timing and ultimate requirements of these regulations, we are unable to assess the extent of any such impact.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Finally, government policies in the PRC that regulate the amount and timing of funds that may flow out of the country have impacted and may continue to impact the timing and/or ability to receive funds generated from PRC-related revenues, which may negatively affect our cash flows.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commercial relationship with Arm China to access the PRC market. If that commercial relationship no longer existed or deteriorates, our ability to compete in the PRC market could be materially and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our PRC-related revenue is earned through the intellectual property license agreement (“IPLA”) with Arm China, pursuant to which, among other things, we granted Arm China certain exclusive rights to sublicense our IP to PRC customers. We expect that our licensing relationship with Arm China will continue to account for substantially all of our total revenues from the PRC and represent a significant portion of our revenues for the foreseeable future. It would be difficult for us to replace any lost PRC-sourced revenue in the event that our commercial relationship with Arm China were to terminate or deteriorate. Accordingly, we expect that Arm China will continue to provide our primary access to the PRC market for the foreseeable future. If we fail to maintain our commercial relationship with Arm China, our access to the PRC market could be materially diminished and our business, results of operations, financial condition and prospects for growth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Neither we nor SoftBank Group control the operations of Arm China, which operates independently of 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our significant reliance on Arm China through our commercial relationship with them, both as a source of revenue and as a conduit to the important PRC market, Arm China operates independently of us. On March 28, 2022, we transferred our entire equity interest in Arm China to a subsidiary of SoftBank Group. As of the date of this Annual Report,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Furthermore, we do not have any direct management rights with respect to Arm China, such as a right to representation on Arm China’s board of directors, although Mr. Haas, our chief executive officer (“CEO”), continues to serve on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board as an appointee of the SoftBank Group affiliate holding Arm’s former equity interest in Arm China. Following the transfer of our interest in Arm China to a subsidiary of SoftBank Group, under the terms of the Arm China arrangement, the SoftBank Group affiliate holding Arm’s former equity interest in Arm China is entitled to appoint a minority of the directors of the board of Arm China, and SoftBank Group’s appointees are unable to unilaterally implement certain measures that require action by all of or a supermajority of the directors of Arm China.</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fact that Arm China operates independently of us exposes us to significant risks. Arm China’s value to us as a customer is dependent on Arm China’s business results, which are, in turn, subject to substantial risks that are outside of our control. For example, Arm China may not commit the necessary resources to market and sell our products to PRC end-users of our semiconductor IP products. Arm China also may fail to comply with the laws and regulatory requirements applicable to its business, which could limit its ability to market or sell our products in the PRC. In addition, Arm China may fail to attract, train, retain and motivate highly skilled managerial and technical personnel necessary for its business. Arm China may also have difficulties accessing funding or enforcing contractual relationships. The realization of these or other risks related to Arm China’s business may have a material adverse effect on Arm China’s business, results of operations, financial condition and prospects and, by extension, our own. Since Arm China operates independently of us and we do not control Arm China, our ability to take measures to address the various risks facing Arm China is limited. If any of such risks related to Arm China’s business are realized, our revenue could materially decline and our results of operations could be materially adversely affected.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IPLA with Arm China, Arm China’s payments due to us are determined based on the financial information that Arm China provides to us. Accordingly, similar to our other royalty customers, we are dependent on Arm China providing us with reliable and timely information. We perform various procedures to assess the reasonableness of Arm China’s data, and the IPLA includes rights for us to audit Arm China’s activities to ensure compliance with the IPLA. In the past, we have had issues obtaining timely and accurate information from Arm China. We believe the underlying problems causing our past inability to obtain such information have been resolved, but we can provide no assurances that our access to Arm China’s records will not be inhibited again in the future. If Arm China does not provide us with timely and accurate information, our revenue could materially decline and our results of operations could be materially adversely affected. We are also dependent on Arm China paying us the amounts that it owes us in a timely manner and in full. In the past, we have received late payments from Arm China and have had to expend company resources to obtain payments from Arm China. Although these historical issues did not have a material impact on our operations, any future failure to pay us the amounts we are owed under the IPLA could have a material adverse effect on our business, results of operations, cash flows and financial condition.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Arm China has possession of or access to certain material IP and customer data pursuant to the IPLA and other commercial arrangements with us. Although Arm China is contractually obligated to protect this IP and data, we are limited in our ability to monitor or influence the manner in which Arm China protects our IP and data from theft, loss or misuse. Arm China operates its own separate information technology infrastructure. Aside from customary audit rights and protections under the IPLA, we are therefore unable to independently assure the adequacy of protections that Arm China implements with respect to its possession and/or access to our IP and data.</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IPLA with Arm China, we are contractually obligated to indemnify both Arm China and its PRC customers that sublicense our IP in the event that either Arm China or such customers incur damages or costs in lawsuits, administrative proceedings or similar actions based upon a claim that our IP infringes the IP of a third party. The liability that we incur to Arm China or its PRC customers under such provisions could be significant and have a material adverse effect on our results of operations and liquidity.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since April 2022, Allen Wu, the former Chief Executive Officer of Arm China, and certain entities under his effective control, have initiated several lawsuits in the courts of the PRC seeking to challenge certain aspects of Arm China’s corporate governance and the actions of Arm China’s board of directors. To date, all cases that have been resolved at the trial court level have been resolved favorably to Arm China, but certain of those cases remain subject to appeal. In the event that certain of these cases were to be decided adversely to Arm China, it could result in further changes to Arm China’s corporate governance and management structure, which could reduce SoftBank Group’s ability to conduct effective oversight of Arm China and result in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increasing competition with PRC companies that develop their own IP.</w:t>
      </w:r>
    </w:p>
    <w:p>
      <w:pPr>
        <w:spacing w:after="0" w:line="22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Due to various factors, including pressure, encouragement or incentives from, as well as the policies of, the PRC government (whose “Made in China 2025” campaign targets 70% semiconductor self-sufficiency by 2025), concerns over actual, threatened or potential U.S., U.K. or PRC government actions or policies, including trade or national security policies, or other reasons, PRC semiconductor companies and OEMs may increasingly develop their own technology and use such technology in their devices, or use our competitors’ technology in their devices. Specifically, the PRC government’s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Five-Year Plan and related initiatives have identified the development of globally competitive PRC companies in “core technologies” such as semiconductors as a key policy focus. As part of a government-wide effort to encourage investment and development of domestic semiconductor capabilities, the PRC government could encourage financing opportunities to our competitors in the PRC on favorable terms, or influence major PRC customers to favor adoption of IP of our competitors in the PRC over our own IP.</w:t>
      </w:r>
    </w:p>
    <w:p>
      <w:pPr>
        <w:spacing w:after="0" w:line="1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Arm China, although the terms of the IPLA with Arm China prohibit Arm China from developing microprocessor cores and only allow Arm China to develop derivative products using Arm IP with our consent, Arm China may independently develop competitive products other than microprocessor cores and could divert customer interest from our products to increase its market share to our detriment. The realization of any such risks could materially harm our business, results of operations, cash flows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future operating results may be materially and adversely affected by global economic conditions and other events outside of our control.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its recent report, Global Economics Prospects, January 2024, the World Bank reported that global growth is projected to slow to 2.4% in 2024—the third consecutive year of deceleration—reflecting the lagged and ongoing effects of tight monetary policies to rein in decades-high inflation, restrictive credit conditions, and anemic global trade and investment. We are subject to risks arising from adverse changes in global economic conditions. In particular, due to economic uncertainties in many of our key markets, our customers and their customers may delay, suspend or reduce technology purchases and investments and/or delay their payments to us.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Economic conditions could continue to deteriorate in the future, and, in particular, the semiconductor and electronics industries could fail to grow, including as a result of the effects of, among other things, rising inflation and interest rates, a sustained global semiconductor shortage, supply chain disruptions, public health crises and any disruption of international trade relationships such as tariffs, export licenses or other government trade restrictions. In addition, adverse economic conditions affect demand for devices that our products help create, such as smartphones, automobiles and servers. Longer-term reduced demand for these or other devices could result in reduced demand for our products and significant decreases in our licensing fees and royalty revenues over time. In addition, if our customers or distributors build elevated inventory levels, we could experience a decrease in short-term and/or long-term demand for our products. If any of these events or disruptions were to occur, the demand for our products could be materially adversely affected along with our business, results of operations, financial condition and prospects.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and operating results are also vulnerable to interruption by other events outside of our control, such as earthquakes, fire, extreme weather events, power loss, telecommunications failures, political instability, geopolitical turmoil, such as the war in Ukraine, conflicts in the Middle East, and any sanctions, export controls or restrictions on doing business with Russia and Belarus, or with other countries (including the PRC), as well as any resulting disruption, instability or volatility in the global markets and industries resulting from such conflict, pandemics, military conflict and uncertainties arising out of terrorist attacks, including a global economic slowdown, the economic consequences of a resurgence and escalation of the trade war between the U.S. and the PRC, the potential for conflict in Taiwan and the associated disruptions to, or effects on, the semiconductor industry, uncertainties resulting from the U.K.’s withdrawal from the European Union, commonly referred to as Brexit, military action or terrorist activities and associated political instability. Economic or political instability may undermine consumer confidence and/or cause current or potential customers, including the end customers of our customers or potential customers, to reduce or delay their technology purchases and investments. Such events could also materially adversely affect our ability to operate and supply our products to our customers.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Brexit has caused, and may continue to cause, uncertainty with respect to the future of the U.K.’s economic and political relationship with the European Union, which could increase taxes and costs of business and cause heightened volatility in currency exchange rates and interest rates. Continued uncertainty and events related to Brexit could have a negative impact on consumer confidence and wages, leading to a decrease in the gross domestic product of the U.K. Brexit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could also adversely affect the political, regulatory, economic or market conditions in the U.K., the European Union and worldwide, and could contribute to instability in political institutions, regulatory agencies and financial markets.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government-insured limits. If banks and financial institutions, including financial institutions at which we maintain deposits, enter receivership or become insolvent in the future in response to financial conditions affecting the banking system and financial markets or otherwise, our ability and our customers’ ability to access cash, cash equivalents and investments may be threatened.</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factors could cause customers to delay, decrease or cancel the licensing of our products and could expose us to increased credit risk on customer obligations owed to us, each of which could have a material adverse effect on our business, results of operations, financial condition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revenue could be adversely affected by customer payment delays, customer bankruptcies and defaults or modifications of contractual commitments.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customers have and may continue to, and others in the future may, face challenging financial or operating conditions, including due to macroeconomic conditions or catastrophic events or other factors,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certain of our customers have in the past sought, and customers may in the future seek, to renegotiate pre-existing contractual commitments. Payment defaults by our customers or significant reductions in existing contractual commitments could have a material adverse effect on our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Sustained inflation or a global or regional recession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Inflation rates in the markets in which we operate have increased and may continue to rise. Sustained or increasing inflation could increase our operating expenses, including labor costs and research and development expenditures, or result in employee attrition to the extent our remuneration does not keep pace with inflation, particularly if our competitors’ remuneration does. Further, inflationary pressures may increase costs for our customers and reduce demand for our products or our customers’ products due to increased prices. In addition, some of our long-term licenses include an annual increase in license fees. However, these annual increases may fall below the then-current rate of inflation, which could make maintaining these licenses less profitable than we had anticipated when we originally signed the license. To the extent inflation results in rising interest rates and has other adverse effects on the market, it may further adversely affect our business, results of operations, financial condition and prospects.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as inflation rates and interest rates start to come down, the risk of recession increases. A recession, or even fear of recession, could impact regions of the world and could spread globally. This could impact consumer confidence reducing demand for our customers’ products and services, which would have a direct impact on our royalty revenue, and could also result in reduced research and development activity by our customers, reducing the need for new processors, and so impacting license revenue. To the extent recession, or the fear of recession, has adverse effects on the market, it may adversely affect our business, results of operations, financial condition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epidemic, pandemic or other health crisis could materially and adversely affect our business, results of operations, financial condition and prospects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Public health crises, including the COVID-19 pandemic and the emergence and spread of COVID-19 variants, have previously resulted in significant economic uncertainty, significant volatility in business and consumer confidence and global consumer demand, and a global economic slowdown. Government policies and other preventive and precautionary measures that governments and businesses have implemented in the past to limit the spread of an epidemic, pandemic or other health crisis, including, but not limited to, travel bans and restrictions, quarantines, shelter-in-place and social distancing orders, declarations of states of emergency and shutdowns, have exacerbated these issues.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unable to accurately predict the impact that a public health crisis could have on our business, results of operations, financial condition and prospects due to uncertainties, including the existence, severity and duration of future outbreaks and additional actions that may be taken by businesses and governmental authorities. Nevertheless, to the extent a health crisis adversely affects our business, it may also have the effect of heightening many of the other risks described in these risk factors relating to our business and industry, such as those relating to demand for end products incorporating our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products. The cumulative effects of these developments could have a material adverse effect on our business, results of operations, financial condition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fund our research and development efforts may materially impair our ability to compete effectively.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remain competitive, we must continue to innovate and develop new products, applications and enhancements to our existing products and services, particularly as next-generation technology is adopted by market participants. Allocating and maintaining adequate research and development resources, such as the appropriate personnel and development technology, to meet the evolving demands of the market is essential to our continued success, but our allocations may be inadequate or we may pursue research and development initiatives based on assumptions about future demand that prove to be incorrect. Our competitors may expend considerably greater resources to support their respective research and development programs than we do, which may give our competitors a competitive advantage.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fund research and development expenditures depends on generating sufficient revenue and cash flow from operations and the availability of external financing, if necessary. Our research and development expenditures, together with other ongoing operating expenses, is a substantial drain on cash flow and may decrease cash balances, which may limit our ability to pursue other potentially attractive initiatives. On the other hand, if we allocate our resources to such other potentially attractive initiatives or pay dividends to our shareholders, our research and development efforts may be harmed or we may need to seek external financing in order to fund our efforts. If new competitors, technological advances by existing competitors, other competitive factors or market changes require us to invest significantly greater resources than anticipated in research and development efforts, total operating expenses would increase. If we are required to invest significantly greater resources than anticipated in research and development efforts without an associated increase in revenue, our operating results could decline.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in determining the appropriate allocation of research and development resources, our management continuously evaluates opportunities to develop new technologies and advanced products. In order to respond to expressed or anticipated customer demand and/or to take advantage of expected market opportunities, we continually consider the optimal allocation of resources across our business, including to existing product lines and to research and development of new technology offerings, including technologies beyond individual design IP elements. Based on management’s expectations for current and projected market demand, the allocation of resources to any of these may be increased or reduced over time.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our processors often run software created by independent software vendors or through open-source communities. Each end market has its own ecosystem of software and tools providers, including from open-source communities. These ecosystems need to be supported by our engineers and resources, and by our customers, including, from time to time, through direct monetary investment. In some circumstances, we may also need to subsidize or fund our customers’ research and development efforts. Insufficient investment may result in the ecosystems and/or customers providing better support for end products not based on our products leading to systems companies not choosing chips based on our products, which would result in a reduction in our revenues.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to the extent that we do not have the technical expertise, financial resources or other capabilities for a particular research and development project, we may partner with third parties, including SoftBank Group and/or its affiliates. In such circumstances, we rely on third parties over which we exercise little or no control. Further, we can provide no assurances that any such third parties will dedicate the resources, or have the requisite technical or other capabilities, necessary to achieve our and/or our customers’ expectations.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semiconductor industry relies on a limited number of companies to manufacture chips and related products. The chip manufacturing operations of these companies are concentrated in certain geographic regions, including Taiwan and other parts of East Asia, which makes us susceptible to adverse developments in these regions’ economic and political conditions, particularly to the extent that such developments create an unfavorable business environment that significantly affects our and our customers’ operations. These manufacturers or the geographic regions in which they operate may be impacted by events outside of our or their control, including, among other things, company-specific operational issues, trade conflicts and military action or terrorist activities and associated political instability, any of which could have 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material adverse effect on our business, results of operations, financial condition and prospects. Although the governments of certain countries, including the U.S., have taken actions to make their countries more attractive for chip manufacturing operations, there can be no assurances that the current geographic concentration of chip manufacturing will be meaningfully changed in the near term or at all.</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escalation in geopolitical tensions in Asia, particularly between the PRC and Taiwan, could significantly disrupt semiconductor chip manufacturing and interrupt the global semiconductor chip supply chain. A significant portion of the world’s semiconductor manufacturing is in Taiwan, and increased geopolitical tensions there could exacerbate supply chain disruptions. In addition, the war in Ukraine and conflicts in the Middle East could lead to market disruptions and exacerbate current supply chain constraints, including with respect to certain materials and metals, which are essential in semiconductor manufacturing.</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technologies, such as AI and ML, may use algorithms that are not suitable for a general purpose CPU, such as our processors, and the failure to successfully implement new technologies in our processors could have a material adverse effect on our business, competitive position, results of operations, financial condition and prospects.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technologies, such as AI and ML, may use algorithms that are not suitable for a general purpose CPU, such as our processors. Consequently, our processors may become less important in a chip based on our products, thus eroding its value to the customer and resulting in lower revenue for us. If we are unable to develop and commercialize processors that are compatible with new technologies or competitors are successful in developing compatible technologies more quickly or efficiently than we can, our business, competitive position, results of operations, financial condition and prospects may be materially and adversely affected. In addition, the introduction of new technologies, such as AI and ML, into our processors may increase IP, cybersecurity, operational, data protection and technological risks and result in new or enhanced governmental or regulatory scrutiny, litigation, ethical concerns, or other complications that could materially and adversely affect our business. As a result of the complexity and rapid development of new technologies, it is not possible to predict all of the legal, operational or technological risks related to use of such technologies.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will need additional personnel to grow our business, and the loss of one or more key employees or our inability to attract and retain qualified personnel could harm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integrate, retain and motivate our management team and other key personnel and we are particularly dependent on our senior management team, including Mr. Haas, our Chief Executive Officer, Mr. Child, our Chief Financial Officer, Mr. Collins, our Chief Legal Officer, Mr. Grisenthwaite, our Chief Architect, and other key employees. Competition for highly skilled personnel, and particularly engineers, can be intense. Other companies may be successful in recruiting and hiring members of our management team or other key employees, and it may be difficult for us to find suitable replacements on a timely basis, on competitive terms or at all. We experience voluntary attrition on an ongoing basis, and we reduced overall headcount as part of a restructuring that was completed in June 2022 to address duplicative work functions and deprioritize certain initiatives within the Company. Circumstances may require a further reduction in the overall size of our organization, which may present challenges in managing and growing our business. If we lose the services of any of our senior management personnel, other key personnel or a significant number of our engineers or sales and marketing personnel, our development efforts or business relationships could be disrupted, which could have a material adverse effect on our business, results of operations, financial condition and prospects. Our future success significantly depends on our ability to identify, attract, motivate and retain qualified engineers with the requisite educational background and industry experience. Competition for such qualified engineers is intense and the cost of attracting and retaining qualified employees may increase without a corresponding increase in the prices we charge our customers, which could materially and adversely affect our profitability. In certain geographic regions, there is also intense competition for sales and marketing personnel, which may adversely affect our ability to expand into new markets. Particularly, changes to the U.K.’s border and immigration policy could occur as a result of Brexit, potentially affecting our ability to recruit and retain employees from outside the U.K. If we are unsuccessful in attracting and retaining qualified personnel to fulfill our current or future needs, our business, results of operations, financial condition and prospects could be materially and adversely affected.</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 pressures or market opportunities may necessitate reductions in our pricing or change our business terms or business model, which could materially and adversely affect our business, results of operations, financial condition and prospects.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remain competitive in the highly competitive markets in which we do business, we may need to reduce the prices of our products or services or otherwise change the structure and terms of our customer relationships or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model. If our competitors offer significant discounts on certain products in an effort to recapture or gain market share or to sell other software or hardware products, we may need to lower our prices or offer other favorable terms to compete successfully. Any such changes would likely reduce our profit margins and could have a material adverse effect on our business, results of operations, financial condition and prospects. Any substantial changes to our other commercial arrangements with our customers or our business model could cause revenues to decline or be delayed as our sales force implements and our customers adjust to the commercial arrangements or business model. Changes to our business model could also necessitate changes in our product mix, which could cause revenues or profitability to decline, particularly if such changes in our product mix result in an increased reliance on lower margin offerings. If we cannot offset price reductions with a corresponding increase in sales volume or by reducing our costs, then the reduced revenues resulting from lower prices could have a material adverse effect on our business, results of operations, financial condition and prospects.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in the future, in response to market opportunities, we may offer new products or services that may directly compete with the products and services of some of our customers or partners, including, without limitation, new products in our IP portfolio, as well as solutions beyond individual IP designs such as RTL-based compute subsystems, GDSII-based compute subsystems, chiplets and complete end chip solutions. Many of our customers license our IP to create products that may compete with any such new products. Accordingly, any such developments in our product offerings, and other future changes to our products and services, may create real or perceived competitive conflicts with companies that are important to our business, and as a result of such competition, such customers or partners may terminate or materially reduce their relationship with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it is crucial for the market acceptance of our products to have available development tools, systems software, EDA software and operating systems that are compatible with our products. Although we currently work with other third-party partners to offer such tools and software compatible with our products, we cannot assure you that such tools and software are or will continue to be sufficient to support customers’ needs, that our existing partners will continue to offer such tools, software and operating systems compatible with our products, or that we will continue to attract additional tools, software and operating systems partners. 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Participation in standards-setting organizations may subject us to IP licensing requirements or limitations that could adversely affect our business and prospects.</w:t>
      </w:r>
    </w:p>
    <w:p>
      <w:pPr>
        <w:spacing w:after="0" w:line="14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Our participation in standards-setting organizations or with other industry initiatives may require us to license our patents or products to companies that adopt industry-standard specifications. Depending on the rules of the organization, government regulations, or court decisions, we may be required to grant to all other participants licenses to our patents or products that are essential to the practice of those standards for little or no cost, or otherwise on reasonable and non-discriminatory (“RAND”) terms. RAND typically is used to describe a voluntary licensing commitment that standards-setting organizations often request from the owner of an IP right that is, or may become, essential to practice a technical standard. Accordingly, RAND terms could limit our control over the use of these patents and products. If we fail to limit to whom we license our patents or products, or fail to limit the terms of any such licenses, we may be required to license our patents or other IP to others in the future, which could limit the effectiveness of our patents against competitors. In these situations, the royalty rates we charge could be limited for these products, and we may be unable to limit to whom we license such products or to restrict many terms of the license. As a result, we may be unable to enforce certain patents against others, our costs of enforcing our licenses or protecting our patents may increase, and the value of our IP rights may be impaired. We may in the future be subject to claims that our licensing of industry standard technologies may not conform to the requirements of the standards-setting organization. Allegations such as these could be asserted in private actions seeking monetary damages and injunctive relief, or in regulatory actions. Claimants in such cases could seek to restrict or change our licensing practices or our ability to license our products. Any of the foregoing could have a material adverse effect on our business, results of operations, financial condition and prospects.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products may decrease.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design certain of our products to conform to industry standards. Some industry standards may not be widely adopted or implemented uniformly, and competing standards may emerge that may be preferred by our customers or by our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third-party suppliers. In addition, existing standards may be superseded by new innovations or standards. Because our products often use a common architecture and our new architecture products often are based on legacy products, obsolescence of components or features of our products may have a more significant effect on our results of operations, financial condition and prospects than if our products were less interrelated. See </w:t>
      </w:r>
      <w:r>
        <w:rPr>
          <w:rFonts w:ascii="Times New Roman" w:cs="Times New Roman" w:eastAsia="Times New Roman" w:hAnsi="Times New Roman"/>
          <w:sz w:val="18"/>
          <w:szCs w:val="18"/>
          <w:i w:val="1"/>
          <w:iCs w:val="1"/>
          <w:color w:val="auto"/>
        </w:rPr>
        <w:t>“—Developing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requires us to expend significant resources without assurances that we will generate revenue in the amounts we anticipate, on the expected timeline or at all.”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governed by open-source licenses and we contribute to certain open-source projects, which under certain circumstances could materially adversely affect our business, results of operations, financial condition and prospects.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software, as well as that of our customers, third-party partners and vendors, may be derived from “open-source” software that is generally made available to the public by its authors or other third parties. Open-source software is made available under licenses that impose certain obligations on us in the event we were to distribute derivative works of the open-source software. These obligations may require us to make source code for the derivative works available to the public and/or license such derivative works under a particular type of license, rather than the forms of license we customarily use to protect our IP. In the event that the copyright holder of any open-source software were to successfully establish in court that we had not complied with the terms of a license for a particular work, we could be required to release the source code of that work to the public or stop distribution of that work if the license is terminated, which could adversely affect our business, results of operations, financial condition and prospects.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take steps to monitor the use of all open-source software in our products and try to ensure that no open-source software is used in such a way as to require us to disclose the source code to the related products when we do not wish to do so, such use could inadvertently occur. Additionally, if a third-party software provider has incorporated certain types of open-source software into software we license from such third party for our products, we could, under certain circumstances, be required to disclose the source code to our products. This could harm our IP position and have a material adverse effect on our business, results of operations, financial condition and prospects.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although some open-source vendors provide warranty and support agreements, it is common for such software to be available “as-is” with no warranty, indemnity or support. Some of our products use open-source libraries that could contain vulnerabilities, and these may be discovered at any time. These vulnerabilities are often disclosed publicly without forewarning to the users of the software. Accordingly, our products may contain vulnerabilities originating from open-source software without our knowledge, and we may not have the opportunity to address such vulnerabilities before they are disclosed to the public. Although we monitor our use of open-source software to avoid subjecting our products to unintended conditions or vulnerabilities, such use, under certain circumstances, could materially adversely affect our business, results of operations, financial condition, prospects and reputation, including if we are required to take remedial action that may divert resources away from our development efforts.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Finally, from time to time we contribute software source code to open-source projects under open-source licenses. Any source code we contribute to open-source projects is publicly available. As such, our ability to protect our IP rights with respect to such software source code may be limited or lost entirely, and we may be unable to prevent our competitors or others from using such contributed software source code. Any of these risks could be difficult to eliminate or manage, and could harm our IP position and have a material adverse effect on our business, results of operations, financial condition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for us to verify customer data, including royalty revenue amounts owed to us under our licensing agreements, and this may cause us to lose revenues.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seek to ensure that our customers adhere to the terms of our license agreements, including their obligation to provide certain data to us. We perform various procedures to assess customer data related to royalties for reasonableness, and our license agreements generally include rights for us to audit the books and records of our customers to verify certain types of customer data. However, audits can be expensive and time-consuming, and even after conducting an audit, it may still be challenging for us to verify the accuracy of information contained in customer royalty reports, or a customer could potentially object to the results of such audit. We can provide no assurances that our procedures to assess customer data and any audits that we undertake to verify the accuracy of our customers data will be successful. As a result, we may not always receive complete or accurate information (financial or otherwise) from our customers or obtain all royalty payments to which we are legally entitled, which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business model could have a material adverse effect on our business, results of operations, financial condition and prospects.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 the past made and may in the future make changes to our business model. We can provide no assurances that customers will accept these changes, which could result in lower revenues, particularly in the period immediately following the initial introduction of a new business model. In such case, we may not realize the anticipated financial benefits of such changes in the amounts we anticipate, on the expected timeline or at all. For example, we recently introduced new approaches to licensing certain of our products to our customers. As a result of introducing a relatively small annual fee under one new licensing model, for example, the payment by customers of fees under this new licensing model will be collected based on the negotiated annual fee leading to a deferral of upfront license fees that we have historically received under a technology licensing agreement (a “TLA”). This deferral of such licensing fees is expected to continue to have an adverse effect on our licensing revenue in the short term.</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increases in the number or value of licenses signed in the future may not materialize in the same way or at all under a new business model and, therefore, licensing revenue and royalty revenue may be lower than expected. Further, the use of a new business model may have unexpected consequences for our company, including making our products less attractive to current and prospective customers, which could have a material adverse effect on our business, competitive position, results of operations, financial condition and prospects.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changes in our business model may result in us entering new markets or offering types of solutions that we have previously not offered, which may require significant expenditures of resources. As described above, we have begun allocating resources to explore the viability of new products beyond individual design IP elements, including, without limitation, RTL-based compute subsystems, GDSII-based compute subsystems, chiplets and complete end chip solutions. To the extent that we pursue entry into new markets or offerings of different solutions, we may compete with other companies that may have a more developed IP portfolio for the applicable markets and solutions. Additionally, certain companies may be unlikely to change to another product, once adopted, until the next generation of a technology. See “—Our revenues predominantly come from a limited number of end markets.” Competing companies may be able to leverage these competitive factors to gain or maintain market share, which may limit our ability to capitalize on any market opportunity we identified. Accordingly, to the extent that we pursue entry into any new market or offer any new product or solution, we may not realize the anticipated financial benefits of such changes in the amounts we may anticipate, on our expected timeline or at all.</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engaged to design chips for one or more customers, we could be subject to a variety of risks, any of which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future, we may be engaged to supply chip designs for certain existing customers and other third parties, including affiliates of SoftBank Group, across a variety of use cases and end markets. We can provide no assurances that customers would engage us to supply custom chip designs or, even if one or more customers were to engage us, that we would be successful in designing chips for our customers’ intended use cases. Designing chips for one or more customers may necessitate substantial investments in technology and human capital, and it could take several years for us to realize any associated benefits, if ever. This may reduce our cash available for operations and other uses, which could hurt our ability to grow our business. In addition, any efforts to design chips may require substantial time and attention from our executives, engineers and other employees, which could distract them from operating our business, and divert attention and resources away from our core business. Further, in such circumstances, we may partner with third parties, which may include SoftBank Group and/or its affiliates, which may expose us to additional risks, including risks related to oversight of the project and quality control. See “</w:t>
      </w:r>
      <w:r>
        <w:rPr>
          <w:rFonts w:ascii="Times New Roman" w:cs="Times New Roman" w:eastAsia="Times New Roman" w:hAnsi="Times New Roman"/>
          <w:sz w:val="18"/>
          <w:szCs w:val="18"/>
          <w:i w:val="1"/>
          <w:iCs w:val="1"/>
          <w:color w:val="auto"/>
        </w:rPr>
        <w:t>—Failure to adequately fund our research and development efforts may materially impair our ability to compete effectively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any decision to design chips for customers may create real or perceived competitive conflicts with companies that are important to our business, and as a result of such competition, such companies might terminate or materially reduce their relationship with us, particularly if we agreed to design chips exclusively for certain customers. If our relationships with existing customers deteriorated or terminated as a result of any opportunistic expansion into chip designs, our business, results of operations and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acquisitions and investments, or successfully integrate them into our business, and we may be unable to divest businesses on acceptable terms or at all.</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consider a wide array of potential strategic transactions, including acquisitions of businesses, new technologies, services and other assets, joint ventures and strategic investments that complement our business. We may be unable to identify or complete prospective transactions for many reasons, including increasing competition from other potential acquirers or investors, the effects of consolidation in our industries or potentially high valuations of acquisition or investment candidates. Certain agreements to which we are subject from time to time may also contractually restrict our ability to make acquisitions and investments in some circumstances. In addition, applicable antitrust, national security (including with respect to the U.K. National Security and Investment Act 2021 or the Committee on Foreign Investment in the United States) or other laws or regulations may limit our ability to acquire, invest in or integrate targets, or may force us to divest an acquired business or impose restrictions on an investment. If we are unable to identify suitable targets or complete or successfully integrate acquisitions, our growth prospects may suffer, and we may not be able to realize sufficient scale and technological advantages to compete effectively in all markets. Acquisitions involve numerous risks, any of which could negatively affect our business, results of operations, financial condition and prospects, including with respect to timing or delays, diversion of financial and management resources from existing operations or alternative acquisition opportunities, subsequent litigation, retention of key employees or business partners, and theft of information disclosed during the transaction. If we fail to address the foregoing risks or other problems encountered in connection with past or future acquisitions of businesses, new technologies, services and other assets and strategic investments, or if we fail to successfully integrate such acquisitions or investments to realize anticipated benefits or synergies, our business, results of operations, financial condition and prospects could be adversely affected.</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have in the past divested and reduced, and may in the future divest or reduce, our investment in certain businesses or product lines from time to time. Such divestitures involve risks, such as the difficulty of identifying and separating out specific assets within a business, distracting employees, incurring potential loss of revenue and cash flow, negatively impacting margins, and potentially disrupting customer and employee relationships. We may also incur significant costs associated with exit or disposal activities, related impairment charges, or both.</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risks associated with organic growth or growth from strategic investments or acquisitions we make, and we may fail to effectively manage our growth.</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could experience rapid growth in our headcount and operations through acquisitions, strategic investments and organic growth. This growth can place significant demands on our management and our operational and financial infrastructure. Our ability to manage our growth effectively and to integrate new technologies, businesses and personnel into our existing business may require us to expand our operational and financial infrastructure and to address the retention, attraction, training, motivation and management of employees across a broader geographical and operational footprint. Such growth could strain our ability to develop and improve our operational, financial and management controls, enhance our reporting systems and procedures, recruit, train and retain highly skilled personnel, implement systems, policies, benefits and compliance programs across different jurisdictions, maintain our culture and maintain customer and brand satisfaction. Additionally, if we do not effectively manage the growth of our business and operations, the quality of our products and services could suffer, which could negatively affect our brand, operating results and overall business. The failure to effectively manage the growth of our strategic investments could also cause the value of such investments to decline. If we fail to achieve the necessary level of efficiency in our organization as it grows, our business, results of operations, financial condition and prospects could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statements include significant amounts of goodwill and other intangible assets. The impairment of a significant portion of these assets would adversely affect our reported results of operations and financial position.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goodwill and other intangible assets recognized in our financial statements represented 20% and 2%, respectively, of our total assets as of March 31, 2024 (24% and 2%, respectively, as of March 31, 2023). Within other intangible assets, our principal assets are our patents and licenses (23% of total other intangible assets as of March 31, 2024) and software or software assets under construction (76% of total other intangible assets as of March 31, 2024). Any further acquisitions may result in our recognition of additional goodwill or other intangible assets. We evaluate on a regular basis whether all or a portion of our goodwill and other intangible assets may be impaired. Under current accounting rules, any determination that impairment has occurred would require us to record an impairment charge, which would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5" w:name="page26"/>
    <w:bookmarkEnd w:id="25"/>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recognized impairments for the fiscal year ended March 31, 2022 in relation to specific historically acquired or developed products that were no longer being licensed, and we have also recognized impairments in the past.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capitalize and amortize the qualifying costs of internally developed software for its operating platforms and related back-office systems over the estimated useful lives of these intangible assets (generally between three and five years). If projects fail to deliver anticipated results in line with our estimates and assumptions, then we may be required to write-down the intangible asset costs, which could adversely affect our financial condition, results of operations and the trading price of our securities.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impairment or write-down of a significant portion of goodwill, other intangible assets or capitalized development costs could have a material adverse effect on our reported results of operations and our financial position.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operational flexibility may be restricted by covenants contained in loan agreements we may enter into in the future, and we may be unable to comply with the restrictions and financial and operational covenants imposed by such agreements.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currently have any debt, but we may incur debt in the future. Future creditors may subject us to certain restrictions on our business and future financing activities as well as certain financial and operational covenants. Such restrictions and covenants may prevent us from taking actions that otherwise might be deemed to be in the best interest of us and holders of our ADSs. Debt service obligations may require us in the future to dedicate a substantial portion of our cash flows from operations to payments of principal and interest on our interest-bearing debt, which could limit our ability to obtain additional financing, make capital expenditures and acquisitions and carry out other general corporate activities in the future. Any such obligations may also limit our flexibility in planning for, or reacting to, changes in our business and the industry in which we operate or detract from our ability to successfully withstand a downturn in our business or the economy in general.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significantly on protecting our IP rights. We primarily rely on patent, copyright, trade secret and trademark laws, trade secret protection and contractual protections, such as confidentiality, invention assignment and license agreements with our employees, customers, third-party partners and others, to protect our IP rights. The steps we take to protect our IP rights may be inadequate. We also may not be able to obtain desired patents, and our pending (of which we currently have approximately 2,500) or future patent applications, whether or not being currently challenged, may not result in the issuance of patents with the scope of protection we seek, including in jurisdictions of strategic importance and, if issued, may not provide any meaningful protection or competitive advantage. The scope of our patent protections may be adversely affected by changes in legal precedent and patent office interpretation of these precedents. Further, patents directed to particular subject matter associated with our business (e.g., CPU architecture) may be difficult to obtain and enforce in many jurisdictions and there may also be limits on recovery for damages in those jurisdictions. Any of our existing patents, and any future patents, may be challenged, narrowed, invalidated or circumvented. Further, we may be unsuccessful in executing adequate invention assignment agreements with all employees, contractors or other third parties involved in the development of our IP portfolio. In certain jurisdictions, rights to IP developed by our employees or contractors or other third parties may not automatically vest in us, and our employees or contractors or other third parties may claim ownership in IP that we believe is owned by us. We may also be required to spend significant resources to establish, monitor and protect our IP rights, particularly as we expand our operations globally.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exposure to different legal jurisdictions also may impact our ability to exercise our contractual and other rights around IP in such jurisdictions, in particular in countries whose laws regarding the protection of IP are less rigorous or more difficult to enforce than in the U.K., the U.S. and the European Union. In jurisdictions where effective IP protection is unavailable or limited, our IP rights may be vulnerable to unauthorized disclosure, infringement, misappropriation or other violation by employees, third-party partners, suppliers, customers and other entities or individuals, even though our customers and partners are contractually restricted from using our IP outside of the agreed-upon licensing arrangements. Policing unauthorized use of our IP is difficult and expensive, and we may not be able, or may lack the resources, to prevent infringement, misappropriation or other violation of our IP rights, including increased difficulty as a foreign entity in certain international locations, particularly outside the U.K., the U.S. and the European Union. In addition, our ability to monitor and control theft, misappropriation or infringement is uncertain, particularly in countries outside of the U.K.,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U.S. and the European Union, as the laws of some countries do not provide the same level of protection of our proprietary and confidential information as do the laws of the U.K., the U.S. and the European Union. Moreover, because we deliver our products to our customers in a source form, we have limited ability to trace the source of misappropriation of our IP and there are limited technological barriers (e.g., remote authorization requirements) we can put in place to protect our products from use by unauthorized parties. Additionally, theft of our IP or proprietary business information (including our trade secrets) could require substantial expenditures and resources to remedy. If we, our employees or our third-party partners, consultants, contractors, vendors or service providers were to suffer an attack or breach, for example, that results in the unauthorized access to, or use, theft, disclosure, misappropriation or sale of, our IP by any unauthorized third parties, we may have to notify consumers, partners or governmental authorities, and may be subject to investigations, civil penalties, administrative and enforcement actions and litigation, any of which could be costly and distracting or otherwise harm our business and reputation.</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be unable to successfully obtain, maintain, protect and enforce our IP rights (including defending against counterfeit, knock-off, grey-market, infringing or otherwise unauthorized goods). Specifically, third parties may distribute, license and sell counterfeit or grey-market versions of our products, which may be inferior or pose safety risks and could confuse consumers or customers, which could cause them to refrain from purchasing our brands in the future or otherwise damage our reputation. The presence of counterfeit versions of our products and technology in the market could also dilute the value of our brands, force us and our customers to compete with heavily discounted products and technology, cause us to be in breach of contract (including license agreements), impact our compliance with distribution and competition laws in jurisdictions including the U.K., the U.S., the European Union and the PRC, or otherwise have a negative impact on our reputation and business, prospects, financial condition or results of operations. Further, we may not be able to detect all violations of our IP rights and, even if we do become aware of any such violations, we may not be able to adequately enforce our IP rights in certain domestic and foreign jurisdictions. If we are unable to successfully navigate the relevant legal and regulatory environment and/or enforce our IP rights and/or contractual rights in relevant jurisdictions, our business, results of operations, financial condition and prospects could be materially and adversely impacted.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Litigation may be necessary in the future to enforce our patents and other IP rights, to protect our trade secrets, to determine the validity and scope of the proprietary rights of others, or to defend against claims of infringement, misappropriation or invalidity. Any such litigation, whether or not determined in our favor or settled by us, could be costly and would divert the efforts and attention of our management and technical personnel from normal business operations, which could have a material adverse effect on our business, results of operations, financial condition and prospects. Furthermore, our efforts to enforce our IP rights may be met with defenses, counterclaims and countersuits attacking the validity and enforceability of our IP rights. In addition, counterparties in litigation may have greater resources that they can dedicate to litigation-related matters than we can. Moreover, litigation against current or former customers and partners may adversely impact existing relationships. Accordingly, we may not be able to prevent third parties from infringing, misappropriating or otherwise violating our IP rights. See also </w:t>
      </w:r>
      <w:r>
        <w:rPr>
          <w:rFonts w:ascii="Times New Roman" w:cs="Times New Roman" w:eastAsia="Times New Roman" w:hAnsi="Times New Roman"/>
          <w:sz w:val="18"/>
          <w:szCs w:val="18"/>
          <w:i w:val="1"/>
          <w:iCs w:val="1"/>
          <w:color w:val="auto"/>
        </w:rPr>
        <w:t>“—We may be sued by third parties for alleged infringement, misappropriation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violation of their IP rights or proprietary rights and our defense against these claims can be costly.”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any potential dispute involving our patents or other IP, our licensees or the customers of our licensees could also become the target of litigation and we may be bound to indemnify such parties under the terms of our license agreements. Although our indemnification obligations are generally subject to a maximum amount, such obligations could nevertheless result in substantial expenses to us. See </w:t>
      </w:r>
      <w:r>
        <w:rPr>
          <w:rFonts w:ascii="Times New Roman" w:cs="Times New Roman" w:eastAsia="Times New Roman" w:hAnsi="Times New Roman"/>
          <w:sz w:val="18"/>
          <w:szCs w:val="18"/>
          <w:i w:val="1"/>
          <w:iCs w:val="1"/>
          <w:color w:val="auto"/>
        </w:rPr>
        <w:t>“Item 4. Information on the Company—B.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Overview—Legal Proceedings.” </w:t>
      </w:r>
      <w:r>
        <w:rPr>
          <w:rFonts w:ascii="Times New Roman" w:cs="Times New Roman" w:eastAsia="Times New Roman" w:hAnsi="Times New Roman"/>
          <w:sz w:val="18"/>
          <w:szCs w:val="18"/>
          <w:color w:val="auto"/>
        </w:rPr>
        <w:t>In addition to the time and expense required for us to indemnify our licensees or the customers of our licensees,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development, marketing and sales of chips and end products utilizing our products could be severely disrupted or discontinued as a result of litigation, which, in turn, could have a material adverse effect on our business, results of operations, financial condition and prospects.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adverse determinations in litigation could result in the loss of our IP rights or proprietary rights, subject us to significant liabilities, require us to seek licenses from third parties or prevent us from licensing our products, any of which could have a material adverse effect on our business, results of operations, financial condition and prospects. Our failure to obtain, maintain, protect, defend and enforce our IP rights could have a material adverse effect on our brand or our business, results of operations, financial condition and prospects. Furthermore, because our products are often based on 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common architecture and our new products are often based on legacy products, adverse events related to our IP may have a more significant impact on us than if our products were less related.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misappropriation or other violation of their IP rights or proprietary rights and our defense against these claims can be costly.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claims by third parties alleging our infringement, misappropriation or other violation of third-party IP rights, including patent rights, or misuse of third-party confidential information.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Claims alleging infringement, misappropriation or other violation of third-party IP rights can result in costly and time-consuming litigation (regardless of their validity or merit), require us to enter into royalty or licensing arrangements, subject us to damages or injunctions restricting the sale of our products, result in the invalidation of a patent or family of patents, require us to refund license fees to our customers or to forgo future payments or require us to redesign or rebrand certain of our products, any one of which could have a material adverse effect on our business, results of operations, financial condition and prospects.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time and expense required for us to satisfy our support and indemnification obligations to our customers and partners, any litigation could severely disrupt or shut down the business of our customers and partners, which in turn could damage our relations with them and have a material adverse effect on our business, reputation, results of operations, financial condition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involved in pending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We are involved in pending litigation, including, but not limited to, lawsuits with Qualcomm Inc. and Qualcomm Technologies, Inc. (together “Qualcomm”) and Nuvia, Inc. (“Nuvia”). In addition, our products are involved in pending litigation to which we are not a party. We cannot provide you any assurances regarding how any such litigation will be resolved, what benefits we will obtain or what losses we might incur.</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31, 2022, we sued Qualcomm and Nuvia in the U.S. District Court for the District of Delaware, on the basis that Qualcomm and Nuvia: (i)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and (ii) will infringe our trademarks if Qualcomm uses them in connection with the Nuvia technology which is subject to a destruction obligation under the Nuvia ALA. Our complaint seeks, among other things, specific performance of the Nuvia ALA termination provisions to require Qualcomm and Nuvia to stop using and to destroy the relevant Nuvia technology, and to stop their improper use of our trademarks with their related products. We also seek declaratory judgment, injunctive relief and damages relating to Qualcomm’s and Nuvia’s breach of contract and infringement of our trademarks in connection with the relevant Nuvia technology. Qualcomm originally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On March 6, 2024, the Court denied-in-part Qualcomm’s motion to amend its counterclaims, but allowed Qualcomm to raise a new claim alleging that Arm breached the termination provisions of the Nuvia ALA by continuing to use Nuvia confidential information following termination. The original claims are currently in the expert discovery phase, while the newly-added claims are currently in the fact discovery phase, with trial set for December 2024. On April 18, 2024, Qualcomm brought a new action in Delaware against Arm, asserting claims that were rejected in the Court’s decision on March 6, 2024. In this new action, Qualcomm asserts that Arm failed to satisfy certain delivery actions. Qualcomm seeks to have us comply with contractual obligations that we allegedly breached, damages and additional relief. We disagree with each of the assertions made by Qualcomm (as referred to above) and intend to vigorously defend against them. We can provide no assurances regarding the outcome of either litigation or how the litigation will affect our relationship with Qualcomm, which is currently a major customer of ours and accounted for 10% of our total revenue for the fiscal year ended March 31, 2024. These cases will likely require significant legal expenditures going forward and may also require substantial time and attention from our executives or employees, which could distract them from operating our business. In addition, our involvement in such litigation could cause us to incur significant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reputational damage in the industry, in our relationship with Qualcomm or in our relationship with other third-party partners.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matters can be time-consuming, divert management’s attention and resources, and cause us to incur significant expenses. Any allegations made in the course of regulatory or legal proceedings may also harm our reputation, regardless of whether there is merit to such claims.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products have in the past and could have a substantial technical flaw or an undetected design error, which could result in unanticipated costs. Our products are used in billions of consumer and enterprise products across a wide range of industries, and many of these products are depended on by individuals and businesses. The discovery of any design defect, fault or bug associated with our products, as well as any ensuing litigation or claims for indemnification could adversely affect our reputation and our relationships with partners, thereby having a material adverse effect on our business, results of operations, financial condition and prospects. Any such defects, faults or bugs could cause us to lose customers, increase our service costs, subject us to liability for damages or divert our resources from other tasks, any one of which could materially and adversely affect our business, results of operations, financial condition and prospects. The ramifications of a design defect, fault, or bug may be further exacerbated by the fact that many of our products are based on a common architecture and our new architecture products often are based on legacy products. Accordingly, a design defect, fault, or bug may affect multiple end products that are based on the same products, thereby potentially exposing us to additional liability and requiring additional resources to remedy the error.</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our software could contain errors, defects or bugs, especially when first introduced or when new versions are released. Product errors, including those resulting from third-party suppliers and open-source vendors, could affect the performance or interoperability of our products, could delay the development or release of new products or new versions of products and could adversely affect market acceptance or perception of the quality and attractiveness of our products. Any such errors or delays in releasing new products or new versions of products, or allegations of unsatisfactory performance, could cause us to lose customers, increase our service costs, subject us to liability for damages or divert our resources from other tasks, any one of which could materially and adversely affect our business, results of operations, financial condition and prospects.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Security vulnerabilities may be identified in our products, and it is possible that vulnerabilities may not be mitigated before they become known. Publicity related to any such security vulnerabilities, whether accurate or inaccurate, and any attempted or successful exploitation of such vulnerabilities, may cause increased third-party attempts to identify additional security vulnerabilities or could result in litigation, indemnification or other regulatory actions or inquiries, which could harm our brand and have an adverse effect on our business and results of operations and financial performance.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our products are used, and may be used in the future, in a variety of safety critical systems and equipment, including, but not limited to, autonomous vehicles, robotics, drones and medical equipment. Faults, security vulnerabilities or errors in such systems can result in harm to individuals, including loss of life. Any such fault, security vulnerability, or errors that may be attributed to our products, regardless of merit, could result in litigation, indemnification obligations or regulatory actions or inquiries, which could harm our brand and have a material adverse effect on our business, results of operations and financial performance.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Some of our customers have stringent technical and quality requirements that require us to meet certain test and qualification criteria or to adopt and comply with specific quality standards. Certain customers also periodically audit our performance. Failure to meet technical or quality requirements or a negative customer audit could result in the loss of current sales revenue, customers, and future sales.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store and otherwise process certain personal, confidential and proprietary information in the operation of our business, including trade secrets, customer information, employee data, corporate data, personal information and other sensitive and protected data. Further, our third-party partners and customers regularly provide us with highly sensitive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including details about their future product plans and roadmaps. Any unauthorized access to or disclosure of this information, whether inadvertent, malicious or as the result of a cyberattack, security breach or other similar incident, could have a material adverse effect on our third-party partners and customers as well as our own operations, which may in turn result in significant damage to our reputation, business and operating results.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Cyberattacks, including, but not limited to, ransomware events, computer viruses or other malware, phishing attacks, denial of service attacks, illegal hacking and credential stuffing, or other malicious attempts to compromise and/or interrupt the operation of information technology systems continue to increase in frequency, magnitude and sophistication. These increasing threats are being driven by a variety of sources, including nation-state sponsored espionage and hacking activities, industrial espionage, organized crime, advanced persistent threat actors, and hacking by groups and individuals. These sources can also implement social engineering techniques to induce our third-party partners, users, employees or customers to disclose passwords or other sensitive information or take other actions to gain access to our or our third-party partners’ data or our users’ data. Techniques, including techniques based on or otherwise using AI, used to obtain unauthorized access to, or to sabotage, systems or networks are constantly evolving and may not be recognized until launched against a target. Therefore, we may be unable to anticipate these techniques, react in a timely manner, or implement adequate preventive measures, and we may face delays in our detection, containment, or remediation of, or other responses to, such cyberattacks, security breaches and other similar incidents. Geopolitical instability, such as ongoing conflict between Russia and Ukraine and conflicts in the Middle East, may increase the likelihood that we or our third-party partners and customers could experience direct or collateral consequences from cyber conflicts between nation-states or other politically motivated actors targeting critical technology infrastructure. As we increase our customer base and our brand becomes more widely known and recognized, and as our products are used in more heavily regulated industries where there may be a greater concentration of sensitive and protected data, such as healthcare, government, life sciences and financial services, we and our third-party partners may become more of a target for these malicious actors.</w:t>
      </w:r>
    </w:p>
    <w:p>
      <w:pPr>
        <w:spacing w:after="0" w:line="19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Cyberattacks, security breaches or other similar incidents with respect to our information technology systems or those of our third-party partners could result in unauthorized access to, or misappropriation, loss of availability or integrity, disclosure, modification, misuse, loss, destruction or theft of, personal, confidential and proprietary information belonging to us or our employees, third-party partners, customers or suppliers, or cause a significant disruptive effect on our services, which could result in us, our third-party partners or our customers suffering significant financial or reputational damage and potential third-party legal action. If our security measures are, or are believed to be, inadequate or breached as a result of third-party action, employee negligence, error or malfeasance, fraud, product defects, accidental technological failure, social engineering techniques, improper user configuration or otherwise, and this results in, or is believed to result in, compromise of the confidentiality, integrity or availability of our data or our third-party partners’ and customers’ data, or otherwise causes a significant disruptive effect on our services, we could incur significant liability to various parties, including our third-party partners and customers, and to individuals or organizations whose information is being processed by us, our third-party partners or our customers. Further, such information and data being stored in foreign jurisdictions, could lead to us being required to disclose or provide access to data or other IP to a foreign government pursuant to national security or other laws of such foreign jurisdiction. Any perceived or actual violation of security, data protection and/or reporting obligations under relevant privacy and data protection laws, regulations, rules, standards and other obligations could also result in regulatory inquiries, investigations and enforcement actions, fines and/or legal action. We incur significant costs in an effort to detect and prevent cyberattacks, security breaches and other similar incidents, and we may face increased costs and be required to expend substantial resources in the event of an actual or perceived cyberattack, security breach or other similar incident. While we and our third-party partners and customers have experienced cyberattacks, including attempts to breach our information technology systems, and may experience cyberattacks in the future, as of the date of this Annual Report, we have identified no material breaches of our information technology systems. We can provide no assurances that we will not experience material breaches of our information technology systems in the future, that our third-party partners and customers will not experience breaches of their information technology systems in the future that are material to us, or that we or our third-party partners and customers have not experienced such a breach but have not yet discovered it.</w:t>
      </w:r>
    </w:p>
    <w:p>
      <w:pPr>
        <w:spacing w:after="0" w:line="17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Additionally, our vendors or service providers may suffer, or be perceived to suffer, cyberattacks, security breaches or other similar incidents that may compromise data stored or processed for us, which may also give rise to any of the foregoing. Our ability to monitor our vendors’ and service providers’ data security is limited, and, in any event, third parties may be able to circumvent those security measures, resulting in the unauthorized access to, or misuse, disclosure, loss, acquisition, modification, unavailability, destruction or other processing of, our and our customers’ data. If our vendors or service providers suffer cyberattacks, security breaches or other incidents, we may be unable to perform essential functions to operate our business. To the extent any of our IP is compromised as a result of a security breach experienced by us or by a vendor or service provider, and we do not promptly identify or are not promptly made aware of such breach, we may incorporate compromised IP in our products, thereby making customer implementations of our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spacing w:after="0" w:line="250" w:lineRule="auto"/>
        <w:rPr>
          <w:sz w:val="20"/>
          <w:szCs w:val="20"/>
          <w:color w:val="auto"/>
        </w:rPr>
      </w:pPr>
      <w:r>
        <w:rPr>
          <w:rFonts w:ascii="Times New Roman" w:cs="Times New Roman" w:eastAsia="Times New Roman" w:hAnsi="Times New Roman"/>
          <w:sz w:val="18"/>
          <w:szCs w:val="18"/>
          <w:color w:val="auto"/>
        </w:rPr>
        <w:t>products vulnerable to future cyberattacks, security breaches or other similar incidents. Moreover, if we, or any of our vendors or service providers, experience a security breach resulting in the exfiltration of confidential data about our information technology systems, such data may provide additional avenues for further attacks.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ensure that any limitations of liability in our agreements with customers, third-party partners, service providers and other third parties with which we do business would be enforceable or adequate or would otherwise protect us from any liabilities or damages with respect to any particular claim in connection with a cyberattack, security breach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 Any of the foregoing may cause our business to suffer and our reputation or competitive position to be damaged, which may have a material adverse effect on our business, results of operations, financial condition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interruption, disruption, damage or outage with respect to our information technology systems, including or due to an inability to operate our disaster recovery plans to adequately mitigate the effects of such, could adversely affect our reputation, operations and financial condition.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depends on the efficient and uninterrupted operation of our information technology and communications systems. If such information technology systems were to fail, in whole or in part, for any reason or if we were to experience any unscheduled downtimes, even for only a short period, our reputation, operations and financial results could be adversely affected.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could be damaged or interrupted by several scenarios including natural hazards, extreme weather, fire, utility loss, infrastructure failure, service provider failure or cyber threats.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In many cases we use cloud provided software solutions where we are reliant on the software provider meeting our service level and contractual agreements. In the event that a critical software provider cannot provide their agreed service, this could have an adverse impact on our reputation, operations and financial reporting.</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formal disaster recovery and business continuity plans we have in place may not be successful in preventing delays or other complications that could arise from information technology systems failure or cyber attacks and, if they are not successful, insurance may not adequately compensate us for all losses that may occur and have a material adverse effect on our business, results of operations, financial condition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may be made for which we do not have adequate insurance, which could have a material adverse effect on our results of operations, cash flows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recent years, the insurance industry has faced unprecedented and escalating global events compounded by international economic uncertainty. As a result of these and other pressures, many insurers have withdrawn from certain market sectors and certain available insurance has become costly to procure, renew or maintain. We currently have global insurance policies, including coverage for the following significant risks (all of which are subject to certain important scope limitations, exceptions and company/deductible arrangements): property damage, business interruption, employee liability, public and products liability, directors’ and officers’ liability, and cybersecurity and technology-related losses. We do not insure against claims concerning patent litigation or other IP infringement claims and potential related indemnification obligations, because we are of the view that any limited coverage that could be obtained would be prohibitively expensive. Our business, results of operations, financial condition and prospects could be materially adversely affected by the occurrence of a catastrophic event, to the extent that any resulting loss or claim was not covered under the terms of our then existing insurance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fluctuations could have a material adverse effect on our business, results of operations, financial condition and prospects.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a substantial majority of our revenues, as well as a significant proportion of our assets and liabilities, are denominated in USD, certain of our costs are denominated in British pounds sterling and a number of other currencies, such as the euro and Indian rupee. Consequently, our results of operations have been, and are likely to continue to be, affected by changes in the relative value of the various currencies in which our revenues, costs, assets and liabilities are denominated, and especially the U.S. dollar to British pound sterling exchange rate, as well as the exchange rates to the euro and Indian rupee, may have a material impact on our reported results of operations and financial condition. To manage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we may engage in the use of financial derivatives or currency hedging transactions, although such activities may not cover all of our exposure, may be costly and may also expose us to counterparty risk. Despite hedging and other mitigating techniques implemented by us, fluctuations in exchange rates have in the past and may in the future have a material adverse effect on our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suffer significant damage to our brand and reputation, which could harm our competitive position, results of operations and prospects.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brand and reputation are critical factors in our relationships with customers, employees, governments, suppliers, and other stakeholders. Our failure to address, or the appearance of our failure to address, issues that give rise to reputational risk, including those described throughout this “Risk Factors” section, could significantly harm our brand and reputation. Our reputation can be impacted by catastrophic events, incidents involving unethical behavior or misconduct, product quality, security, or safety issues, allegations of legal noncompliance, internal control failures, corporate governance issues, security incidents, workplace incidents, climate issues, the use of our products for illegal or objectionable applications, including AI and ML or military applications that present ethical, regulatory, or other issues, marketing practices, media statements, the conduct of our suppliers or representatives, and other issues, incidents, or statements that, whether actual or perceived, result in adverse publicity.</w:t>
      </w:r>
    </w:p>
    <w:p>
      <w:pPr>
        <w:spacing w:after="0" w:line="175"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Concerns about our AI- and ML-related practices or the ultimate uses of our products in conjunction with AI and ML technologies, even if unfounded, could damage our reputation and materially and adversely affect our business and operating results. Third parties may use our products for harmful or controversial purposes, and the use of our products by our customers or end users to power AI and ML features and functionality may result in harm or controversy.</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brand and reputation may be damaged by the actions of third parties that are imputed to us. For example, although Arm China operates independently of us, Arm China uses our trademarks in its marketing and branding. To the extent that Arm China’s actions are imputed to us due to Arm China’s use of our trademarks, our own brand and reputation may suffer significant damage.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we fail to respond quickly and effectively to address corporate crises and other threats to our brand and reputation, the ensuing negative public reaction could significantly harm our brand and reputation, which could result in loss of trust from our customers, third-party partners and employees and could lead to an increase in litigation claims and asserted damages or subject us to regulatory actions or restrictions, any of which could adversely affect our business, results of operations, financial condition and prospects.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Damage to our brand and reputation could reduce demand for our products and adversely affect our business, operating environment and the trading price of our securities. Damage to our reputation may also make us less attractive to current and prospective employees relative to our competitors, particularly given the intensely competitive market for highly skilled employees. Moreover, repairing our brand and reputation may be difficult, time-consuming, and expensive. The heightened competitive pressures could result in a loss of customers or a reduction in revenues or revenue growth rates, all of which could adversely affect our business, results of operations, financial condition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customers, partners, regulators, investors, and other stakeholders with respect to our environmental, social and governance (“ESG”) practices may impose additional costs on us, expose us to new or additional risks, or harm our reputation.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Companies are facing increasing scrutiny from customers, partners, regulators, investors, and other stakeholders related to ESG practices and disclosure, including environmental stewardship, social responsibility, diversity and inclusion, racial justice and workplace conduct.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negative investor sentiment toward us, which could have a negative impact on the trading price of our securities and our access to and costs of capital. Increased ESG-related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the trading price of our securities. New government regulations could also result in new or more stringent forms of ESG oversight and expanding mandatory and voluntary reporting, diligence, and disclosure.</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corporate social responsibility programs aligned with sound ESG principles. These programs reflect our current initiatives and are not guarantees that we will be able to achieve them. Our ability to successfully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execute these initiatives and accurately report our progress presents numerous operational, financial, legal, reputational and other risks, many of which are outside our control, and all of which could have a material negative impact on our business. Additionally, the implementation of these initiatives imposes additional costs on us. If our ESG initiatives fail to satisfy investors, customers, partners and our other stakeholders, our reputation, our ability to license our products to customers, our ability to attract or retain employees, and our attractiveness as an investment, business partner or acquirer could be negatively impacted. Similarly, our failure or perceived failure to pursue or fulfil our goals, targets and objectives or to satisfy various reporting standards within the timelines we announce, or at all, could also have similar negative impacts and expose us to government enforcement actions and private litigation. See </w:t>
      </w:r>
      <w:r>
        <w:rPr>
          <w:rFonts w:ascii="Times New Roman" w:cs="Times New Roman" w:eastAsia="Times New Roman" w:hAnsi="Times New Roman"/>
          <w:sz w:val="18"/>
          <w:szCs w:val="18"/>
          <w:i w:val="1"/>
          <w:iCs w:val="1"/>
          <w:color w:val="auto"/>
        </w:rPr>
        <w:t>“Item 4. Information on the Company—B. Business Overview—Environmental, Social and Governance”</w:t>
      </w:r>
      <w:r>
        <w:rPr>
          <w:rFonts w:ascii="Times New Roman" w:cs="Times New Roman" w:eastAsia="Times New Roman" w:hAnsi="Times New Roman"/>
          <w:sz w:val="18"/>
          <w:szCs w:val="18"/>
          <w:color w:val="auto"/>
        </w:rPr>
        <w:t xml:space="preserve"> for additional information regarding our corporate social responsibility programs.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be required, pursuant to the requirements of Section 404 of the Sarbanes-Oxley Act of 2002 (the “Sarbanes-Oxley Act”), to furnish a report from management on, among other things, the effectiveness of our internal control over financial reporting in our second annual report on Form 20-F that is filed with the SEC (subject to any change in applicable SEC rules), which will be our annual report on Form 20-F for the for the fiscal year ending March 31, 2025. We also expect, assuming that we will become a large accelerated filer, that our auditors will be required to express an opinion on the effectiveness of our internal control over financial reporting beginning with our second annual report on Form 20-F. As a public company, we will be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material weakness identified for the fiscal years ended March 31, 2022 and 2021 and disclosed in our final prospectus filed on September 14, 2023 with the SEC pursuant to Rule 424(b)(4) under the Securities Act, relating to our Registration Statement on Form F-1 (the “IPO Prospectus”), relates to information technology general controls over information systems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in the fiscal year ended March 31, 2023 we implemented a remediation plan which we are continuing to implement in the fiscal year ended March 31, 2024. The remediation plan includes the following activities: (i) improving controls over access rights management, including reviews of current access rights, user roles and access management procedures, (ii) the removal of excessive access rights to ensure that we adequately restrict user access to our financial applications to appropriate company personnel, (iii) expanding change management control procedures for our information systems, and (iv) engaging external experts to support the evaluation, testing and enhancement of our internal controls relating to our information technology systems. The actions that we are taking are subject to ongoing review by our executive management and are subject to the oversight of our Audit Committee. Although we have made considerable progress and intend to complete these remediation activities, we will not be able to fully remediate this material weakness until these steps have been completed, the enhanced processes have been operating effectively for a sufficient period of time and appropriate testing has been performed. We provide no assurances with respect to the timeline for implementing effective remedial measures, and our initiatives may not prove to be successful in remediating the material weakness or preventing additional material weaknesses or significant deficiencies in our internal control over financial reporting in the future. The costs of the remediation efforts to date have not been material, and we do not currently anticipate any material costs in connection with future remediation efforts.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may need to take additional actions, such as implementing and enhancing our internal controls and procedures and hiring additional accounting or internal audit staff.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financial reporting or are unable to comply with the requirements of Section 404 in a timely manner or assert that our internal control over financial reporting is effective, if we are required to make restatements of our financial statements, or if our independent registered public accounting firm is unable to express an opinion as to the effectiveness of our internal control over financial reporting, investors may lose confidence in our operating results, the price of our ADSs could decline and we may be subject to litigation or regulatory enforcement actions. In addition, if we are unable to meet the requirements of Section 404, we may not be able to remain listed on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Government Regulation and Legal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in international jurisdictions and we may be negatively impacted by export restrictions and trade barriers.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headquarters are in the U.K., and we currently also have operations in various jurisdictions around the world, including the U.S., the PRC, India, South Korea, Japan, Taiwan and Europe. We may in the future expand our operations either within these jurisdictions or to new jurisdictions. Risks associated with these international operations include exposure to political, economic and financial conditions and expected and unexpected changes in legal and regulatory environments. We may, from time to time, enter into strategic partnerships, joint ventures or similar business relationships with entities in foreign jurisdictions, including governmental or quasi-governmental entities, pursuant to which we may be required to license or transfer certain of our IP rights to such entities. Such relationships could expose us to increased risks inherent in such activities, such as protection of our IP, economic and political risks, and contractual enforcement issues. In addition, we could face potentially adverse tax consequences from our international expansion, changes in our international operations or changes in tax laws in any of the multiple jurisdictions in which we operate. Managing operations in multiple jurisdictions also places further strain on management’s time and our ability to manage overall growth. These risks could have a material adverse effect on our business, results of operations, financial condition and prospects.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governmental export and import requirements that could subject us to liability or restrict our ability to license our products. If the U.S. Department of Commerce were to broaden U.S. export restrictions on foreign-origin items, whether through changes to the level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U.S.-origin content that would make a non-U.S.-made product subject to the U.S. Export Administration Regulations (“EAR”), known as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rule, or through changes to the foreign direct product rules under the EAR or otherwise, these expanded restrictions would subject more of our products to U.S. export controls and impose export restrictions on the licensing and delivery of impacted items to certain customers and trading partners. Furthermore, if the U.S. Government implemented expanded economic sanctions on specific countries or regions, that could impact our portfolio. For instance, the U.S. has published significant changes to export sanctions regulations with respect to Russia and the PRC, and we anticipate additional changes to such regulations in the future. In October 2023, the U.S. Government published updated export controls on advanced computing chips, computer commodities that contain such chips, and certain semiconductor manufacturing items, as well as controls on transactions involving items for supercomputer and semiconductor manufacturing end-uses. The October 2023 controls modify the scope of items subject to license requirements for certain entities on the U.S. Government’s Entity List (as defined below).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 For instance, given U.S. and U.K. trade and national security policies regarding exports of technology with potential military uses, it is unlikely that we would be able to obtain a U.S. or U.K. export license for certain high performance compute cores in the Neoverse series processor family. This and any similar limitations could also reduce our revenues and cause significant uncertainty in our products roadmap, which could have an adverse effect on our business, results of operations, financial condition and prospects.</w:t>
      </w:r>
    </w:p>
    <w:p>
      <w:pPr>
        <w:spacing w:after="0" w:line="1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if other countries, particularly the U.K., were to adopt export control rules similar to the U.S., or make existing rules more onerous, this could have a material adverse effect on our business, results of operations, financial condition and prospects.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trade relations between countries where we do business or where our customers have end customers has recently been volatile. For example, the U.S. Government has imposed export sanctions on certain trading partners and entities which impact the cross-border transfer of technology and software products and announced new licensing requirements which impact exports of some of our customer’s ICs and certain related items. These measures may increase costs and/or reduce distribution in key markets. This in turn could require us to increase prices to our customers which may reduce demand, or, if we are unable to increase prices to adequately address any restrictions, it could result in lower margins on products sold or fewer products sold, which would reduce royalty revenues. Changes in U.S. trade policy have resulted in, and could result in more, U.S. trading partners adopting responsive trade policies, including imposition of</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increased tariffs, quotas or duties, or imposition of technology or financial sanctions or controls, making it more difficult or costly for us to export our products to those countries. The implementation of a border tax, tariff or higher customs duties on products of our customers or their end customers manufactured outside of the U.S. or components that our customers or their end customers import into the U.S., or any potential corresponding actions by other countries in which our customers or their end customers do business, could negatively impact our financial performance and/or ability to protect our IP. Such developments could also result in a decrease in the demand for or injunctions on the products of our customers or their end customers, which would reduce our royalties and have an adverse effect on our revenues and profitability and thereby on or business, results of operations, financial condition and prospects. See </w:t>
      </w:r>
      <w:r>
        <w:rPr>
          <w:rFonts w:ascii="Times New Roman" w:cs="Times New Roman" w:eastAsia="Times New Roman" w:hAnsi="Times New Roman"/>
          <w:sz w:val="18"/>
          <w:szCs w:val="18"/>
          <w:i w:val="1"/>
          <w:iCs w:val="1"/>
          <w:color w:val="auto"/>
        </w:rPr>
        <w:t>“—Risks Relating to Our Business and Industry—Our concentration of revenue from the PRC market makes us particularly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susceptible to economic and political risks affecting the PRC, which could be exacerbated by tensions between (on the one hand) the U.S. or the U.K. and (on the other hand) the PRC with respect to trade and national security.”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and changes in, governmental laws and regulations could harm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control requirements and sanctions, anti-corruption, national security and foreign investment, foreign exchange controls and cash repatriation restrictions, privacy and data protection (such as the European Union General Data Protection Regulation (“GDPR”), the U.K. General Data Protection Regulation (“U.K. GDPR”), and the California Consumer Privacy Act as amended by the California Privacy Rights Act (collectively, “CCPA”)), security and cybersecurity, and anti-competition, environmental, health and safety, financial reporting and the certification requirements associated with public sector contracts. These laws, regulations and orders are complex, may change frequently and with limited notice, and many have become more stringent and have intensified over time, especially in light of continuing tensions between the U.S. and the PRC and sanctions on Russia and individual Russians as a result of the ongoing war in Ukraine.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Compliance with these laws, regulations and similar requirements may be onerous, expensive and time consuming. Laws and regulations are often inconsistent from jurisdiction to jurisdiction, further increasing the cost and complexity of compliance. We have implemented policies and procedures designed to ensure compliance with applicable laws and regulations, but there can be no assurance that our employees, contractors, or agents will not violate such laws and regulations or our policies and procedures. In addition, inadequate systems and processes have in the past and could in the future result in non-compliance with applicable laws and regulations (and this can be particularly challenging in complex areas such as licensing and export controls). We may be required to incur significant expense to remedy violations of these laws and regulations.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our customers fail to comply with these regulations, we may be required to suspend sales to these customers, which could damage our reputation and negatively impact our results of operations. For example, the Bureau of Industry and Security (“BIS”), of the U.S. Department of Commerce, maintains and frequently updates the “Entity List,” which limits our ability to deliver products and services to these entities, some of which are our customers. On May 16, 2019, the BIS added Huawei Technologies Co., Ltd. and certain of its affiliated entities to BIS’s Entity List, which imposes limitations on the supply of certain U.S. items and product support to Huawei and certain of its affiliated entities. Huawei remains on the Entity List, and in the absence of a license from BIS, we may be unable to work with Huawei and certain of its affiliated entities on certain U.S. items and technology, which may have a negative effect on our ability to sell those U.S. items and technology in the future. Anticipated or actual changes in trade restrictions could also affect customer purchasing behaviors.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Non-compliance with applicable laws, regulations or requirements could subject us to investigations, sanctions, enforcement actions, disgorgement of profits, fines, damages, civil and criminal penalties, or injunctions. If any governmental sanctions are imposed, or if we do not prevail in any possible civil or criminal litigation, our business, results of operations, financial condition and prospects could be materially adversely affected and our reputation and brand could be damaged. In addition, responding to any action will likely result in a significant diversion of management’s attention and resources and an increase in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satisfy data protection, security, privacy or other laws, regulations, rules, standards and other government- and industry-specific obligations could adversely affect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Privacy and data protection has become a significant issue in the U.K., the U.S., the European Union and in many other jurisdictions where we operate and where the chips and end products incorporating our products are offered. The regulatory framework for privacy and data protection issues worldwide is rapidly evolving and is likely to remain uncertain for the foreseeable future, which could expose us to further regulatory burdens. Many government bodies and agencies, including in the U.K., the European Union and the U.S., have adopted or are considering adopting or modifying laws and regulations addressing privacy and data protection, including the collection, storage, transfer, use and other processing of personal information. Certain jurisdictions have also enacted data localization laws mandating that certain types of data collected in a particular country be stored and/or processed primarily within that country. It is possible that our practices may be deemed not to comply with those privacy and data protection legal requirements that apply to us now or in the future, which could adversely affect our operations, financial condition, and reputation.</w:t>
      </w:r>
    </w:p>
    <w:p>
      <w:pPr>
        <w:spacing w:after="0" w:line="192"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In the European Union and in the U.K., we are subject to the GDPR and the U.K. GDPR, respectively, which impose stringent obligations regarding the collection, control, use, sharing, disclosure and other processing of personal data. Failure to comply with the GDPR or the U.K. GDPR can result in significant fines and other liability. European data protection authorities have already imposed fines on companies for GDPR violations up to, in some cases, hundreds of millions of euros. While the U.K. GDPR currently imposes substantially the same obligations as the GDPR, the U.K. GDPR will not automatically incorporate changes to the GDPR going forward, which creates a risk of divergent parallel regimes and related uncertainty. We cannot predict how the U.K. GDPR and other U.K. privacy and data protection laws, regulations or rules may develop, including as compared to the GDPR, nor can we predict the effects of divergent laws and related guidance. Moreover, the U.K. government has publicly announced plans to reform the U.K. GDPR in ways that, if formalized, are likely to create a risk of divergent parallel regimes and related uncertainty, along with the potential for increased compliance costs.</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continuing operations involve the cross-border transfer of personal information to and from locations such as the U.K., Europe, and United States. Ongoing legal challenges in Europe to the mechanisms allowing companies to transfer personal information from the European Economic Area (“EEA”) to outside the EEA (including the U.S.) could result in further limitations on the ability to transfer data across borders. For example, while the European Commission adopted on July 10, 2023 an adequacy decision for the EU-U.S. Data Privacy Framework, enabling U.S. companies that certify to the EU-U.S. Data Privacy Framework to rely on it as a valid data transfer mechanism, such adequacy decision is likely to face challenge at the Court of Justice of the European Union.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our business may be affected by laws, regulations, rules and standards aimed at regulating the use of personal information for marketing purposes, the tracking of the online activities of individuals and the regulation of machine-to-machine communications. For example, the European Union’s proposed ePrivacy Regulation, which is still being negotiated, may impose burdensome requirements around obtaining consent and impose fines for violations that are materially higher than those imposed under the European Union’s current ePrivacy Directive and related EU member state legislation. Compliance with these laws, regulations, rules and standards may result in increased costs and limit the effectiveness of our marketing activities, while failure to comply may subject us to substantial fines and reputational damage.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U.S., we are subject to various federal, state and local privacy and data protection laws, rules, and regulations governing the collection, sharing, use, retention, disclosure, security, transfer, storage and other processing of personal information. For example, at the state level, we are subject to the CCPA, which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Numerous other states also have enacted, or are in the process of enacting or considering, comprehensive state-level privacy and data protection laws, rules and regulations that share similarities with the CCPA.</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we make public statements about our collection, use, disclosure and other processing of personal information through our privacy policies and information on our website. Although we endeavor to comply with our public statements and documentation, we may at times fail to do so or be alleged to have failed to do so. Our privacy policies and other public statements that provide promises and assurances about privacy, information security, and data protection can subject us to potential government or legal action if they are found to be deceptive, unfair or misrepresentative of our actual practices. Any concerns about our privacy and data protection practices, even if unfounded, could damage our reputation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monitor the regulatory environment and have invested in addressing new developments, we may be required to make additional changes to our services and business practices to enable us and our customers to comply with applicable laws, regulations, rules, standards and other obligations. Evolving regulatory and legal obligations may also increase our potential liability exposure through higher potential penalties for non-compliance. Laws, regulations, rules, standards and other obligations relating to privacy and data protection are subject to differing interpretations and may be inconsistent among jurisdictions, thereby making compliance with such obligations challenging. Revising our services and business practices to comply with these requirements could reduce demand for our services, require us to take on more onerous obligations in our contracts, or restrict our ability to store, transfer and otherwise process data or, in some cases, impact our ability or our customers’ ability to offer our services in certain locations, to deploy our products, to reach current and prospective customers, or to derive insights from customer data globally.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Third-party partners with access to personal information or other sensitive or confidential information for which we are responsible could breach their contractual obligations to us, or may experience data breaches or security incidents, which could impact our business, including by causing us to breach our obligations under privacy and data protection laws, regulations, rules, standards and other obligations. This could in turn adversely affect our business, results of operations and financial condition. In addition, our third-party due diligence, contractual measures, and other privacy and data protection-related safeguards may not sufficiently protect us from the risks associated with the third-party processing, storage and transmission of such information.</w:t>
      </w:r>
    </w:p>
    <w:p>
      <w:pPr>
        <w:spacing w:after="0" w:line="183"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Our failure or perceived failure to comply with any applicable privacy or data protection laws, regulations, rules, standards or other obligations could result in increased costs for our products, monetary penalties, damage to our reputation, government and regulatory inquiries, investigations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actions, fines, orders to stop or limit processing of personal information, or legal action.</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privacy and data protection and may cause our customers or their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products. Any of the foregoing could have a material adverse effect on our business, results of operations, financial condition and prospects.</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New technologies, such as AI and ML, are subject to a changing regulatory landscape in multiple jurisdictions in which we operate, and may present certain reputational risks.</w:t>
      </w:r>
    </w:p>
    <w:p>
      <w:pPr>
        <w:spacing w:after="0" w:line="29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New technologies, such as AI and ML, are the subject of evolving review by various governmental and regulatory bodies and agencies, and changes in laws, rules, directives, and regulations governing the use of such technologies may adversely affect the ability of our business to develop, use and commercialize such technologies and processors and products that use, incorporate or otherwise rely on such technologies. Several jurisdictions have already enacted measures related to the use of, incorporation of, or reliance on AI and ML in products and services and new laws, rules, directives and regulations may emerge over time. We may not always be able to anticipate how courts and regulators will apply existing laws to AI, to predict how new legal frameworks will develop to address AI, or to otherwise respond to these frameworks, as they are still rapidly evolving. It is not possible to predict all of the risks related to the use of AI and ML, and changes in laws, rules, directives, and regulations governing the use of AI and ML may materially and adversely affect our business and operating results or subject us to legal liability.</w:t>
      </w:r>
    </w:p>
    <w:p>
      <w:pPr>
        <w:spacing w:after="0" w:line="183"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3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are subject to the U.K. Bribery Act 2010 (the “Bribery Act”), the U.S. Foreign Corrupt Practices Act (the “FCPA”), and other applicable anti-corruption laws in countries where we do business and may do business in the future. These anti-corruption laws generally prohibit us, our officers, our employees, affiliates, agents and intermediaries from offering or paying bribes, requesting or accepting bribes, or making other prohibited payments to government officials or other persons to obtain or retain business or gain some other business advantage. Under the Bribery Act, we may also be liable for failing to prevent a person associated with us from committing a bribery offense. We have operations in countries considered high risk for corruption, such as China and India, agreements and collaborations with third parties, interactions with government officials, and other business activities that could expose us to corruption risk. While we have compliance safeguards in place, it is possible that these safeguards prove insufficient, or that our employees, intermediaries, or other third-party business partners may engage in activities that subject us to liability under the Bribery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Act, FCPA, or other anti-corruption laws. In addition, we cannot predict the nature, scope or effect of future regulatory requirements to which our international operations might be subject or the manner in which existing laws might be administered or interpreted. If we further expand our operations internationally, we will need to dedicate additional resources to comply with numerous laws and regulations in each jurisdiction in which we plan to operate.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If we are not in compliance with the Bribery Act, the FCPA and other anti-corruption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government contracts and related procurement regulations.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small portion of our revenue is derived from contracts with governmental entities, governmental subcontractors and public universities. Our contracts with such entities, including in the U.K., the European Union and the U.S., are subject to various regulations and other requirements relating to their formation, administration and performance. We may be subject to audits and investigations relating to government contracts, and any violations could result in various civil and criminal penalties and administrative sanctions, including termination of the contract, payment of fines or suspension or debarment from future government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laws, standards, regulations, guidance or codes of conduct, provide accurate information to regulatory authorities, comply with manufacturing standards, report financial information or data accurately or disclose unauthorized activities to us. We may also be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and prospects, including the imposition of significant fines or other sanctions and damage to our reputation.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Status as a Controlled Company and Foreign Private Issuer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corporate governance rules and, as a result, are eligible to rely on exemptions from certain corporate governance requirements that provide protection to stockholders of companies that are not controlled companies.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SoftBank Group beneficially owns approximately 88.1% of our total issued and outstanding share capital and thus a majority of the total voting power of our ordinary shares. As a result of SoftBank Group’s ownership, we are a “controlled company” under the Nasdaq corporate governance standards.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we qualify as a controlled company, we have the option not to comply with certain requirements to which companies that are not controlled companies are subject, including the requirement that a majority of the Board of Directors consists of independent directors, the requirement that a majority of the independent directors select or recommend our director nominees, the requirement that the remuneration committee be responsible for determining or recommending the compensation of executive officers other than our CEO and the requirement that its remuneration committee be composed entirely of independent directors. Since we have elected to use certain of the controlled company exemptions, holders of our ADSs do not have the same protections afforded to stockholders of companies that are subject to these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SoftBank Group controls us and/or is entitled to certain rights under the Shareholder Governance Agreement, other holders of our ordinary shares and ADSs will have limited ability to influence matters requiring shareholder approval or the composition of our Board of Directors.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SoftBank Group beneficially owns approximately 88.1% of our total issued and outstanding share capital. As a result, for so long as SoftBank Group and its controlled affiliates hold shares representing a majority of the votes entitled to be cast by the holders of our outstanding ordinary shares at a shareholder meeting, SoftBank Group will generally have the ability to control the outcome of any matter submitted for the vote of our shareholders, except in certain limited circumstances as set forth in the Articles of Association, as amended (the “Articles”) and the Companies Act.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so long as SoftBank Group and its controlled affiliates hold ordinary shares representing at least a majority of the votes entitled to be cast by the holders of our ordinary shares at a shareholder meeting, SoftBank Group will have the ability to control the election of all of the members of our Board of Directors. The directors elected by SoftBank Group will have the authority to make important decisions regarding our business, including decisions affecting our capital structure, such as the issuance of equity, the incurrence of indebtedness, the implementation of stock repurchase programs and the declaration of dividends.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shareholder governance agreement we entered into with SoftBank Group (the “Shareholder Governance Agreement”), SoftBank Group has the right to designate a number of candidates for election to our Board of Directors depending on its and its controlled affiliates’ level of ownership of our outstanding ordinary shares. SoftBank Group’s designation rights range from the ability to designate seven candidates so long as it owns more than 70% of our outstanding ordinary shares down to the ability to designate one candidate so long as it owns more than 5% of our outstanding ordinary shares. Additionally, for so long as SoftBank Group and its controlled affiliates own more than 70% of our outstanding ordinary shares, SoftBank Group has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The Shareholder Governance Agreement also gives SoftBank Group certain rights with respect to committees of our Board of Directors, approvals of related party transactions, pre-emptive rights, registration rights, information and other rights, consultation rights and a consent right, among others, including during periods in which SoftBank Group beneficially owns less than a majority of our outstanding ordinary shares. Accordingly, SoftBank Group will maintain significant control over our corporate and business activities until such rights terminate. See “</w:t>
      </w:r>
      <w:r>
        <w:rPr>
          <w:rFonts w:ascii="Times New Roman" w:cs="Times New Roman" w:eastAsia="Times New Roman" w:hAnsi="Times New Roman"/>
          <w:sz w:val="18"/>
          <w:szCs w:val="18"/>
          <w:i w:val="1"/>
          <w:iCs w:val="1"/>
          <w:color w:val="auto"/>
        </w:rPr>
        <w:t>Item 7. Major Shareholders and Related Party Transactions—B.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SoftBank Group—Shareholder Governance Agreement—Rights Relating to Our Board of Directors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Group’s interests may conflict with our own interests and those of holders of our ADSs.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interests of SoftBank Group may not coincide with our own interests or the interests of holders of our ADSs. Because SoftBank Group will generally have the ability, subject to limitations in the Articles and the Companies Act, to control all matters submitted to our shareholders for approval, including the election of all of the members of our Board of Directors, and will have certain enhanced rights pursuant to the Shareholder Governance Agreement, other shareholders will have limited ability to influence corporate matters. As a result, SoftBank Group may cause us to take corporate actions, including engaging in transactions with SoftBank Group or affiliates of SoftBank Group, that members of our management or other shareholders do not view as beneficial, or that provide SoftBank Group with benefits at our expense. Such actions could have a material and adverse effect on our business, results of operations and the trading price of our ADSs.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have, and in the future we expect to, advise SoftBank Group with respect to certain of its proposed investments or acquisitions in, or commercial arrangements or strategic partnerships with, businesses in or adjacent to our industry. For example, we are a party to a consulting agreement with SoftBank Group pursuant to which we provide to SoftBank Group and its affiliates certain technical consultancy and advisory services relating to potential transactions, strategic partnerships, commercial arrangements or other arrangements involving SoftBank Group or its affiliates. See “</w:t>
      </w:r>
      <w:r>
        <w:rPr>
          <w:rFonts w:ascii="Times New Roman" w:cs="Times New Roman" w:eastAsia="Times New Roman" w:hAnsi="Times New Roman"/>
          <w:sz w:val="18"/>
          <w:szCs w:val="18"/>
          <w:i w:val="1"/>
          <w:iCs w:val="1"/>
          <w:color w:val="auto"/>
        </w:rPr>
        <w:t>Item 7. Major Shareholders and Related Party Transactions—B. Related Party Transactions—Transactions with SoftBank Group—Consulting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Our efforts to advise SoftBank Group may require substantial time and attention from our executives, engineers and other employees,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divert attention and resources away from our business. We can provide no assurances that SoftBank Group will not acquire, invest in or partner with businesses that compete with us, and we will have no control over SoftBank Group’s acquisition, investment or strategic partnership activities, including any investments in, acquisitions of or strategic partnerships with businesses that compete with us or our customers, or any other actions that SoftBank Group may take to compete with us or our customers. Any SoftBank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Group investments in, or acquisitions of, or strategic partnerships with, businesses that compete with us or our customers could have a material adverse effect on us and our relationships with affected customers and cause those customers to seek alternatives to our products and invest in the ecosystems of our competitors like RISC-V, which could have a material adverse effect on our business, results of operations, reputation, financial condition and/or prospects.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 In addition, although we are not actively pursuing any investments in, or acquisitions of any such businesses, we may in the future pursue acquisitions of or investments in entities affiliated with SoftBank Group or with whom SoftBank Group or its affiliates have a commercial relationship.</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Disputes may arise between us and SoftBank Group or its affiliates in a number of areas, including relating to arrangements with third parties that are exclusionary to us or SoftBank Group or its affiliates and business opportunities that may be attractive to both us and SoftBank Group or its affiliates. Furthermore, disputes may arise between us and SoftBank Group or its affiliates with respect to Arm China. We may not be able to resolve any potential conflicts with SoftBank Group and, even if we do, the resolution may be less favorable than if we were dealing with an unaffiliated party, which could have an adverse effect on our business, results of operations and the trading price of our ADSs. In addition, any disputes between us and SoftBank Group could distract our management.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some of our directors and officers currently, and in the future may, directly or indirectly own equity interests in SoftBank Group, and Mr. Son is also the Chairman and Chief Executive Officer of SoftBank Group and Mr. Haas is a director of SoftBank Group. In addition, Mr. Haas is party to an agreement pursuant to which he provides certain advisory and consulting services to SoftBank Group. Ownership of such equity interests by our directors and officers and the presence of Messrs. Son and Haas, as the chair of our Board of Directors and our CEO and a director, respectively, could create, or appear to create, conflicts of interest with respect to matters involving both us and any one of them, or involving us and SoftBank Group. Provisions of the Articles address corporate opportunities that are presented to our directors that are also directors or officers of SoftBank Group. We cannot assure you that the Articles will adequately address potential conflicts of interest or that potential conflicts of interest will be resolved in our favor or that we will be able to take advantage of corporate opportunities presented to individuals who are directors of both us and SoftBank Group. As a result, we may be precluded from pursuing certain advantageous transactions or growth initiatives.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under the terms of the Shareholder Governance Agreement, SoftBank Group has a contractual pre-emptive right. Specifically, under the terms of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will be entitled (but will not be obligated) to purchase up to an amount of the securities we propose to allot or issue such that it can maintain its proportional legal and economic interests in our share capital prior to such allotment or issuance. As a result, while other holders of our ADSs would risk suffering a reduction in percentage ownership in connection with a new issuance of securities by us, SoftBank Group and its controlled affiliates will have the opportunity to avoid a reduction in their legal and economic interests. See “</w:t>
      </w:r>
      <w:r>
        <w:rPr>
          <w:rFonts w:ascii="Times New Roman" w:cs="Times New Roman" w:eastAsia="Times New Roman" w:hAnsi="Times New Roman"/>
          <w:sz w:val="18"/>
          <w:szCs w:val="18"/>
          <w:i w:val="1"/>
          <w:iCs w:val="1"/>
          <w:color w:val="auto"/>
        </w:rPr>
        <w:t>Item</w:t>
      </w:r>
    </w:p>
    <w:p>
      <w:pPr>
        <w:spacing w:after="0" w:line="1" w:lineRule="exact"/>
        <w:rPr>
          <w:sz w:val="20"/>
          <w:szCs w:val="20"/>
          <w:color w:val="auto"/>
        </w:rPr>
      </w:pPr>
    </w:p>
    <w:p>
      <w:pPr>
        <w:ind w:firstLine="8"/>
        <w:spacing w:after="0" w:line="260" w:lineRule="auto"/>
        <w:tabs>
          <w:tab w:leader="none" w:pos="20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Major Shareholders and Related Party Transactions—B. Related Party Transactions—Transactions with SoftBank Group—Shareholder Governance Agreement—Pre-emptive Rights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regardless of the performance of our own business, SoftBank Group’s business, results of operations and the trading price of SoftBank Group’s securities or other matters affecting SoftBank Group or actions that SoftBank Group may take may adversely affect the trading price of our ADSs. In addition, SoftBank Group is not restricted from competing with us or otherwise taking for itself or its other affiliates certain corporate opportunities that may be attractive to 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SoftBank Group’s ability to control all matters submitted to our shareholders may have the effect of delaying, preventing or deterring a change of control, which could deprive holders of our ADSs of an opportunity to receive a premium for their ADSs as part of a change of control, and might ultimately affect the fair market value of our ADSs.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 has engaged, and may in the future engage, in financing transactions whereby our shares are pledged as security.</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SoftBank Group has engaged, and may from time to time engage, in financing transactions involving our shares (including ADSs representing our shares), such as loans whereby our shares are pledged as security. We may be unable to influence the timing or terms of financing transactions by SoftBank Group involving our securities. In addition, certain subsidiaries of SoftBank Group have entered into a margin loan facility secured by our ordinary shares (the “SoftBank Group Facility”). We have no material obligations with respect to the SoftBank Group Facility. The SoftBank Group Facility is initially secured by a pledge of 769,029,000 of our ordinary shares representing a 73.4% equity interest in us. We face various risks in connection with the SoftBank Group Facility. The SoftBank Group Facility contains, and such other financing transactions may contain, provisions that, subject to their terms, require prepayment if certain events or circumstances occur, including certain change of control transactions or in the event the trading price of our ADSs declines below certain thresholds. From time to time, subject to certain requirements under the terms of the SoftBank Group Facility and any other such financing transactions, SoftBank Group or the relevant subsidiary of SoftBank Group, as applicable, may consider it advisable to sell shares in order to finance the prepayment or repayment of such financings, which number of shares may, individually or in the aggregate, be significant. In addition, in connection with the SoftBank Group Facility and any other such financings, if the price of our ADSs declines to certain levels, absent a repayment of the applicable financing, SoftBank Group may be required to provide additional collateral. For instance, the SoftBank Group Facility could be subject to a “margin call” by the providers of the facility if, among other events, the loan-to-value exceeds a certain threshold. In the event of such a margin call, the relevant subsidiary of SoftBank Group would need to deposit additional funds with the providers of the facility and may decide to sell some of the pledged shares to provide such funds. In the case of non-payment at maturity or another event of default, the providers of the SoftBank Group Facility and any other such financing may, in addition to other remedies, exercise their rights to foreclose on and sell or cause the sale of our shares that may be pledged as collateral. The foreclosure on our shares that are initially pledged as collateral for the SoftBank Group Facility could cause a change of control of us and if such shares are sold, such sales could cause the trading price of our ADSs to decline. Sales of our securities in connection with the SoftBank Group Facility and any other such financing transactions, whether by SoftBank Group or upon enforcement against collateral, could have a material and adverse effect on our business, results of operations, access to equity capital and the trading price of our ADSs.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SoftBank Group sells a controlling equity interest in our company to a third party in a private transaction, you may not realize any change-of-control premium on your ADSs and we may become subject to the control of a currently unknown third party.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so long as the U.K. City Code on Takeovers and Mergers (the “Takeover Code”) does not apply to us, SoftBank Group will have the ability, should it choose to do so, to sell some or all of its shares in a privately negotiated transaction, which, if sufficient in size, could result in a change of control of us. The ability of SoftBank Group to privately sell its shares, with no requirement for a concurrent offer to be made to acquire all of the publicly traded ADSs, could prevent you from realizing any change-of-control premium on your ADSs that may otherwise accrue to SoftBank Group on its private sale of shares. In addition, if SoftBank Group privately sells its controlling equity interest or if a lender forecloses on a controlling interest pledged by SoftBank Group, including in connection with enforcement under the SoftBank Group Facility, we may become subject to the control of a currently unknown third party. The interests of this third party may not be the same as, or may conflict with, the interests of our other shareholders. Furthermore, if SoftBank Group sells a controlling equity interest in our company to a third party or a lender forecloses on a pledged controlling equity interest in our company, our future indebtedness may be subject to acceleration, and our other commercial agreements and relationships, including any remaining agreements with SoftBank Group, could be impacted. The occurrence of any of these events could adversely affect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Group’s ability to control our Board of Directors may make it difficult for us to recruit independent directors.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so long as SoftBank Group and its controlled affiliates hold our ordinary shares representing at least a majority of the votes entitled to be cast by the holders of our ordinary shares at a shareholder meeting, SoftBank Group will be able to elect all of the members of our Board of Directors. Additionally, pursuant to the Shareholder Governance Agreement, SoftBank Group has the right to designate a number of candidates for election to our Board of Directors depending on its and its affiliates’ level of ownership of our outstanding ordinary shares. SoftBank Group’s designation rights will range from the ability to designate seven candidates so long as it owns more than 70% of our outstanding ordinary shares (or up to eight if SoftBank Group exercises the right granted to it to increase the size of our Board of Directors and appoint an additional non-independent director to fill the resulting vacancy) down to the ability to designate one candidate so long as it owns more than 5% of our outstanding ordinary shares. The Shareholder Governance Agreement also provides SoftBank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Group with proportional rights to representation on the committees of our Board of Directors, subject to applicable restrictions. See “</w:t>
      </w:r>
      <w:r>
        <w:rPr>
          <w:rFonts w:ascii="Times New Roman" w:cs="Times New Roman" w:eastAsia="Times New Roman" w:hAnsi="Times New Roman"/>
          <w:sz w:val="18"/>
          <w:szCs w:val="18"/>
          <w:i w:val="1"/>
          <w:iCs w:val="1"/>
          <w:color w:val="auto"/>
        </w:rPr>
        <w:t>Item 7. 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and Related Party Transactions—B. Related Party Transactions—Transactions with SoftBank Group—Shareholder Governance Agreement— Rights Relating to Our Board of Directors</w:t>
      </w:r>
      <w:r>
        <w:rPr>
          <w:rFonts w:ascii="Times New Roman" w:cs="Times New Roman" w:eastAsia="Times New Roman" w:hAnsi="Times New Roman"/>
          <w:sz w:val="18"/>
          <w:szCs w:val="18"/>
          <w:color w:val="auto"/>
        </w:rPr>
        <w:t>.” Under these circumstances, qualified and experienced persons who might otherwise accept an invitation to join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may decline, which means that we would not be able to benefit from their qualifications and expertise in service as members of our Board of Directors.</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a number of rules under the U.S. securities laws and are permitted to file less information with the SEC than U.S. public companies.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“foreign private issuer,” as defined in the SEC rules and regulations, and, consequently, we are not subject to all the disclosure requirements applicable to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will file an annual report on Form 20-F within four months of the close of each fiscal year ended March 31 and reports on Form 6-K relating to certain material events promptly after we publicly announce these events. However, because of the above exemptions for foreign private issuers, our shareholders will not be afforded the same protections or information generally available to investors holding shares in public companies organized in the U.S.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are a foreign private issuer, we may opt out of certain Nasdaq corporate governance rules applicable to public companies organized in the U.S.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entitled to rely on a provision in Nasdaq’s corporate governance rules that allows us to follow English corporate law with regard to certain aspects of corporate governance. This allows us to follow certain corporate governance practices that differ in significant respects from the corporate governance requirements applicable to domestic issuers listed on Nasdaq, which may provide less protection to our shareholders than what is accorded to investors under the Nasdaq rules applicable to domestic issuers.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example, we are exempt from Nasdaq regulations that require a listed U.S. company to:</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within four business days of any determination to grant a waiver of the Code of Conduct to directors and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shareholder approval for certain issuances of securities, including shareholder approval of share option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audit committee review and oversight responsibilities over all “related party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regularly scheduled meetings of only the independent directors at least twice a year;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and provide proxy statements for all meetings of shareholders.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rules, our audit committee is required to comply with the provisions of Section 301 of the Sarbanes-Oxley Act and Rule 10A-3 of the Exchange Act, both of which are also applicable to Nasdaq-listed U.S. companies. Because we are a foreign private issuer, however, our audit committee is not subject to additional requirements applicable to Nasdaq-listed U.S. companies, including an affirmative determination that all members of the audit committee are “independent,” using more stringent criteria than those applicable to us as a foreign private issuer, subject to certain phase-in requirements permitted by Rule 10A-3 of the Exchange Act.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required to test our foreign private issuer status at the end of our second fiscal quarter in each fiscal year. If we were no longer a foreign private issuer, we would be required to comply with all of the periodic disclosure and current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reporting requirements of the Exchange Act applicable to U.S. domestic issuers as of the first day of the following fiscal year. In order to maintain our current status as a foreign private issuer, either (a) a majority of our securities must be either directly or indirectly owned of record by nonresidents of the U.S. or (b)(i) a majority of our executive officers or directors cannot be U.S. citizens or residents, (ii) more than 50% of our assets must be located outside the U.S. and (iii) our business must be administered principally outside the U.S. If SoftBank Group or its affiliates do not continue to hold a majority of our ordinary shares, we would likely fail to maintain our status as foreign private issuer.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is likely to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England and Wales. The rights of holders of ordinary shares and, therefore, certain of the rights of holders of ADSs, are governed by English law, including the provisions of the Companies Act and by the Articles. These rights differ in certain respects from the rights of shareholders in typical U.S. corporations. See the section titled Differences in Corporate Law in the Description of Securities included in Exhibit 2.3 to this Annual Report for a description of the principal differences between the provisions of the Companies Act applicable to us and, for example, the Delaware General Corporation Law relating to shareholders’ rights and protections. The principal differences include the following:</w:t>
      </w:r>
    </w:p>
    <w:p>
      <w:pPr>
        <w:spacing w:after="0" w:line="183"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certain matters require the approval of not less than 75% of the shareholders who vote (in person or by proxy) on the relevant resolution (or on a poll of shareholders, by shareholders representing not less than 75% of the ordinary shares voting (in person or by proxy)), including amendments to the Articles. This may make it more difficult for us to complete corporate 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 and ADSs. If acceptances are not received for 90% or more of the ordinary shares and ADSs under the offer, under English law, the bidder cannot complete a “squeeze out” to obtain 100% control of us. Accordingly, acceptances of 90% of our outstanding ordinary shares and ADSs would likely be a condition in any takeover offer to acquire us, not 50% as is more common in tender offers for corporations organized under U.S. law. By contrast, a scheme of arrangement, the successful completion of which would result in a bidder obtaining 100% control of us, requires the approval of a majority in number of the shareholders or class of shareholders present and voting either in person or by proxy at the meeting and representing 75% in value of the ordinary shares (including those represented by ADSs) voting at the meeting for approval; and</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the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English law provides that, subject to certain exceptions (including the allotment, or the grant of rights to subscribe for or convert any security into shares, in pursuance of an employees’ share scheme), a board of directors of a public limited company may only allot shares (or grant rights to subscribe for or convert any security into shares) with the prior authorization of shareholders, such authorization stating the aggregate nominal amount of shares that it covers and being valid for a maximum period of five years, each as specified in the articles of association or relevant ordinary shareholder resolution passed by shareholders at a general meeting. We have obtained authority from our shareholders to allot 1,025,234,000 additional shares ending August 25, 2028, which authorization will need to be renewed upon expiration (i.e., at least every five years) but may be sought more frequently for additional five-year terms (or for any shorter period).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English law also generally provides shareholders with preemptive rights when new shares are issued for cash, except that such rights do not apply to the allotment of equity securities that would, apart from any renunciation or assignment of the right to their allotment, be held under or allotted or transferred pursuant to an employees’ share scheme.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but not longer than the duration of the authority to allot shares to which the disapplication relates. In either case, this disapplication would need to be renewed by our shareholders upon its expiration (i.e., at least every five years). We have obtained authority from our shareholders to disapply preemptive rights ending August 25, 2028, which disapplication will need to be renewed upon expiration (i.e., at least every five years), but may be sought more frequently for additional five-year terms (or for any shorter period).</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our initial public offering (“IPO”), ADSs were transferred to a nominee for The Depository Trust Company (“DTC”) and corresponding book-entry interests were credited in the facilities of DTC. On the basis of current law and HM Revenue &amp; Customs (“HMRC”) practice, no charges to U.K. stamp duty or stamp duty reserve tax (“SDRT”) are expected to arise on subsequent transfers of book-entry interests in ADSs entirely within DTC’s facilities. Similarly, on the basis of current law and HMRC practice, a transfer of title in the ADSs from within the DTC clearance system to a purchaser out of the DTC clearance system and any subsequent transfers that occur entirely outside the DTC clearance system should not attract a charge to U.K. stamp duty or SDRT.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choose to withdraw the ordinary shares underlying your ADSs (in accordance with the deposit agreement, applicable laws and regulations) from the depositary, U.K. stamp duty and SDRT will not generally be chargeable on any such withdrawal in your favor, but will generally be chargeable on any subsequent transfers of the ordinary shares or redeposits of the ordinary shares into the ADR program (at the rates specified below).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put in place arrangements to require that ordinary shares held in certificated form or otherwise outside the depositary system cannot be represented by ADSs within the DTC clearance system until the transferor of the ordinary shares has first delivered the ordinary shares to a depositary specified by us so that any U.K. stamp duty (or SDRT) may be collected in connection with the delivery to the depositary. Any such ADSs in respect of those ordinary shares so deposited may be evidenced by a receipt issued by the depositary. Before the transfer can be registered in the books of the depositary for the ADSs to be issued, the transferor will also be required to put funds in the depositary to settle any resultant liability to stamp duty (or SDRT), which will be charged at a rate of 1.5% of the value of the ADSs.</w:t>
      </w:r>
    </w:p>
    <w:p>
      <w:pPr>
        <w:spacing w:after="0" w:line="17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Retained EU Law (Revocation and Reform) Act 2023, enacted on June 29, 2023 has the effect that certain rights derived from European Union law will by default (that is, absent the exercise of a regulation-making power to restate or reproduce such rights in U.K. domestic law) cease to be recognized after December 31, 2023. As a result, rights derived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jc w:val="both"/>
        <w:spacing w:after="0" w:line="242" w:lineRule="auto"/>
        <w:rPr>
          <w:sz w:val="20"/>
          <w:szCs w:val="20"/>
          <w:color w:val="auto"/>
        </w:rPr>
      </w:pPr>
      <w:r>
        <w:rPr>
          <w:rFonts w:ascii="Times New Roman" w:cs="Times New Roman" w:eastAsia="Times New Roman" w:hAnsi="Times New Roman"/>
          <w:sz w:val="18"/>
          <w:szCs w:val="18"/>
          <w:color w:val="auto"/>
        </w:rPr>
        <w:t>from European Union law would cease to restrict the application of the rules providing for the 1.5% U.K. stamp duty or SDRT charge which may impact on the issue or transfer of our ordinary shares to, or appropriation of our ordinary shares by, a depositary receipt system (such as that operated by the depositary) or a clearance service (such as that operated by DTC). On February 22, 2024, the U.K. government enacted legislation to make provisions for and in connection with ensuring that it continues to be the case that no 1.5% charge to stamp duty or SDRT arises in relation to the issue or transfer of ordinary shares to depositary receipt systems and clearance services. The provisions took effect from January 1, 2024.</w:t>
      </w:r>
    </w:p>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also possible that, for example, in the future, a transfer of title in the ADSs from within the DTC clearance system to a purchaser out of the DTC clearance system and/or any subsequent transfers of ADSs that occur entirely outside (or inside) the DTC clearance system, will attract a charge to U.K. stamp duty or SDRT. Any such U.K. stamp duty or SDRT will be chargeable at a rate of 0.5% (or potentially 1.5% in certain circumstances) of any consideration, which is normally payable by the transferee. Any such duty must be paid (and the relevant transfer document, if any, stamped by HMRC) before the transfer can be registered in the books of the depositary and, if relevant, ADSs issued to a nominee for DTC and corresponding book-entry interests credited in the facilities of DTC.</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about the U.K. stamp duty and SDRT implications of holding ADSs and withdrawing ordinary shares under current law, please see the section titled </w:t>
      </w:r>
      <w:r>
        <w:rPr>
          <w:rFonts w:ascii="Times New Roman" w:cs="Times New Roman" w:eastAsia="Times New Roman" w:hAnsi="Times New Roman"/>
          <w:sz w:val="18"/>
          <w:szCs w:val="18"/>
          <w:i w:val="1"/>
          <w:iCs w:val="1"/>
          <w:color w:val="auto"/>
        </w:rPr>
        <w:t>“Item 10. Additional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 Taxation”</w:t>
      </w:r>
      <w:r>
        <w:rPr>
          <w:rFonts w:ascii="Times New Roman" w:cs="Times New Roman" w:eastAsia="Times New Roman" w:hAnsi="Times New Roman"/>
          <w:sz w:val="18"/>
          <w:szCs w:val="18"/>
          <w:color w:val="auto"/>
        </w:rPr>
        <w:t xml:space="preserve"> of this Annual Report.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Articles provide that, unless the Company by ordinary resolution consents to the selection of an alternative forum, the courts of England and Wales are the exclusive forum for the resolution of all shareholder complaints other than complaints asserting a cause of action arising under the Securities Act or the Exchange Act, and that the U.S. District Court for the Northern District of California is the exclusive forum for the resolution of any shareholder complaint asserting a cause of action arising under the Securities Act or the Exchange Act.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Articles provide that, unless the Company by ordinary resolution consents to the selection of an alternative forum, the courts of England and Wales are the exclusive forum for resolving all shareholder complaints other than shareholder complaints asserting a cause of action arising under the Securities Act, or the Exchange Act, and that the U.S. District Court for the Northern District of California is the exclusive forum for resolving any shareholder complaint asserting a cause of action arising under the Securities Act or the Exchange Act. In addition, the Articles will provide that any person or entity purchasing or otherwise acquiring any interest in our shares is deemed to have notice of and consented to these provisions.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the Articles. Additionally, our shareholders cannot waive compliance with the federal securities laws and the rules and regulations thereunder. If a court were to find either choice of forum provision contained in the Articles to be inapplicable or unenforceable in an action, we may incur additional costs associated with resolving such action in other jurisdictions, which could adversely affect our results of operations and financial condition. The courts of England and Wales and the U.S. District Court for the Northern District of California may also reach different judgments or results than would other courts, including courts where a shareholder considering bringing a claim may be located or would otherwise choose to bring the claim, and such judgments may be more or less favorable to us than our shareholders.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Takeover Code will not apply if our place of central management and control remains outside the U.K.</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Takeover Code also applies to all offers for public companies which have their registered office in the U.K., the Channel Islands or the Isle of Man if they are considered by the Panel on Takeovers and Mergers (the “Takeover Panel”) to have their place of central management and control in the U.K., the Channel Islands or the Isle of Man. This is known as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the “residency test.” In determining whether the residency test is satisfied, the Takeover Panel has regard primarily to whether a majority of a company’s directors are resident in these jurisdictions.</w:t>
      </w:r>
    </w:p>
    <w:p>
      <w:pPr>
        <w:spacing w:after="0" w:line="14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Although our registered office is in the U.K., the Takeover Code does not currently apply to us because our shares are not admitted to trading on a regulated market or multilateral trading facility in the U.K. or any stock exchange in the Channel Islands or the Isle of Man, and the Takeover Panel confirmed to us that, on the basis of the residency of our Board of Directors as of the date of the IPO Prospectus, we did not have our place of central management and control in the U.K., the Channel Islands or the Isle of Man. Our place of central management and control remains outside of the U.K. for the purposes of the Takeover Code.</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our shareholders are not currently entitled to the benefit of certain takeover offer protections provided under the Takeover Code, including the rules regarding mandatory takeover bids and, therefore, holders of ADSs will not benefit from these protections.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exercise of registration rights by SoftBank Group may materially and adversely affect the market price of the ADSs.</w:t>
      </w:r>
    </w:p>
    <w:p>
      <w:pPr>
        <w:spacing w:after="0" w:line="21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Pursuant to the Shareholder Governance Agreement, SoftBank Group and certain of its affiliates are entitled to certain registration rights pursuant to which they may demand that we register the resale of its ordinary shares or securities convertible into or exchangeable for ordinary shares (including ADSs) (“Registrable Securities”) and, under certain circumstances, will also have customary “piggyback” registration rights for its Registrable Securities in connection with certain registrations of securities by us. In addition, SoftBank Group or its relevant affiliates may require us to file and maintain an effective shelf registration statement under the Securities Act covering the resale of SoftBank Group’s Registrable Securities. The registration of the resale of these securities will facilitate the public sale by SoftBank Group of such securities without regard to any limitations on the volume of securities that SoftBank Group may sell. In light of SoftBank Group’s beneficial ownership of our ordinary shares, the registration of the resale of a significant number of ADSs, or the perception that significant sales by SoftBank Group may occur, may have a material adverse effect on the market price of our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cause us to relinquish valuable rights.</w:t>
      </w:r>
    </w:p>
    <w:p>
      <w:pPr>
        <w:spacing w:after="0" w:line="216"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of the securities may include liquidation or other preferences that may be senior to your rights as holder of ADSs.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or our shareholders.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collaborations, and alliances and licensing arrangements with third parties, we may have to relinquish valuable rights to our IP or products, or grant licenses on terms unfavorable to us.</w:t>
      </w:r>
    </w:p>
    <w:p>
      <w:pPr>
        <w:spacing w:after="0" w:line="19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holders in the U.S. unless we register the offer and sale of the rights and the securities to which the rights relate under the Securities Act or an exemption from the registration requirements is available. Also, under the deposit agreement, the depositary bank will not make rights available to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to endeavor to cause such a registration statement to be declared effective or to establish an exemption from registration under the Securities Act. Accordingly, you may be unable to participate in such a rights offerings and may experience dilution in your holdings.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ADSs may be volatile and may decline.</w:t>
      </w:r>
    </w:p>
    <w:p>
      <w:pPr>
        <w:spacing w:after="0" w:line="21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market price of our ADSs could be volatile and may decline. The stock market in general, and the market for technology companies in particular, has experienced extreme volatility that has often been unrelated to the operating performance of particular companies, and the trading price of our ADSs may be volatile due to factors beyond our control. As a result of this volatility, you may not be able to sell your ADSs at or above the price at which you purchased your ADSs. The market price for our ADSs may be influenced by many factors, including, among others:</w:t>
      </w:r>
    </w:p>
    <w:p>
      <w:pPr>
        <w:spacing w:after="0" w:line="19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actual or anticipated annual or quarterly operating results or those of others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otherwise fail to meet the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other changes in investor perceptions of the investment opportunity associated with our ordinary shares relative to other investment alternatives;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semiconductor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reports or other media exposure of our licensed products or those of others in our industry, or of our industry generally;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involving us or others in our industry, or actual or anticipated changes in applicable government regulations or enforcement thereof;</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ADSs;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securities market conditions;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other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and elsewhere in this Annual Report.</w:t>
      </w:r>
    </w:p>
    <w:p>
      <w:pPr>
        <w:spacing w:after="0" w:line="21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ADSs, regardless of our actual operating performance. Further, a decline in the financial markets and related factors beyond our control may cause the price of our ADSs to decline rapidly and unexpectedly. In the past, securities class action litigation has often been brought against a company following a decline in the market price of its securities. If we were to become involved in securities litigation, it could subject us to substantial costs, divert resources and the attention of management from our business and materially and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influenced by reports published by industry and equity research analysts.</w:t>
      </w:r>
    </w:p>
    <w:p>
      <w:pPr>
        <w:spacing w:after="0" w:line="21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The trading market for our ADSs is influenced by the research and reports that industry or equity research analysts publish about us or our business. As a newly public company, the analysts who publish information about our ADSs have relatively little experience with us, which could affect their ability to accurately forecast our results and could make it more likely that we fail to meet their estimates. We do not have any control over the analysts’ content and opinions included in their reports. If any of the analysts who cover us issue an adverse or misleading opinion regarding us, our business model, financial performance, ADS price or otherwise, our ADS price would likely decline. If one or more of these analysts ceases coverage of our company or fails to regularly publish reports on us, we could lose visibility in the financial markets, which, in turn, could cause our ADS price or trading volume to decline and result in the loss of all or a part of your investment in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ADSs in the public market, or the perception that these sales could occur, could cause the price of the ADSs to decline.</w:t>
      </w:r>
    </w:p>
    <w:p>
      <w:pPr>
        <w:spacing w:after="0" w:line="21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If our existing shareholders sell, or indicate an intention to sell, substantial amounts of our ADSs in the public market or engage in financing transactions involving our ADSs or ordinary shares, or the market perceives that such transactions may occur, the market price of our ADSs and our ability to raise capital through an issue of equity securities in the future could be adversely affected. In addition, in the case of non-payment at maturity or another event of default, the providers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7" w:name="page48"/>
    <w:bookmarkEnd w:id="47"/>
    <w:p>
      <w:pPr>
        <w:jc w:val="both"/>
        <w:spacing w:after="0" w:line="245" w:lineRule="auto"/>
        <w:rPr>
          <w:sz w:val="20"/>
          <w:szCs w:val="20"/>
          <w:color w:val="auto"/>
        </w:rPr>
      </w:pPr>
      <w:r>
        <w:rPr>
          <w:rFonts w:ascii="Times New Roman" w:cs="Times New Roman" w:eastAsia="Times New Roman" w:hAnsi="Times New Roman"/>
          <w:sz w:val="18"/>
          <w:szCs w:val="18"/>
          <w:color w:val="auto"/>
        </w:rPr>
        <w:t>the SoftBank Group Facility may exercise their rights to foreclose on and sell or cause the sale of our shares that are pledged as collateral. If such shares are sold, then the market price of our ADSs could be adversely affected. In the future, SoftBank Group may transfer a portion of its holdings in us to one or more of its affiliates or affiliated investment funds. Such affiliates or affiliated investment funds may have different investment strategies and interests and may decide to sell their holdings to third parties even if SoftBank Group intends to continue to hold the remainder of its holdings.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are not treated as holders of our ordinary shares.</w:t>
      </w:r>
    </w:p>
    <w:p>
      <w:pPr>
        <w:spacing w:after="0" w:line="21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Holders of ADSs are not treated as holders of our ordinary shares, unless they withdraw the ordinary shares underlying their ADSs in accordance with the deposit agreement and applicable laws and regulations. The depositary, the custodian or their nominee is the holder of the ordinary shares underlying the ADSs. Holders of ADSs therefore do not have any rights as holders of our ordinary shares, other than the rights that they have pursuant to the deposit agreement. See the Description of Securities included as Exhibit 2.3 to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the transfer of their ADSs and the withdrawal of the underlying ordinary shares.</w:t>
      </w:r>
    </w:p>
    <w:p>
      <w:pPr>
        <w:spacing w:after="0" w:line="216"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the Description of Securities included as Exhibit 2.3 to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our ADSs is entitled to charge holders fees for various services, including annual ADS service fees.</w:t>
      </w:r>
    </w:p>
    <w:p>
      <w:pPr>
        <w:spacing w:after="0" w:line="21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depositary for our ADSs is entitled to charge ADS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ADS service fees. In the case of ADSs issued by the depositary into the DTC, the fees will be charged by the DTC participants to the account of the applicable beneficial owners of ADSs in accordance with the procedures and practices of the DTC participants as in effect at the time.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will not have the same voting rights as the holders of our ordinary shares and may not receive voting materials in time to be able to exercise your right to vote.</w:t>
      </w:r>
    </w:p>
    <w:p>
      <w:pPr>
        <w:spacing w:after="0" w:line="15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Except as described in the Description of Securities included as Exhibit 2.3 to this Annual Report and the deposit agreement, holders of the ADSs are not able to exercise voting rights attaching to the ordinary shares represented by the ADSs. Under the terms of the deposit agreement, holders of the ADSs may instruct the depositary to vote the ordinary shares underlying their ADSs. Otherwise, holders of ADSs do not have a right to vote unless they withdraw the ordinary shares underlying their ADSs to vote them in person or by proxy in accordance with applicable laws and regulations and the Articles.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ADS holders a shareholder meeting notice that contains, among other things, a statement as to the manner in which voting instructions may be given to the depositary.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the Articles.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be able to vote in person or by proxy and they may not have any recourse against the depositary or us if the ordinary shares underlying their ADSs are not voted as they have requested or if such ordinary shares cannot be voted.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8" w:name="page49"/>
    <w:bookmarkEnd w:id="48"/>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materially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any ADRs or the deposit agreement.</w:t>
      </w:r>
    </w:p>
    <w:p>
      <w:pPr>
        <w:spacing w:after="0" w:line="177"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it our understanding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w:t>
      </w:r>
    </w:p>
    <w:p>
      <w:pPr>
        <w:spacing w:after="0" w:line="18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ADRs serves as a waiver by any holder or beneficial owner of ADSs or by us or the depositary of compliance with any substantive provision of the U.S. federal securities laws and the rules and regulations promulgated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 agreement expressly limits our and the depositary’s obligations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deposit agreement expressly limits our obligations and liabilities as well as those of the depositary. See the section titled Limitations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and Liabilities in the Description of Securities included in Exhibit 2.3 to this Annual Report. Such limitations include the following:</w:t>
      </w:r>
    </w:p>
    <w:p>
      <w:pPr>
        <w:spacing w:after="0" w:line="20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9" w:name="page50"/>
    <w:bookmarkEnd w:id="49"/>
    <w:p>
      <w:pPr>
        <w:jc w:val="both"/>
        <w:ind w:left="6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for any action or inaction of any clearing or settlement system (and any participant thereof).</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of the deposit agreement limit the ability of ADS holders to obtain recourse if we or the depositary fail to meet our respective obligations under the deposit agreement.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nothing in the deposit agreement gives rise to a partnership or joint venture, or establishes a fiduciary relationship, among us, the depositary and you as ADS holder.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depositary for the ADSs has agreed to pay to you the cash dividends or other distributions it or the custodian receives on our ordinary shares or other deposited securities after deducting its fees and expenses, and any taxes.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ordinary shares in the foreseeable future, capital appreciation, if any, will be your sole source of gains and you may never receive a return on your investment.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English law, a company’s accumulated realized profits, to the extent they have not been previously utilized by distribution or capitalization, must exceed its accumulated realized losses, to the extent that they have not been previously written off in a reduction or reorganization of capital duly made (on a non-consolidated basis), before dividends can be paid. Therefore, we must have distributable profits before issuing a dividend.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price at which you acquired your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have our registered office in England. The U.S. and the U.K. do not currently have a treaty providing for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English courts would entertain original actions brought in England and Wales against us or our directors or senior management predicated upon the securities laws of the U.S. or any state in the U.S. Any final and conclusive monetary judgment for a definite sum obtained against us in U.S. courts would be treated by English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members of our Board of Directors who are residents of the U.K. or countries other than the U.S. any judgments obtained in U.S. courts in civil and commercial matters, including judgments under the U.S. federal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members of our Board of Directors.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listing requirements of Nasdaq and other applicable securities rules and regulations. Compliance with these rules and regulations will continue to require us to incur significant legal and financial compliance costs, make some activities more difficult, time-consuming, or costly, and increase demand on our systems and resources. For example, these rules and regulations have made it more difficult and more expensive for us to obtain director and officer liability insurance, which in turn makes it more difficult for us to attract and retain qualified senior management personnel or members for our Board of Directors. Further,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U.S. and U.K. Tax Regimes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(or one of our non-U.S. subsidiaries is) a “controlled foreign corporation” (a “CFC”), there could be adverse U.S. federal income tax consequences to certain U.S. investors.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1" w:name="page52"/>
    <w:bookmarkEnd w:id="5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Generally, if a U.S. investor is treated as owning, directly, indirectly or constructively, at least 10% of either the total value or total combined voting power of our stock, such U.S. investor may be treated as a “United States shareholder” with respect to each CFC in our group, if any, for U.S. federal income tax purposes. A non-U.S. corporation will generally be classified as a CFC for U.S. federal income tax purposes if United States shareholders own, directly, indirectly or constructively, more than 50% of either the total value or the total combined voting power of the stock of such corporation. Because SoftBank Group currently owns, and is expected to continue to own, more than 50% of our ordinary shares, we are currently a CFC and expect to remain so in the future so long as SoftBank Group continues to own, directly or indirectly, 50% or more (by value) of the stock of a U.S. subsidiary. In addition, because our group includes U.S. subsidiaries, our current non-U.S. subsidiaries and potentially any future newly formed or acquired non-U.S. subsidiaries generally will be treated as CFCs, regardless of whether we are treated as a CFC. A United States shareholder of a CFC may be required to annually report and include in its U.S. taxable income its pro rata share of “Subpart F income,” “global intangible low-taxed income” and investments of earnings in U.S. property, regardless of whether such CFC makes any distributions to its shareholders. Additionally, an individual that is a United States shareholder with respect to a CFC generally would not be allowed certain tax deductions or foreign tax credits that would be allowed to a United States shareholder that is a U.S. corporation. Failure to comply with CFC reporting obligations may also subject a United States shareholder to significant monetary penalties and may prevent the statute of limitations with respect to such United States shareholder’s U.S. federal income tax return for the year for which reporting was due from expiring. We cannot provide any assurances that we will furnish to any United States shareholder information that may be necessary to comply with the reporting and tax paying obligations applicable under the CFC rules of the Internal Revenue Code of 1986, as amended (the “Code”), and the U.S. Internal Revenue Service (the “IRS”) has provided only limited guidance on situations in which investors may rely on publicly available information to comply with their reporting and tax paying obligations with respect to foreign-controlled CFCs. U.S. investors should consult their tax advisors regarding the potential application of these rules to their investment in our ordinary shares or ADSs.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(a “PFIC”) for any taxable year, there could be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we will be a PFIC for any taxable year in which, after the application of certain look-through rules with respect to our subsidiaries, either</w:t>
      </w:r>
    </w:p>
    <w:p>
      <w:pPr>
        <w:spacing w:after="0" w:line="27" w:lineRule="exact"/>
        <w:rPr>
          <w:sz w:val="20"/>
          <w:szCs w:val="20"/>
          <w:color w:val="auto"/>
        </w:rPr>
      </w:pPr>
    </w:p>
    <w:p>
      <w:pPr>
        <w:jc w:val="both"/>
        <w:ind w:firstLine="8"/>
        <w:spacing w:after="0" w:line="251"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consists of passive income or (2) 50% or more of the average quarterly value of our assets consists of assets that produce, or are held for the production of, passive income (including cash and cash equivalents). For purposes of these tests, passive income generally includes, among other things, dividends, interest, gains from certain sales or exchanges of investment property and certain rents and royalties. If we are a PFIC for any taxable year during which a U.S. investor holds our shares, we will generally continue to be treated as a PFIC with respect to such U.S. investor for all succeeding taxable years during which such U.S. investor holds our ordinary shares or ADSs, even if we cease to meet the threshold requirements for PFIC status. Such U.S. investor may be subject to adverse tax consequences with respect to our ordinary shares or ADSs, including ineligibility for any preferential tax rates on capital gains or on actual or deemed dividends, interest charges on certain taxes treated as deferred and additional reporting requirements. We cannot provide any assurance that we will furnish to such U.S. investor information that may be necessary to comply with the reporting and tax paying obligations applicable under the PFIC rules of the Code.</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upon the value of our assets and the nature and composition of our income and assets, we do not believe that we were a PFIC for the taxable year ended March 31, 2024, and we do not expect to become a PFIC in the foreseeable future. However, the determination of whether we are a PFIC is a fact-intensive determination made on an annual basis applying principles and methodologies that in some circumstances are unclear and subject to varying interpretation, and no assurances can be made in this regard. For instance, for our current and future taxable years, the total value of our assets (including goodwill) for PFIC testing purposes may be determined in part by reference to the market price of our ordinary shares or ADSs from time to time, which may fluctuate considerably. If our market capitalization declines while we hold a substantial amount of cash and cash 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As a result, there can be no assurance that we will not be treated as a PFIC for the current or any future taxable year. Even if we determine that we are not a PFIC for a taxable year, there can be no assurance that the IRS will agree with our conclusion and that the IRS would not successfully challenge our position.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further discussion of the PFIC rules and the adverse U.S. federal income tax consequences in the event we are classified as a PFIC, as well as certain elections that may be available to U.S. investors, see “</w:t>
      </w:r>
      <w:r>
        <w:rPr>
          <w:rFonts w:ascii="Times New Roman" w:cs="Times New Roman" w:eastAsia="Times New Roman" w:hAnsi="Times New Roman"/>
          <w:sz w:val="18"/>
          <w:szCs w:val="18"/>
          <w:i w:val="1"/>
          <w:iCs w:val="1"/>
          <w:color w:val="auto"/>
        </w:rPr>
        <w:t>Item 10. Additional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 Taxation—Material U.S. Federal Income Tax Considerations for U.S. Holders—Passive Foreign Investment Company Rules</w:t>
      </w:r>
      <w:r>
        <w:rPr>
          <w:rFonts w:ascii="Times New Roman" w:cs="Times New Roman" w:eastAsia="Times New Roman" w:hAnsi="Times New Roman"/>
          <w:sz w:val="18"/>
          <w:szCs w:val="18"/>
          <w:color w:val="auto"/>
        </w:rPr>
        <w: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and the tax treatment of our ADSs and ordinary shares, could be materially adversely affected by several factors, including: changing tax laws, regulations and treaties, or the interpretation thereof; tax policy initiatives and reforms under consideration (such as those related to the Inclusive Framework (as defined below), the European Commission’s state aid investigations and other initiatives); the practices of tax authorities in jurisdictions in which we operate; and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 or the stamp duty or SDRT treatment of our ADSs or ordinary shares.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and the G20 Inclusive Framework on Base Erosion and Profit Shifting (the “Inclusive Framework”) have put forth two proposals—Pillar One and Pillar Two—that revise the existing profit allocation and nexus rules and ensure a minimal level of taxation, respectively. In July 2023, the U.K. enacted legislation to implement the OECD framework for Pillar Two, part of which went into effect January 1, 2024. A number of other countries where we do business, including the U.S., Japan, and many countries in the European Union, have implemented, or are considering implementing, changes in relevant tax, accounting and other laws, regulations and interpretations. The overall tax environment has made it increasingly challenging for multinational corporations to operate with certainty about taxation in many jurisdictions. In the U.S., various proposals to raise corporate income taxes are periodically considered, such as the Inflation Reduction Act, which introduced a 15% Corporate Alternative Minimum Tax beginning in 2023. These proposed and enacted changes in tax laws, treaties or regulations, or their interpretation or enforcement, could have a material adverse impact on our future tax positions.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provision for income taxes is reasonable, but the ultimate tax outcome may differ from the amounts recorded in our financial statements and may materially affect our financial results in the period or periods in which such outcome is determined.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financial statements,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Additionally, our future tax liability could be impacted by changes in accounting principles or changes in applicable tax jurisdictions.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periodically restructure our legal entities and if taxing authorities were to disagree with our tax positions in connection with any such restructurings, our tax liability could be materially affected. In connection with any restructuring we could also incur additional charges associated with consulting fees and other charges.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carry out extensive research and development activities, and as a result, we benefit in the U.K. from the research and development expenditure credit (“RDEC”) regime, which provides relief against U.K. corporation tax. Broadly, RDEC provides a tax credit currently equal to 20% of ‘qualifying research and development expenditure’ incurred from April 1, 2023 (the rate was previously 13% of qualifying research and development expenditure incurred from April 1, 2020 to March 31, 2023) by certain companies where certain criteria are met. To the extent a company cannot utilize the RDEC against U.K. corporation tax then certain rules apply that allow the RDEC to, among other things, reduce the tax liability of certain specified taxes (for example, value added tax or employee taxes), or be surrendered to a group company, and to the extent it is not possible to utilize the RDEC in full, then the net tax credit is paid to the company by HMRC in cash. On February 22, 2024, the U.K. government enacted changes to its research and development tax relief legislation which apply for accounting periods beginning on or after April 1, 2024. These changes include the merger of the RDEC regime and the small and medium-sized enterprise regime into a single RDEC regime. The merged RDEC regime provides the same tax credit as under the old RDEC scheme (currently equal to 20% of ‘qualifying research and development expenditure’). The enacted changes also restrict research and development relief where the research and development activity is subcontracted and takes place outside of the U.K.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3" w:name="page54"/>
    <w:bookmarkEnd w:id="53"/>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benefit from the U.K.’s “patent box” regime, which allows certain profits attributable to revenues from patented products (and other qualifying income) to be taxed at an effective corporation tax rate of 10%.</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however, there are unexpected adverse changes to the RDEC or the “patent box” regime, or for any reason we are unable to qualify for such tax incentives, then our business, results of operations and financial condition may be adversely affected.</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225"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color w:val="231F20"/>
        </w:rPr>
        <w:t>is a global leader in the semiconductor industry. The Company’s principal operations are the licensing, marketing,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of microprocessors, systems IP, graphics processing units, physical IP and associated systems IP, software, tools and other related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Arm Holdings plc was incorporated as a private limited company with the legal name Arm Holdings Limited under the laws of England and Wales on April 9, 2018, with the company number 11299879. Arm Holdings Limited re-registered as a public limited company under the laws of England and Wales on September 1, 2023 and changed its name to Arm Holdings plc.</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(at which time it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Group. On March 19, 2018, as a part of a reorganization, Arm Holdings plc with the company number 02548782 re-registered as a private limited company and was renamed SVF HoldCo (UK) Limited, which became a subsidiary of SoftBank Vision Fund L.P. (“SoftBank Vision Fund”), which retained an approximate 25% interest in our company with the remainder beneficially held by SoftBank Group. In August 2023, a subsidiary of SoftBank Group acquired substantially all of SoftBank Vision Fund’s interest in Arm Limited at a purchase price of approximately $16.1 billion, with the associated payments to be made in installments over a two-year period. The purchase price was established by reference to the terms of a prior contractual arrangement between the parties. Accordingly, prior to Arm’s initial public offering, SoftBank Group beneficially owned substantially all of our outstanding shares.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registered office is 110 Fulbourn Road, Cambridge, Cambridgeshire, CB1 9NJ, U.K., and the telephone number at that office is +44 (1223) 400</w:t>
      </w:r>
    </w:p>
    <w:p>
      <w:pPr>
        <w:spacing w:after="0" w:line="16" w:lineRule="exact"/>
        <w:rPr>
          <w:sz w:val="20"/>
          <w:szCs w:val="20"/>
          <w:color w:val="auto"/>
        </w:rPr>
      </w:pPr>
    </w:p>
    <w:p>
      <w:pPr>
        <w:jc w:val="both"/>
        <w:ind w:firstLine="8"/>
        <w:spacing w:after="0" w:line="238" w:lineRule="auto"/>
        <w:tabs>
          <w:tab w:leader="none" w:pos="3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office for Arm Inc., our U.S. subsidiary, is located at 120 Rose Orchard Way, San Jose, CA 95134, and our telephone number at that office is +1 (408) 576-1500. Our website address is www.arm.com. We have included our website address in this Annual Report solely as an inactive textual reference. Information contained on, or that can be accessed through, our website is not incorporated by reference into this Annual Report, and you should not consider information on our website to be part of this Annual Report. Our agent for service of process in the United States is Arm, Inc.</w:t>
      </w:r>
    </w:p>
    <w:p>
      <w:pPr>
        <w:spacing w:after="0" w:line="19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For a discussion of our principal capital expenditures, refer to “</w:t>
      </w:r>
      <w:r>
        <w:rPr>
          <w:rFonts w:ascii="Times New Roman" w:cs="Times New Roman" w:eastAsia="Times New Roman" w:hAnsi="Times New Roman"/>
          <w:sz w:val="18"/>
          <w:szCs w:val="18"/>
          <w:i w:val="1"/>
          <w:iCs w:val="1"/>
          <w:color w:val="auto"/>
        </w:rPr>
        <w:t>Item 5. Operating and Financial Review and Prospects—B. 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4. Information on the Company—D. Property and Equipment”, “Item 8. Financial Information—Note 8 - Property and Equipment, Net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Item 8. Financial Information—Note 9 - Leases</w:t>
      </w:r>
      <w:r>
        <w:rPr>
          <w:rFonts w:ascii="Times New Roman" w:cs="Times New Roman" w:eastAsia="Times New Roman" w:hAnsi="Times New Roman"/>
          <w:sz w:val="18"/>
          <w:szCs w:val="18"/>
          <w:color w:val="auto"/>
        </w:rPr>
        <w:t>” in the Notes to the Consolidated Financial Statements included in this Annual Report.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In September 2023, we completed a board approved corporate reorganization which involved (1) </w:t>
      </w:r>
      <w:r>
        <w:rPr>
          <w:rFonts w:ascii="Times New Roman" w:cs="Times New Roman" w:eastAsia="Times New Roman" w:hAnsi="Times New Roman"/>
          <w:sz w:val="18"/>
          <w:szCs w:val="18"/>
          <w:color w:val="000000"/>
        </w:rPr>
        <w:t>the shareholders of Arm Limited exchanging each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ordinary shares held by them in Arm Limited for newly issued ordinary </w:t>
      </w:r>
      <w:r>
        <w:rPr>
          <w:rFonts w:ascii="Times New Roman" w:cs="Times New Roman" w:eastAsia="Times New Roman" w:hAnsi="Times New Roman"/>
          <w:sz w:val="18"/>
          <w:szCs w:val="18"/>
          <w:color w:val="231F20"/>
        </w:rPr>
        <w:t>shares of Arm Holdings Limited; and (2) the re-registration of Arm Holdings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Limited as a public limited company under the laws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231F20"/>
        </w:rPr>
        <w:t>England and Wales at which time its name was changed to Arm Holdings plc. This corporate reorganization was solely for the purpose of reorganizing our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our historical consolidated financial statements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on Form F-1 relating to the IPO was declared effective on September 13, 2023 and our ADSs began trading on the Nasdaq Global Select Market under the ticker symbol “ARM” on September 14, 2023. On September 18, 2023, we completed the closing of the IPO. One of our shareholders sold an aggregate of 102,500,000 ADSs at a price of $51 per share, including the underwriters’ full exercise of their option to purchase up to an additional 7,000,000 ADSs to cover over-allotments. We did not receive any proceeds from the sale of the ADSs in the IPO.</w:t>
      </w:r>
    </w:p>
    <w:p>
      <w:pPr>
        <w:spacing w:after="0" w:line="176"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Semiconductors are indispensable to everyday life. In today’s technology-driven world, semiconductors are the enablers of the devices and infrastructure that facilitate virtually everything people do. As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we expect the pervasiveness of high-performance and energy-efficient semiconductors to continue to expand.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world is becoming increasingly digital with the proliferation of smart, connected devices, such as smartphones, wearables, personal computers (“PCs”), tablets, and other electronic devices. Even everyday products like washing machines, thermostats, and utility meters are becoming more advanced. The market trend to make nearly all products smart and connected is not just limited to consumer electronics, but is also driving a wave of innovation across a broad range of end markets and use cases. For example, vehicles are effectively transforming into computers on wheels, factory floors are becoming increasingly automated with robotics, and retail shopping is evolving with the help of cashier-less checkout technology.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massive expansion of data, advanced software applications, and AI are driving the need for high-performance compute capabilities. To address increasingly complex workloads, a key approach has been to increase the speed of a CPU and expand the number of processor cores per chip. Solely running an existing chip faster may deliver more compute performance, but increasing performance in this way results in higher energy costs, and may cause thermal limits to be exceeded. For example, individual servers are limited by their ability to dissipate heat energy, while whole data centers are limited by how much electricity is available to them. Mobile devices are limited by the energy stored in their batteries, while their instantaneous power is limited by thermal constraints. Furthermore, the transition to electric vehicles is increasing pressure on automakers to consider the power consumption and thermal management of vehicle electronics. In addition, enterprises are increasingly mindful of environmental sustainability, which is driving a need for more efficient alternatives to offset the continued growth in data centers and other compute deployments. Collectively, these considerations result in the need for innovation in chip design to address market demands for an optimal balance of performance, efficiency, size, and cost across end markets.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the resources required to develop leading-edge products are significant and continue to increase exponentially as manufacturing process nodes shrink. Design partners play an increasingly valuable role in the chip design process by providing specialized capabilities and expertise that enable semiconductor suppliers to focus on their core product differentiation, while keeping pace with market innovation. Design partners facilitate innovation and enhance customers’ competitive positioning by reducing the complexity, risk, and cost of a significant part of the development cycle. In addition, design partners, like Arm, that can demonstrate a deep understanding of their customers’ workloads are better positioned to integrate themselves into their customers’ workflows, further expanding their value proposition over time.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OEMs today utilize “off-the-shelf,” or “merchant,” semiconductors when building their product offerings. However, we are also seeing some leading OEMs looking to build custom chips in-house that deliver greater performance and greater efficiency at an equal or better price for a particular use case.</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our business’s cyclical nature, see </w:t>
      </w:r>
      <w:r>
        <w:rPr>
          <w:rFonts w:ascii="Times New Roman" w:cs="Times New Roman" w:eastAsia="Times New Roman" w:hAnsi="Times New Roman"/>
          <w:sz w:val="18"/>
          <w:szCs w:val="18"/>
          <w:i w:val="1"/>
          <w:iCs w:val="1"/>
          <w:color w:val="auto"/>
        </w:rPr>
        <w:t>“Item 5. Operating and Financial Review and Prospects—D. Trend information—Key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Trends Affecting Our Operating Results—Global Demand for Semiconductor Products and Cyclical Nature of the Semiconductor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Arm architects, develops, and licenses high-performance, low-cost, and energy-efficient CPU products and related technology, on which many of the world’s leading semiconductor companies and OEMs rely to develop their products. For the three months ended March 31, 2024, approximately 7 billion Arm-based chips were reported as shipped, resulting in more than 287 billion Arm-based chips cumulatively, powering everything from the tiniest of sensors to the most powerful supercomputers. Today, Arm CPUs run the vast majority of the world’s software, including the operating systems and applications for smartphones, tablets and PCs, data centers and networking equipment, and vehicles, as well as the embedded operating systems in devices such as smartwatches, thermostats, drones and industrial robotics.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Every CPU has an ISA, which defines the software instructions that can be executed by the CPU, essentially a common language for software developers to use. The ISA sets the foundation for a large library of compatible software which runs on those CPUs. The Arm ISA also has corresponding market position as compared to competing ISAs. This means that Arm-based chips have a global community of software developers familiar with how to program the CPU. Chip designers utilizing the Arm CPU can add desired functionality (Wi-Fi connectivity, image processing, video processing, etc.) to create an SoC to meet the needs of any end market.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primary product offerings are leading CPU products that address diverse performance, power, and cost requirements. Complementary products such as graphics processing units (“GPUs”), which accelerate the display of complex graphics onto a screen and can also be used for other mathematical applications, System IP, and compute platforms are also available as well as development tools and a software ecosystem to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support ecosystems of third-party tool vendors for embedded software and the IoT. We are also committed to contributing to open-source software and tools to ensure our offerings are optimized for the latest technologies.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Arm CPUs run AI and ML workloads in billions of devices, including smartphones, cameras, digital TVs, cars and cloud data centers. The CPU is vital in all AI systems, whether it is handling the AI workload entirely or in combination with a co-processor, such as a GPU or a neural processing unit (“NPU”), which specializes in the acceleration of ML algorithms. In the emerging area of large language models, generative AI and autonomous driving, there will be a heightened emphasis on the low power acceleration of these algorithms. In our latest ISA, CPUs, and GPUs, we have added new functionality and instructions to accelerate future AI and ML algorithms.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Established in 1990, Arm began as a joint venture between Acorn Computers, Apple Computer, and VLSI Technology. We were publicly listed on the London Stock Exchange and the Nasdaq Stock Market from 1998 until 2016, when we were taken private by SoftBank Group, our controlling shareholder.</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original joint venture set out to develop a processor that was high performance, power efficient, easy to program, and readily scalable – a goal that continues to define Arm today. One of the first Arm-based products was a predecessor of today’s tablets. As a battery-powered device, it required an energy-efficient chip to maximize its battery life while providing the necessary compute capabilities. This product benefited from Arm’s clear focus on efficient CPU design. Our CPUs initially gained significant traction in mobile phones in the mid-1990s because our energy-efficient processors provided an appropriate level of performance while consuming little power, which was critical for these smaller form factor devices. As the mobile phone market continued to grow rapidly, more semiconductor companies entered the market. All these companies needed to source high-performance, energy-efficient processors to run their mobile phone software,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many of them licensed Arm CPU products. Over time, mobile phones, and the chips they used, became more advanced and ultimately evolved into the smartphones that are prevalent today.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similar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elements of our solution include:</w:t>
      </w:r>
    </w:p>
    <w:p>
      <w:pPr>
        <w:spacing w:after="0" w:line="221" w:lineRule="exact"/>
        <w:rPr>
          <w:sz w:val="20"/>
          <w:szCs w:val="20"/>
          <w:color w:val="auto"/>
        </w:rPr>
      </w:pPr>
    </w:p>
    <w:p>
      <w:pPr>
        <w:ind w:left="660" w:hanging="328"/>
        <w:spacing w:after="0" w:line="28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 CPUs</w:t>
      </w:r>
      <w:r>
        <w:rPr>
          <w:rFonts w:ascii="Times New Roman" w:cs="Times New Roman" w:eastAsia="Times New Roman" w:hAnsi="Times New Roman"/>
          <w:sz w:val="18"/>
          <w:szCs w:val="18"/>
          <w:color w:val="auto"/>
        </w:rPr>
        <w:t>. The foundation of our product offerings is our CPU products. Our CPU products leverage our common scalable ISA and address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performance, power, and cost requirements.</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Design Offerings. </w:t>
      </w:r>
      <w:r>
        <w:rPr>
          <w:rFonts w:ascii="Times New Roman" w:cs="Times New Roman" w:eastAsia="Times New Roman" w:hAnsi="Times New Roman"/>
          <w:sz w:val="18"/>
          <w:szCs w:val="18"/>
          <w:color w:val="auto"/>
        </w:rPr>
        <w:t>We have a portfolio of products that are deployed alongside our CPUs, including: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Graphics Processing Units</w:t>
      </w:r>
      <w:r>
        <w:rPr>
          <w:rFonts w:ascii="Times New Roman" w:cs="Times New Roman" w:eastAsia="Times New Roman" w:hAnsi="Times New Roman"/>
          <w:sz w:val="18"/>
          <w:szCs w:val="18"/>
          <w:color w:val="auto"/>
        </w:rPr>
        <w:t>. We offer a family of GPU products providing an optimal visual experience across a wide range of devices.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IP</w:t>
      </w:r>
      <w:r>
        <w:rPr>
          <w:rFonts w:ascii="Times New Roman" w:cs="Times New Roman" w:eastAsia="Times New Roman" w:hAnsi="Times New Roman"/>
          <w:sz w:val="18"/>
          <w:szCs w:val="18"/>
          <w:color w:val="auto"/>
        </w:rPr>
        <w:t>. Complementary design components that enable designers to create high-performance, power-efficient, reliable, and secure chips.</w:t>
      </w:r>
    </w:p>
    <w:p>
      <w:pPr>
        <w:spacing w:after="0" w:line="11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Compute Platform Products</w:t>
      </w:r>
      <w:r>
        <w:rPr>
          <w:rFonts w:ascii="Times New Roman" w:cs="Times New Roman" w:eastAsia="Times New Roman" w:hAnsi="Times New Roman"/>
          <w:sz w:val="18"/>
          <w:szCs w:val="18"/>
          <w:color w:val="auto"/>
        </w:rPr>
        <w:t>. Arm’s CPU, GPU, and System IP products integrate into a foundational compute platform optimized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end market.</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Tools and Software</w:t>
      </w:r>
      <w:r>
        <w:rPr>
          <w:rFonts w:ascii="Times New Roman" w:cs="Times New Roman" w:eastAsia="Times New Roman" w:hAnsi="Times New Roman"/>
          <w:sz w:val="18"/>
          <w:szCs w:val="18"/>
          <w:color w:val="auto"/>
        </w:rPr>
        <w:t>. Our tools and software support the development and deployment of our offerings.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continue to expand the scope of our product offerings, investing in more holistic, end-market optimized designs, expanding beyond individual design IP to providing subsystem designs. Given the complexities of developing chips using the most advanced manufacturing processes, we are making significant investments to better support the increasing number of OEMs looking to develop their own customized chips.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cultivated a broad ecosystem of third-party hardware and software partners to support our customers. Our partners include leading semiconductor technology suppliers, including foundries and EDA vendors. We also invest in our software ecosystem and work closely with firmware and operating system vendors, game engine vendors, software tool providers, and application software developers.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primary customer benefits of our product offerings include:</w:t>
      </w:r>
    </w:p>
    <w:p>
      <w:pPr>
        <w:spacing w:after="0" w:line="221" w:lineRule="exact"/>
        <w:rPr>
          <w:sz w:val="20"/>
          <w:szCs w:val="20"/>
          <w:color w:val="auto"/>
        </w:rPr>
      </w:pPr>
    </w:p>
    <w:p>
      <w:pPr>
        <w:jc w:val="both"/>
        <w:ind w:left="660" w:hanging="328"/>
        <w:spacing w:after="0" w:line="26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Ability to Optimize for Performance, Power and Area (PPA)</w:t>
      </w:r>
      <w:r>
        <w:rPr>
          <w:rFonts w:ascii="Times New Roman" w:cs="Times New Roman" w:eastAsia="Times New Roman" w:hAnsi="Times New Roman"/>
          <w:sz w:val="18"/>
          <w:szCs w:val="18"/>
          <w:color w:val="auto"/>
        </w:rPr>
        <w:t>. Arm’s flexible and modular design IP enables customers to build chips optimized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Alignment with the Semiconductor Industry’s Technology Roadmap</w:t>
      </w:r>
      <w:r>
        <w:rPr>
          <w:rFonts w:ascii="Times New Roman" w:cs="Times New Roman" w:eastAsia="Times New Roman" w:hAnsi="Times New Roman"/>
          <w:sz w:val="18"/>
          <w:szCs w:val="18"/>
          <w:color w:val="auto"/>
        </w:rPr>
        <w:t>. As leading-edge manufacturing processes continue to progress towards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In addition, through our deep customer and partner relationships, we have unique visibility into the future requirements of end markets many years out, which informs the development of our products to ensure that our products meet or exceed future market needs.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Design Risk and Cost. </w:t>
      </w:r>
      <w:r>
        <w:rPr>
          <w:rFonts w:ascii="Times New Roman" w:cs="Times New Roman" w:eastAsia="Times New Roman" w:hAnsi="Times New Roman"/>
          <w:sz w:val="18"/>
          <w:szCs w:val="18"/>
          <w:color w:val="auto"/>
        </w:rPr>
        <w:t>Our product offerings allow customers to build optimized chips, while reducing their design execution risk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internal development costs. We generally expect to license our products to multiple customers, enabling us to cover at least some of the cost of developing new Arm products. We invest significant time, resources and effort in the design and verification of each processor and work closely with our partners to develop the products we deliver to our customers.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jc w:val="both"/>
        <w:ind w:left="660" w:hanging="328"/>
        <w:spacing w:after="0" w:line="26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Incorporation of AI and ML Acceleration in Every Processor We Design. </w:t>
      </w:r>
      <w:r>
        <w:rPr>
          <w:rFonts w:ascii="Times New Roman" w:cs="Times New Roman" w:eastAsia="Times New Roman" w:hAnsi="Times New Roman"/>
          <w:sz w:val="18"/>
          <w:szCs w:val="18"/>
          <w:color w:val="auto"/>
        </w:rPr>
        <w:t>Using an AI or ML algorithm is just another way of programming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needed to run a chip, and we expect that AI and ML algorithms will complement the software used by most chips in the future. To ensure that software developers can efficiently run the AI and ML workloads, each generation of our processors is designed to accelerate key parts of algorithms that will be used in future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Primary Markets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231F20"/>
        </w:rPr>
        <w:t>summary of our disaggregated revenue and information pertaining to revenue from customers based on the principal headquarters address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geographic regions </w:t>
      </w:r>
      <w:r>
        <w:rPr>
          <w:rFonts w:ascii="Times New Roman" w:cs="Times New Roman" w:eastAsia="Times New Roman" w:hAnsi="Times New Roman"/>
          <w:sz w:val="18"/>
          <w:szCs w:val="18"/>
          <w:color w:val="000000"/>
        </w:rPr>
        <w:t>for the fiscal years ended March 31, 2024, 2023, and 2022, is included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“Item 8. Financial Information—A. Consolidated Statements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and Other Financial Information—Note 4 -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Applications Processor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have maintained market share in the mobile applications processor market of greater than 99% for many years, by virtue of all key mobile operating systems depending on Arm processors.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royalty revenue from the mobile applications processors market constituted approximately 35% of our total royalty revenue for the fiscal year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Mobile Chips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The market share of Arm-based chips in the other mobile chips market varies by device and is generally higher in chips that run more software (such as modem and connectivity chips) and is lower in chips that require less software (such as power management chips).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Electronics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Consumer Electronics includes products found in the home, such as digital TVs, tablets, laptops, XR headsets and wearables. The opportunity for Arm-based chips in consumer electronics is increasing as new product categories, such as smart speakers, virtual reality headsets and laptops, need CPUs that can deliver high performance without sacrificing efficiency.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IoT and Embedded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industrial IoT and embedded semiconductor market includes chips used by a wide range of goods, including washing machines, thermostats, digital cameras, drones, sensors, surveillance cameras, manufacturing equipment, robotics, electric motor controllers and city infrastructure and building management equipment.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manufacturers and logistics companies are using advanced sensors and smart machines capable of capturing and analyzing data in real time to improve and automate industrial processes and logistics systems. Combining the data captured by sensors with AI and data analytics can result in improvements in manufacturing yield and system throughput. Our products are broadly applicable for sensors and embedded computers that require small, power efficient and smart processors.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networking equipment market includes chips deployed into wireless networking such as base-station equipment, enterprise Wi-Fi, and wired networking equipment such as routers and switches.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networking equipment market is growing as more wired and wireless infrastructure is deployed, as much of the data consumed in the cloud is created at the edge and needs to be transmitted over networks to the data center for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processing. The deployment of 5G networks as infrastructure scales from fewer large cell towers covering a wide area to a large number of small cells providing high-speed coverage creates further demand for architecture that allow for flexible deployment of software and workloads.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cloud compute market includes the main server chips, data processing units, and smart network interface cards used by cloud service providers (“CSPs”) to run their operations. Arm-based chips have been gaining market share as CSPs have started to deploy Arm products in their own in-house designed chips used in their data centers, and as other CSPs start to deploy chips designed by Arm licensees.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Infrastructure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Infrastructure refers to the technological components and systems that support various aspects of computing, networking, and data processing and include chips deployed into HPC systems, enterprise servers, and edge networking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automotive market includes all chips with processors within vehicles. This includes chips used for in-vehicle-infotainment (“IVI”), advanced driver assistance systems (“ADAS”), engine management, and body and chassis control. Today, our market share in the automotive market is highest in more technologically advanced functional areas such as IVI and ADAS.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automotive market is expected to increase as ADAS, electrification, IVI, and eventually autonomous driving, accelerate requirements for higher compute performance in newly manufactured vehicles. At the same time, automakers must operate with strict constraints on power consumption, heat dissipation, and packaging, while prioritizing functional safety. Furthermore, automotive electronics are transitioning from hardware-defined to software-defined architecture and compute, enabling new services and features such as ADAS to be continuously improved via over-the-air updates.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 and Customers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open and flexible business model provides access to high-quality CPU products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customers can choose from several licensing models, each with its own pricing mechanics and level of access to Arm products. These include Arm Total Access, Arm Flexible Access, TLAs and Architecture Licenses. Regardless of the license model a customer uses, we receive a per-unit royalty fee on substantially every chip shipped. Because each chip may ship for many years, and each Arm CPU can be reused in new products as new applications emerge, these licensing agreements contribute to a long tail of recurring royalty revenues, which provide visibility into future revenue streams.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compete based on a variety of factors, including price, performance, product quality, software availability, marketing and distribution capability, customer support, name recognition and financial strength. Further, given our reliance on our partners and customers, our competitive position is dependent on our partners’ and customers’ competitive positions. In addition, our partners and customers do not license our products exclusively; rather, several of our partners and customers also design, develop, manufacture and market processors based on non-Arm based architectures as well as develop their own Physical IP in-house. Our partners and customers compete with each other and with us in various applications. The level of competition and the nature of the competitor generally varies based on the end market. For established markets where there is an incumbent architecture with a supporting ecosystem, it can be difficult for a new architecture to displace existing architectures and, therefore, to gain market share. For example, we have made significant progress and have established a large market share in markets such as smartphones, consumer electronics and IoT. We face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primarily from other architectures like x86 and RISC-V in many of these markets. Furthermore, certain semiconductor companies, including some of our existing customers, have designed or are in the process of designing their own architectures in markets such as smartphone application processors, other mobile chips, consumer electronics, IoT and embedded computing, networking equipment, automotive, and cloud compute.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markets for our products are intensely competitive and are characterized by rapid technological change. These changes result in frequent product introductions, short product life cycles and increased product capabilities typically representing significant price and performance improvements. We face significant competition from established technologies such as the x86 architecture, as well as from free, open-source technologies, including the RISC-V architecture. Many of our customers are also major supporters of the RISC-V architecture and related technologies. If the RISC-V architecture and related technologies continue to be developed and market support for RISC-V increases, our customers may choose to utilize this free, open-source architecture instead of our products. The x86 and RISC-V architectures have business models that are different from ours and may be more attractive to our customers. Our current and potential competitors also may establish cooperative relationships among themselves or with third parties that may further enhance their resources or strengthen their positions within these markets or they may be subject to more favorable regulatory regimes. For example, in August 2023, a group of our customers and other competitors announced a joint venture aimed at accelerating the adoption of RISC-V. In addition, some semiconductor companies, including certain of our customers, have developed their own proprietary architecture for specific markets or applications.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3. Key Information—D. Risk Factors—Risks Relating to Our Business and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architecture and CPU designs are the leading independent processor technologies licensable to other companies. In addition, our established worldwide network of partners and customers affords us abroad presence, which paired with our software developer ecosystem gives us an advantage over other companies that license processor-related technology. In addition, we believe that our extensive ecosystem and the high barriers to entry into certain of our end markets enhance our competitive position. Our competitive strengths include:</w:t>
      </w:r>
    </w:p>
    <w:p>
      <w:pPr>
        <w:spacing w:after="0" w:line="176" w:lineRule="exact"/>
        <w:rPr>
          <w:sz w:val="20"/>
          <w:szCs w:val="20"/>
          <w:color w:val="auto"/>
        </w:rPr>
      </w:pPr>
    </w:p>
    <w:p>
      <w:pPr>
        <w:jc w:val="both"/>
        <w:ind w:left="660" w:hanging="328"/>
        <w:spacing w:after="0" w:line="25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Leadership Across Markets. </w:t>
      </w:r>
      <w:r>
        <w:rPr>
          <w:rFonts w:ascii="Times New Roman" w:cs="Times New Roman" w:eastAsia="Times New Roman" w:hAnsi="Times New Roman"/>
          <w:sz w:val="18"/>
          <w:szCs w:val="18"/>
          <w:color w:val="auto"/>
        </w:rPr>
        <w:t>Arm CPU technology has been an industry leader for many years and continues to be the most widely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deployed architecture globally. Our products are used in virtually all smartphones, a majority of tablets and digital TVs, and a significant proportion of all chips with embedded processors. We have an established presence in the cloud market, working with many of the largest hyperscalers and in the automotive market we work with many of the leading suppliers. Our products deliver best-in-class performance per watt and provide the flexibility to design custom chips, addressing the growing need for power-efficient compute capabilities.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Ecosystem of Third-Party Software and Hardware Partners. </w:t>
      </w:r>
      <w:r>
        <w:rPr>
          <w:rFonts w:ascii="Times New Roman" w:cs="Times New Roman" w:eastAsia="Times New Roman" w:hAnsi="Times New Roman"/>
          <w:sz w:val="18"/>
          <w:szCs w:val="18"/>
          <w:color w:val="auto"/>
        </w:rPr>
        <w:t>Arm has the world’s largest ecosystem of third-party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partners, including chip design and verification tools vendors, advanced fabrication, operating system and application vendors, software tools providers, and training and support services companies. The wide deployment of chips based on the Arm ISA provides software and tools companies with a large market to develop and sell their products into.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Integration with Customers and Ecosystem Partners. </w:t>
      </w:r>
      <w:r>
        <w:rPr>
          <w:rFonts w:ascii="Times New Roman" w:cs="Times New Roman" w:eastAsia="Times New Roman" w:hAnsi="Times New Roman"/>
          <w:sz w:val="18"/>
          <w:szCs w:val="18"/>
          <w:color w:val="auto"/>
        </w:rPr>
        <w:t>We work closely with our customers and ecosystem partners to understand future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trends and the evolution of end markets. We believe that it is essential that we align with our customers on their development plans and engineering timeline, so that our products meet or exceed their requirements and are delivered at the right time in their chip development timeline. Because it can take two to three years to design a new Arm processor, and it can take another two to three years to develop a chip, we have close relationships with our customers’ research and development functions. This can provide us with unique visibility across the semiconductor industry, from the product pipeline of our customers to, by extension, their customers and end markets.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Efficient Model and Long-Term Visibility Enables Investment in Future Products. </w:t>
      </w:r>
      <w:r>
        <w:rPr>
          <w:rFonts w:ascii="Times New Roman" w:cs="Times New Roman" w:eastAsia="Times New Roman" w:hAnsi="Times New Roman"/>
          <w:sz w:val="18"/>
          <w:szCs w:val="18"/>
          <w:color w:val="auto"/>
        </w:rPr>
        <w:t>Our business model provides significant flexibility to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investments in future products. Arm incurs research and development investments today for the development of products that will be licensed in the future, with royalty fees to follow for years beyond that. We focus our investments on leading-edge products, and we leverage our underlying technology across multiple derivative products targeting different markets and extending into new applications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ind w:left="660"/>
        <w:spacing w:after="0" w:line="282" w:lineRule="auto"/>
        <w:rPr>
          <w:sz w:val="20"/>
          <w:szCs w:val="20"/>
          <w:color w:val="auto"/>
        </w:rPr>
      </w:pPr>
      <w:r>
        <w:rPr>
          <w:rFonts w:ascii="Times New Roman" w:cs="Times New Roman" w:eastAsia="Times New Roman" w:hAnsi="Times New Roman"/>
          <w:sz w:val="18"/>
          <w:szCs w:val="18"/>
          <w:color w:val="auto"/>
        </w:rPr>
        <w:t>over time. We are able to make significant upfront investments due to our alignment with customer roadmaps and the resulting visibility from long-term royalty streams.</w:t>
      </w:r>
    </w:p>
    <w:p>
      <w:pPr>
        <w:spacing w:after="0" w:line="50" w:lineRule="exact"/>
        <w:rPr>
          <w:sz w:val="20"/>
          <w:szCs w:val="20"/>
          <w:color w:val="auto"/>
        </w:rPr>
      </w:pPr>
    </w:p>
    <w:p>
      <w:pPr>
        <w:jc w:val="both"/>
        <w:ind w:left="660" w:hanging="328"/>
        <w:spacing w:after="0" w:line="25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Satisfy our Customers’ Processor Design Needs in a Mutually Beneficial Way. </w:t>
      </w:r>
      <w:r>
        <w:rPr>
          <w:rFonts w:ascii="Times New Roman" w:cs="Times New Roman" w:eastAsia="Times New Roman" w:hAnsi="Times New Roman"/>
          <w:sz w:val="18"/>
          <w:szCs w:val="18"/>
          <w:color w:val="auto"/>
        </w:rPr>
        <w:t>We invest in creating leading products that can be used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 house.</w:t>
      </w:r>
    </w:p>
    <w:p>
      <w:pPr>
        <w:spacing w:after="0" w:line="74"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World-Class Research and Development Team with a Proven Track Record of Innovation. </w:t>
      </w:r>
      <w:r>
        <w:rPr>
          <w:rFonts w:ascii="Times New Roman" w:cs="Times New Roman" w:eastAsia="Times New Roman" w:hAnsi="Times New Roman"/>
          <w:sz w:val="18"/>
          <w:szCs w:val="18"/>
          <w:color w:val="auto"/>
        </w:rPr>
        <w:t>Our customers rely on us to deliver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leveraging our extensive capabilities and scale across our CPU, GPU, systems, and platform products. Our research and development team is prolific at developing new inventions, for which we seek patents to the greatest extent possible.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an engineering-first company, with approximately 83% of our global employees, as of March 31, 2024, focused on research, design, and technical innovation, and we have global operations and research and development centers in the U.K., Europe, North America, India, and Asia-Pacific. Our ability to compete is substantially dependent on advancement of our products in order to meet evolving market demands. Our engineers are involved in researching and developing new versions of processor cores, specialist processors, such as graphics IP and AI accelerators, System IP and Physical IP technology as well as related software and tools applications. Further, our management continually evaluates opportunities to innovate and develop new products and services to meet market demand and new market opportunities. Where appropriate, we allocate resources to research and development of nascent technology offerings. Our significant research and development investments and increasing market share in certain markets, such as mobile applications processors, consumer electronics, and embedded computing, enable us to invest more effectively and efficiently in the development of new products in various end markets such as the automotive and cloud computing markets. We have committed, and intend to continue to commit, significant financial and other resources to technology and product innovation and development. For more information about our research and development policies, see </w:t>
      </w:r>
      <w:r>
        <w:rPr>
          <w:rFonts w:ascii="Times New Roman" w:cs="Times New Roman" w:eastAsia="Times New Roman" w:hAnsi="Times New Roman"/>
          <w:sz w:val="18"/>
          <w:szCs w:val="18"/>
          <w:i w:val="1"/>
          <w:iCs w:val="1"/>
          <w:color w:val="auto"/>
        </w:rPr>
        <w:t>“Item 5. Operating and Financial Review and Prospects—A. Operating Results—Results of Operations—Comparison of Performance for the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Years Ended March 31, 2024 and 2023—Research and Development.”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effectively depend significantly on protecting our IP. To protect our IP rights, we primarily rely on patent, copyright, trade secret and trademark laws, trade secret protection and confidentiality agreements, as well as license agreements with our employees, customers, partners, and others. We have an active program of protecting our proprietary technology through the filing of patents, registration of trademarks, and use of confidentiality agreements and other IP rights. As of March 31, 2024, we owned or co-owned approximately 7,400 issued patents and have approximately 2,500 patent applications pending worldwide. The majority of these patents and patent applications fall into the categories of processor architecture and microarchitecture, ML and computer vision, graphic processor architecture, on-chip system design and memory technology. We maintain and support an active program to protect our IP, primarily through encouraging engineers to propose new invention submissions and defending issued patents against infringement.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98% of our active patent portfolio (granted and pending) is owned solely by us, or jointly with, our subsidiaries, with the remaining 2% comprising patent assets jointly owned with one or more third parties. Through intra-group licensing arrangements, we have access to our entire patent portfolio for the purposes of licensing technology or otherwise providing services to third parties.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our global operations, efforts to protect our technology, trade secrets and other proprietary information can be difficult, particularly in jurisdictions that provide limited or no protection for IP rights. If confidential information (including, but not limited to, trade secrets, and proprietary technology and information) is improperly shared we would likely seek to determine the source and whether or not financial losses could be recovered through contractual claims against a licensee. Additionally, we would seek to block importation of finished goods created in such “limited-protection” territories into territories where there exist better protections. Although we intend to protect our rights vigorously, there can be no assurance that such measures will be successful. See </w:t>
      </w:r>
      <w:r>
        <w:rPr>
          <w:rFonts w:ascii="Times New Roman" w:cs="Times New Roman" w:eastAsia="Times New Roman" w:hAnsi="Times New Roman"/>
          <w:sz w:val="18"/>
          <w:szCs w:val="18"/>
          <w:i w:val="1"/>
          <w:iCs w:val="1"/>
          <w:color w:val="auto"/>
        </w:rPr>
        <w:t>“Item 3. Key Information—D. Risk Factors—Risks Relating to</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and Industry—Failure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IPLA with Arm China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party to the IPLA with Arm China.</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IPLA, Arm China licenses certain of our IP from us. In turn, Arm China sublicenses such IP to its PRC customers, as the exclusive distributor of our IP licenses to customers in the PRC.</w:t>
      </w:r>
    </w:p>
    <w:p>
      <w:pPr>
        <w:spacing w:after="0" w:line="158" w:lineRule="exact"/>
        <w:rPr>
          <w:sz w:val="20"/>
          <w:szCs w:val="20"/>
          <w:color w:val="auto"/>
        </w:rPr>
      </w:pPr>
    </w:p>
    <w:p>
      <w:pPr>
        <w:jc w:val="both"/>
        <w:ind w:left="660" w:hanging="328"/>
        <w:spacing w:after="0" w:line="26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Arm China is permitted to sublicense to customers in the PRC. This includes any ultimate parent of a group that is incorporated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PRC and traded on any official stock exchange, any entity whose ultimate parent is incorporated in the PRC, and any entity under the ultimate control of a PRC citizen. However, it does not include PRC subsidiaries of companies incorporated outside of the PRC, even though these companies may still sell products in the PRC.</w:t>
      </w:r>
    </w:p>
    <w:p>
      <w:pPr>
        <w:spacing w:after="0" w:line="68"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Arm China can sublicense our standard IP offerings. Arm China is required to procure our consent in order to sublicense non-standard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or architectural licenses.</w:t>
      </w:r>
    </w:p>
    <w:p>
      <w:pPr>
        <w:spacing w:after="0" w:line="5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remove any sublicensable IP that we declare obsolete or no longer generally make available to our licensees, whereupon Arm China’s rights with respect to such IP are limited to licenses it previously granted.</w:t>
      </w:r>
    </w:p>
    <w:p>
      <w:pPr>
        <w:spacing w:after="0" w:line="5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China may only distribute our IP in accordance with our model license terms provided by us. Any deviations from our model license terms require our consent.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Pricing</w:t>
      </w:r>
      <w:r>
        <w:rPr>
          <w:rFonts w:ascii="Times New Roman" w:cs="Times New Roman" w:eastAsia="Times New Roman" w:hAnsi="Times New Roman"/>
          <w:sz w:val="18"/>
          <w:szCs w:val="18"/>
          <w:color w:val="auto"/>
        </w:rPr>
        <w:t>. There are no material restrictions under the IPLA on the prices that Arm China may set for its sublicenses.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The initial term of the IPLA is through April 23, 2048, after which the IPLA will automatically renew for consecutive 10-year periods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later of (a) the last to expire of the patents licensed pursuant to the IPLA expires and (b) the last of the trade secrets licensed pursuant to the IPLA ceases to be confidential (other than through the fault of us or Arm China). During the term of the IPLA, Arm China may grant sublicenses to its PRC customers. There are no material restrictions on the duration of the sublicenses that Arm China provides during the term of the IPLA.</w:t>
      </w:r>
    </w:p>
    <w:p>
      <w:pPr>
        <w:spacing w:after="0" w:line="68"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We and Arm China each have the ability to unilaterally terminate the IPLA upon the occurrence of standard termination events,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non-terminating party’s material uncured breach of the IPLA, bankruptcy or extended force majeure event of at least 180 days having a material adverse effect on the terminating party.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IPLA, Arm China may also develop its own IP. However, Arm China is only permitted to develop (i) certain derivative products incorporating our IP and (ii) Arm China’s own products that do not incorporate our IP, where such products constitute technology related to IC products or technology that enables companies to build ICs, and exclude any “processor cores.”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IPLA,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2024, 2023, and 2022, revenues attributable to our relationship with Arm China were approximately 21%, 24%, and 18% of our total revenue, respectively.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3. Key Information—D. Risk Factors—Risks Relating to Our Business and Industry—We depend on our commercial relationship with Arm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China to access the PRC market or if that commercial relationship no longer existed or deteriorates, our ability to compete in the PRC market could be materially and adversely affected”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3. Key Information—D. Risk Factors—Risks Relating to Our Business and Industry—Neither we nor SoftBank Group control the operations of Arm China, which operates independently of us.”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GDPR, the U.K. GDPR, and the CCPA), security and cybersecurity, and data localization requirements, anti-competition, environmental, health and safety, financial reporting and the certification requirements associated with public sector contracts. We monitor changes in these laws, regulations, treaties, and agreements, and believe that we are in material compliance with applicable laws. See </w:t>
      </w:r>
      <w:r>
        <w:rPr>
          <w:rFonts w:ascii="Times New Roman" w:cs="Times New Roman" w:eastAsia="Times New Roman" w:hAnsi="Times New Roman"/>
          <w:sz w:val="18"/>
          <w:szCs w:val="18"/>
          <w:i w:val="1"/>
          <w:iCs w:val="1"/>
          <w:color w:val="auto"/>
        </w:rPr>
        <w:t>“Item 3. Key Information—D. Risk Factors—Risks Relating to Government Regulation and Legal Compliance”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3. Key Information—D. Risk Factors—Risks Relating to U.S. and U.K. Tax Regimes.”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Pursuant to Section 13(r) of the Exchange Act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219 of the Iran Threat Reduction and Syria Human Rights Act of 2012 added Section 13(r) to the Exchange Act. Section 13(r) requires an issuer to disclose in its annual or quarterly reports filed with the SEC whether the issuer or any of its affiliates has knowingly engaged in certain activities, transactions or dealings with the Government of Iran, relating to Iran or with designated natural persons or entities involved in terrorism or the proliferation of weapons of mass destruction during the period covered by the annual or quarterly report. Disclosure is required even when the activities were conducted outside the United States by non-U.S. entities and even when such activities were conducted in compliance with applicable law.</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SoftBank Group, through one of its non-U.S. subsidiaries, provides roaming services in Iran through Irancell Telecommunications Services Company. During the year ended March 31, 2024, SoftBank Group had no gross revenues from such services and no net profit was generated. We understand that the SoftBank Group subsidiary intends to continue such services. This subsidiary also provides telecommunications services in the ordinary course of business to accounts affiliated with the Embassy of Iran in Japan. During the year ended March 31, 2024, SoftBank Group estimates that gross revenues and net profit generated by such services were both under $3,000. We understand that the SoftBank Group subsidiary is obligated under contract and intends to continue such services.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SoftBank Group, through one of its non-U.S. indirect subsidiaries, provides office supplies to the Embassy of Iran in Japan. SoftBank Group estimates that gross revenues and net profit generated by such services during the year ended March 31, 2024, were both under $2,000. We understand that the SoftBank Group subsidiary intends to continue such activities.</w:t>
      </w:r>
    </w:p>
    <w:p>
      <w:pPr>
        <w:spacing w:after="0" w:line="172"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Organizational 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SoftBank Group beneficially owns approximately 88.1% of our total issued and outstanding ordinary shares and is our parent company. The Company is the parent company of a number of subsidiaries held directly and indirectly which operate and are incorporated around the world. All of the Company’s subsidiaries are all, directly or indirectly, owned by the Company. See the Subsidiaries of the Company included as Exhibit 8.1 to this Annual Report for a list of significant subsidiaries.</w:t>
      </w:r>
    </w:p>
    <w:p>
      <w:pPr>
        <w:spacing w:after="0" w:line="176"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operating lease arrangements for office space, data centers, equipment and other corporate assets. As of March 31, 2024, we had lease payment obligations of $221 million, with $33 million payable within twelve months of March 31, 2024. </w:t>
      </w:r>
      <w:r>
        <w:rPr>
          <w:rFonts w:ascii="Times New Roman" w:cs="Times New Roman" w:eastAsia="Times New Roman" w:hAnsi="Times New Roman"/>
          <w:sz w:val="18"/>
          <w:szCs w:val="18"/>
          <w:color w:val="231F20"/>
        </w:rPr>
        <w:t>As of March 31, 2024, the Company had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lease signed but not yet commenced, with a lease value of approximately $15 million and a lease term expiring in 2036.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global headquarters are located in Cambridge, U.K., occupying approximately 322,950 square feet of leased office space in the aggregate, with the leases expiring between 2039 and 2044. </w:t>
      </w:r>
      <w:r>
        <w:rPr>
          <w:rFonts w:ascii="Times New Roman" w:cs="Times New Roman" w:eastAsia="Times New Roman" w:hAnsi="Times New Roman"/>
          <w:sz w:val="18"/>
          <w:szCs w:val="18"/>
          <w:color w:val="231F20"/>
        </w:rPr>
        <w:t>Subsequent to March 31, 2024, we</w:t>
      </w:r>
      <w:r>
        <w:rPr>
          <w:rFonts w:ascii="Times New Roman" w:cs="Times New Roman" w:eastAsia="Times New Roman" w:hAnsi="Times New Roman"/>
          <w:sz w:val="18"/>
          <w:szCs w:val="18"/>
          <w:color w:val="auto"/>
        </w:rPr>
        <w:t xml:space="preserve"> renewed two of the leases for our global headquarters with an approximate value of $19 million. We also lease additional facilities in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Belgium, Denmark, France, Germany, Hungary, India, Ireland, Israel, Japan, South Korea, Norway, Poland, Slovenia, Sweden, Taiwan, the U.K., and the U.S.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global headquarters and global offices are well maintained and adequate for our current needs and that suitable additional or substitute space at commercially reasonable terms will be available as needed.</w:t>
      </w:r>
    </w:p>
    <w:p>
      <w:pPr>
        <w:spacing w:after="0" w:line="160"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8. Financial Information—Note 8 - Property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8. Financial Information—Note 9 - Leases”</w:t>
      </w:r>
      <w:r>
        <w:rPr>
          <w:rFonts w:ascii="Times New Roman" w:cs="Times New Roman" w:eastAsia="Times New Roman" w:hAnsi="Times New Roman"/>
          <w:sz w:val="18"/>
          <w:szCs w:val="18"/>
          <w:color w:val="auto"/>
        </w:rPr>
        <w:t xml:space="preserve"> in the Notes to the Consolidated Financial Statements included in this Annual Report.</w:t>
      </w:r>
    </w:p>
    <w:p>
      <w:pPr>
        <w:spacing w:after="0" w:line="1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4A.</w:t>
        <w:tab/>
        <w:t>Unresolved Sta</w:t>
      </w:r>
      <w:r>
        <w:rPr>
          <w:rFonts w:ascii="Arial" w:cs="Arial" w:eastAsia="Arial" w:hAnsi="Arial"/>
          <w:sz w:val="18"/>
          <w:szCs w:val="18"/>
          <w:color w:val="auto"/>
          <w:highlight w:val="black"/>
        </w:rPr>
        <w:t>ﬀ</w:t>
      </w:r>
      <w:r>
        <w:rPr>
          <w:rFonts w:ascii="Times New Roman" w:cs="Times New Roman" w:eastAsia="Times New Roman" w:hAnsi="Times New Roman"/>
          <w:sz w:val="18"/>
          <w:szCs w:val="18"/>
          <w:b w:val="1"/>
          <w:bCs w:val="1"/>
          <w:color w:val="auto"/>
        </w:rPr>
        <w:t xml:space="preserve"> Comments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consolidated financial statements and related notes appearing elsewhere in this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3. Key Information—D. Risk Factors” and “Special Note Regarding Forward-Looking Statements” sections in this Annual Report. Our actual results could differ materially from the results described in or implied by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 and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Company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recently public company, we will continue to implement additional procedures and processes for the purpose of addressing the standards and requirements applicable to public companies. We expect our finance, legal and employee-related expenses to increase as we establish more comprehensive compliance and governance functions and hire additional personnel to support such functions, maintain and review internal controls over financial reporting in accordance with the Sarbanes-Oxley Act of 2002, and prepare and distribute periodic reports in accordance with SEC rules. Our financial statements will reflect the impact of these expenses. We also expect higher premiums for the costs of our insurance, including directors’ and officers’ insurance.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connection with the IPO, we recognized incremental and accelerated share-based compensation expense in the three months ended September 30, 2023. Certain RSUs previously issued under the Arm Limited All Employee Plan 2019 (“2019 AEP”), the Executive IPO Plan 2019 (“2019 EIP”), and the Arm Limited RSU Award Plan (the “2022 RSU Plan”) that were classified as liability-classified awards were modified to be classified as equity-classified awards. As of October 25, 2023 we determined that the market condition for the 2019 AEP had been met and, therefore, the RSUs had vested at 100% in March 2024. All RSUs under the 2019 EIP vested upon IPO, for which we recognized accelerated share-based expense in the three months ended September 30, 2023. The 2022 RSU Plan provides vesting schedules applicable prior to an IPO and after an IPO. The RSUs that were previously probable of vesting based on the vesting schedule applicable prior to the IPO were modified to the vesting schedule applicable post-IPO. Executive awards that were granted under the 2022 RSU Plan in monetary value were converted into shares upon the IPO and vesting will be satisfied in shares. Equity compensation has been, and will continue to be, an important part of our future compensation strategy and a significant component of our future expenses, which we expect to increase over time.</w:t>
      </w:r>
    </w:p>
    <w:p>
      <w:pPr>
        <w:spacing w:after="0" w:line="190"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Arm architects, develops, and licenses high-performance, low-cost, and energy-efficient central processing unit (“CPU”) products and related technology, on which many of the world’s leading semiconductor companies and original equipment manufacturers rely to develop their products. We enable any company to make a modern computer chip through</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18"/>
          <w:szCs w:val="18"/>
          <w:color w:val="auto"/>
        </w:rPr>
        <w:t>the unique combination of our energy-efficient CPU IP and related technologies and our unmatched ecosystem of technology partners. Our primary product offerings are leading CPU products that address diverse performance, power, and cost requirements. Complementary products such as graphics processing units (“GPUs”), System IP (including memory controller IP, interconnect IP, and other on-chip peripheral components),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Our partners include leading semiconductor technology suppliers (including foundries and electronic design automation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w:t>
      </w:r>
    </w:p>
    <w:p>
      <w:pPr>
        <w:spacing w:after="0" w:line="179" w:lineRule="exact"/>
        <w:rPr>
          <w:sz w:val="20"/>
          <w:szCs w:val="20"/>
          <w:color w:val="auto"/>
        </w:rPr>
      </w:pPr>
    </w:p>
    <w:p>
      <w:pPr>
        <w:jc w:val="both"/>
        <w:ind w:left="660" w:hanging="328"/>
        <w:spacing w:after="0" w:line="26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 Total Access Agreements</w:t>
      </w:r>
      <w:r>
        <w:rPr>
          <w:rFonts w:ascii="Times New Roman" w:cs="Times New Roman" w:eastAsia="Times New Roman" w:hAnsi="Times New Roman"/>
          <w:sz w:val="18"/>
          <w:szCs w:val="18"/>
          <w:color w:val="auto"/>
        </w:rPr>
        <w:t>: Under an Arm Total Access agreement, we license a portfolio of CPU designs and related technologies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 Flexible Access Agreements</w:t>
      </w:r>
      <w:r>
        <w:rPr>
          <w:rFonts w:ascii="Times New Roman" w:cs="Times New Roman" w:eastAsia="Times New Roman" w:hAnsi="Times New Roman"/>
          <w:sz w:val="18"/>
          <w:szCs w:val="18"/>
          <w:color w:val="auto"/>
        </w:rPr>
        <w:t>: Under an Arm Flexible Access agreement, we license a portfolio of CPU designs and related technologies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Licensing Agreements (TLA)</w:t>
      </w:r>
      <w:r>
        <w:rPr>
          <w:rFonts w:ascii="Times New Roman" w:cs="Times New Roman" w:eastAsia="Times New Roman" w:hAnsi="Times New Roman"/>
          <w:sz w:val="18"/>
          <w:szCs w:val="18"/>
          <w:color w:val="auto"/>
        </w:rPr>
        <w:t>: Under a TLA, we license a single CPU design or other technology design to a customer in return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Architecture License Agreements (ALA)</w:t>
      </w:r>
      <w:r>
        <w:rPr>
          <w:rFonts w:ascii="Times New Roman" w:cs="Times New Roman" w:eastAsia="Times New Roman" w:hAnsi="Times New Roman"/>
          <w:sz w:val="18"/>
          <w:szCs w:val="18"/>
          <w:color w:val="auto"/>
        </w:rPr>
        <w:t>: Under an ALA, the licensee is allowed to develop their own highly customized CPU designs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Royalty Fees</w:t>
      </w:r>
      <w:r>
        <w:rPr>
          <w:rFonts w:ascii="Times New Roman" w:cs="Times New Roman" w:eastAsia="Times New Roman" w:hAnsi="Times New Roman"/>
          <w:sz w:val="18"/>
          <w:szCs w:val="18"/>
          <w:color w:val="auto"/>
        </w:rPr>
        <w:t>: We generate the majority of our revenue from customers who enter into license agreements, pursuant to which we receive royalty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 In the fiscal year ended March 31, 2024, royalty revenue represented 56% of our total revenue.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We disaggregate revenue into the following categories for major product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Revenue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License and other revenue include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rFonts w:ascii="Times New Roman" w:cs="Times New Roman" w:eastAsia="Times New Roman" w:hAnsi="Times New Roman"/>
          <w:sz w:val="18"/>
          <w:szCs w:val="18"/>
          <w:i w:val="1"/>
          <w:iCs w:val="1"/>
          <w:color w:val="auto"/>
        </w:rPr>
        <w:t>“D. Trend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Information—Key Factors and Trends Affecting Our Operating Results—Ability to Provide Our Customers with More Value Per Chip</w:t>
      </w:r>
      <w:r>
        <w:rPr>
          <w:rFonts w:ascii="Times New Roman" w:cs="Times New Roman" w:eastAsia="Times New Roman" w:hAnsi="Times New Roman"/>
          <w:sz w:val="18"/>
          <w:szCs w:val="18"/>
          <w:color w:val="auto"/>
        </w:rPr>
        <w:t>” for examples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customers may incorporate multiple products in a single chip. License contracts require the licensee to issue royalty reports, including details of chip sales, to us on a quarterly basis.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Royalty revenue is recognized on an accrual basis in the quarter in which the customers ship chips containing our products, </w:t>
      </w:r>
      <w:r>
        <w:rPr>
          <w:rFonts w:ascii="Times New Roman" w:cs="Times New Roman" w:eastAsia="Times New Roman" w:hAnsi="Times New Roman"/>
          <w:sz w:val="18"/>
          <w:szCs w:val="18"/>
          <w:color w:val="231F20"/>
        </w:rPr>
        <w:t>using estimates from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w:t>
      </w:r>
      <w:r>
        <w:rPr>
          <w:rFonts w:ascii="Times New Roman" w:cs="Times New Roman" w:eastAsia="Times New Roman" w:hAnsi="Times New Roman"/>
          <w:sz w:val="18"/>
          <w:szCs w:val="18"/>
          <w:color w:val="000000"/>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External Customers and Related Parties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separately present revenue derived from contracts with our external customers and those derived from related parties. Revenue from related parties are derived from Arm China, customers in which we have an equity method investment, and other entities related to us by virtue of common control by SoftBank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sales (“COS”) is comprised primarily of the costs of providing technical support and training to our customers. Occasionally, some R&amp;D costs may be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is at the heart of our business and critical to our future success. Accordingly, we have always invested, and will continue to invest, significant resources in our research and development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research and development investment in line with the increased development needs of the next generation of products. Engineers are in high demand and well- remunerated, and accordingly our increased research and development activity will continue to result in an increase in costs, principally driven by salaries for such technical employees and the costs of tools they need.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functions, including accounting and legal professional services fees, depreciation and amortization, advertising expenses, allocated overhead, information technology and other corporate-related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Restructuring and Other Operating Expenses,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we terminated an agreement with Arm China for certain software engineering-related services which will now be brought in-house.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termination costs are included in disposal, restructuring and other operating expenses, net in the Consolidated Income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2022, we announced a restructuring plan to align our selling, general and administrative workforce with strategic business activities. The expenses associated with this plan are included in disposal, restructuring and other operating expenses, net in the Consolidated Income Statements and consist of employee termination benefits and other related costs.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Disposal expenses consist primarily of transaction costs, such as legal and professional fees, relating to various disposal activities. Restructuring and other operating expenses consist primarily of employee termination benefits and contract termination costs.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have communicated those actions to employees. Employee termination benefits covered by existing benefit arrangements are recognized when we have committed to a restructuring plan and the termination benefits are probable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Impairment of long-lived assets includes impairments recognized on certain property and equipment and acquired intangibles as a result of lower than anticipated operating results and a deterioration in projected results. For purposes of determining the impairment, we relied on the income approach utilizing discounted cash flows to arrive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Equity Investments,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(loss) from equity investments, net includes changes in the fair value of certain equity method investments for which we elect to apply fair value accounting or at the net asset value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received on cash and cash equivalents, short-term investments that we hold wit</w:t>
      </w:r>
      <w:r>
        <w:rPr>
          <w:rFonts w:ascii="Times New Roman" w:cs="Times New Roman" w:eastAsia="Times New Roman" w:hAnsi="Times New Roman"/>
          <w:sz w:val="18"/>
          <w:szCs w:val="18"/>
          <w:color w:val="231F20"/>
        </w:rPr>
        <w:t>h various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institutions, and loans receivable. Interest expense consists primarily of interest on finance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(Loss),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spacing w:after="0" w:line="282" w:lineRule="auto"/>
        <w:rPr>
          <w:sz w:val="20"/>
          <w:szCs w:val="20"/>
          <w:color w:val="auto"/>
        </w:rPr>
      </w:pPr>
      <w:r>
        <w:rPr>
          <w:rFonts w:ascii="Times New Roman" w:cs="Times New Roman" w:eastAsia="Times New Roman" w:hAnsi="Times New Roman"/>
          <w:sz w:val="18"/>
          <w:szCs w:val="18"/>
          <w:color w:val="auto"/>
        </w:rPr>
        <w:t>regime, which allows certain profits attributable to revenue from patented products (and other qualifying income) to be taxed at an effective corporation tax rate of 10%.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components of operations from our annual audited Consolidated Income Statements and such data as a percentage of total revenue on an absolute basis,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2"/>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Disposal, restructuring and other operating</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expenses,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Percentages are calculated from the amounts presented and may not add to their respective totals due to rounding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Performance for the Fiscal Years Ended March 31,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86"/>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r>
      <w:tr>
        <w:trPr>
          <w:trHeight w:val="27"/>
        </w:trPr>
        <w:tc>
          <w:tcPr>
            <w:tcW w:w="2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2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Total revenue increased $554 million, or 21%, to $3,233 million during the fiscal year ended March 31, 2024, from total revenue of $2,679 million during the fiscal year ended March 31, 2023. License and other revenue increased $427 million, or 43%, during the fiscal year ended March 31, 2024 as compared to the fiscal year ended March 31, 2023, </w:t>
      </w:r>
      <w:r>
        <w:rPr>
          <w:rFonts w:ascii="Times New Roman" w:cs="Times New Roman" w:eastAsia="Times New Roman" w:hAnsi="Times New Roman"/>
          <w:sz w:val="18"/>
          <w:szCs w:val="18"/>
          <w:color w:val="231F20"/>
        </w:rPr>
        <w:t>primarily driven by new licensing agreements, an increase in revenue from arrangements entered into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prior periods, and renewals of our existing license arrangements by customers to gain access to the latest versions of our technology IP.</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Royalty revenue increased $127 million, or 8%, during the fiscal year ended March 31, 2024 as compared to the fiscal year ended March 31, 2023, </w:t>
      </w:r>
      <w:r>
        <w:rPr>
          <w:rFonts w:ascii="Times New Roman" w:cs="Times New Roman" w:eastAsia="Times New Roman" w:hAnsi="Times New Roman"/>
          <w:sz w:val="18"/>
          <w:szCs w:val="18"/>
          <w:color w:val="231F20"/>
        </w:rPr>
        <w:t>driven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primarily by the semiconductor industry recovery in the second half of the year.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w:t>
      </w:r>
      <w:r>
        <w:rPr>
          <w:rFonts w:ascii="Times New Roman" w:cs="Times New Roman" w:eastAsia="Times New Roman" w:hAnsi="Times New Roman"/>
          <w:sz w:val="18"/>
          <w:szCs w:val="18"/>
          <w:color w:val="231F20"/>
        </w:rPr>
        <w:t>e from external customers</w:t>
      </w:r>
      <w:r>
        <w:rPr>
          <w:rFonts w:ascii="Times New Roman" w:cs="Times New Roman" w:eastAsia="Times New Roman" w:hAnsi="Times New Roman"/>
          <w:sz w:val="18"/>
          <w:szCs w:val="18"/>
          <w:color w:val="auto"/>
        </w:rPr>
        <w:t xml:space="preserve"> increased $484 million, or 24%, during the fiscal year ended March 31, 2024 as compared to the fiscal year ended March 31, 2023, driven by a $482 million, or 85%, increase in license and other revenue, and a $2 million increase in royalty revenue. Revenue from related parties increased $70 million, or 11%, during the fiscal year ended March 31, 2024 as compared to the fiscal year ended March 31, 2023, primarily driven by </w:t>
      </w:r>
      <w:r>
        <w:rPr>
          <w:rFonts w:ascii="Times New Roman" w:cs="Times New Roman" w:eastAsia="Times New Roman" w:hAnsi="Times New Roman"/>
          <w:sz w:val="18"/>
          <w:szCs w:val="18"/>
          <w:color w:val="231F20"/>
        </w:rPr>
        <w:t>a $125 million, or</w:t>
      </w:r>
      <w:r>
        <w:rPr>
          <w:rFonts w:ascii="Times New Roman" w:cs="Times New Roman" w:eastAsia="Times New Roman" w:hAnsi="Times New Roman"/>
          <w:sz w:val="18"/>
          <w:szCs w:val="18"/>
          <w:color w:val="auto"/>
        </w:rPr>
        <w:t xml:space="preserve"> 57%</w:t>
      </w:r>
      <w:r>
        <w:rPr>
          <w:rFonts w:ascii="Times New Roman" w:cs="Times New Roman" w:eastAsia="Times New Roman" w:hAnsi="Times New Roman"/>
          <w:sz w:val="18"/>
          <w:szCs w:val="18"/>
          <w:color w:val="231F20"/>
        </w:rPr>
        <w:t>, increase in royalty revenue</w:t>
      </w:r>
      <w:r>
        <w:rPr>
          <w:rFonts w:ascii="Times New Roman" w:cs="Times New Roman" w:eastAsia="Times New Roman" w:hAnsi="Times New Roman"/>
          <w:sz w:val="18"/>
          <w:szCs w:val="18"/>
          <w:color w:val="auto"/>
        </w:rPr>
        <w:t xml:space="preserve"> mostly driven by higher chip shipments as well as an improved mix of products with higher royalty rates per chip, which was partially offset by a $55 million, or 13%, decrease in license and </w:t>
      </w:r>
      <w:r>
        <w:rPr>
          <w:rFonts w:ascii="Times New Roman" w:cs="Times New Roman" w:eastAsia="Times New Roman" w:hAnsi="Times New Roman"/>
          <w:sz w:val="18"/>
          <w:szCs w:val="18"/>
          <w:color w:val="231F20"/>
        </w:rPr>
        <w:t>other revenue.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years ended March 31, 2024, and 2023, revenue from sales to customers outside of the U.S. accounted for approximately 56% and approximately 59% of total revenue, respectively. Less than 2% of our total revenue is denominated in currencies other than USD, and the impact of changes in foreign exchange rates on our revenue and results of operations for the fiscal year ended March 31, 2024 and 2023 was immaterial.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400" w:type="dxa"/>
            <w:vAlign w:val="bottom"/>
          </w:tcPr>
          <w:p>
            <w:pPr>
              <w:spacing w:after="0"/>
              <w:rPr>
                <w:sz w:val="24"/>
                <w:szCs w:val="24"/>
                <w:color w:val="auto"/>
              </w:rPr>
            </w:pPr>
          </w:p>
        </w:tc>
      </w:tr>
      <w:tr>
        <w:trPr>
          <w:trHeight w:val="27"/>
        </w:trPr>
        <w:tc>
          <w:tcPr>
            <w:tcW w:w="596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(154)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45%</w:t>
            </w: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sales increased by $48 million, or 45%, during the fiscal year ended March 31, 2024 as compared to the fiscal year ended March 31, 2023, primarily due to the impact of the incremental share-based compensation costs and associated employer taxes arising in connection with the IPO and new awards (see “</w:t>
      </w:r>
      <w:r>
        <w:rPr>
          <w:rFonts w:ascii="Times New Roman" w:cs="Times New Roman" w:eastAsia="Times New Roman" w:hAnsi="Times New Roman"/>
          <w:sz w:val="18"/>
          <w:szCs w:val="18"/>
          <w:i w:val="1"/>
          <w:iCs w:val="1"/>
          <w:color w:val="auto"/>
        </w:rPr>
        <w:t>Item 8. Financial Information—Note 16 - Share-based Compensation”</w:t>
      </w:r>
      <w:r>
        <w:rPr>
          <w:rFonts w:ascii="Times New Roman" w:cs="Times New Roman" w:eastAsia="Times New Roman" w:hAnsi="Times New Roman"/>
          <w:sz w:val="18"/>
          <w:szCs w:val="18"/>
          <w:color w:val="auto"/>
        </w:rPr>
        <w:t xml:space="preserve"> in the Notes to the Consolidated Financial Statements included in this Annual Report)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Other factors contributing to the increase included </w:t>
      </w:r>
      <w:r>
        <w:rPr>
          <w:rFonts w:ascii="Times New Roman" w:cs="Times New Roman" w:eastAsia="Times New Roman" w:hAnsi="Times New Roman"/>
          <w:sz w:val="18"/>
          <w:szCs w:val="18"/>
          <w:color w:val="231F20"/>
        </w:rPr>
        <w:t>salaries and related expenses due to headcount increases from hiring, professional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service fees, and activities associated with professional and design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400" w:type="dxa"/>
            <w:vAlign w:val="bottom"/>
          </w:tcPr>
          <w:p>
            <w:pPr>
              <w:spacing w:after="0"/>
              <w:rPr>
                <w:sz w:val="24"/>
                <w:szCs w:val="24"/>
                <w:color w:val="auto"/>
              </w:rPr>
            </w:pPr>
          </w:p>
        </w:tc>
      </w:tr>
      <w:tr>
        <w:trPr>
          <w:trHeight w:val="27"/>
        </w:trPr>
        <w:tc>
          <w:tcPr>
            <w:tcW w:w="596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(1,979)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75%</w:t>
            </w:r>
          </w:p>
        </w:tc>
      </w:tr>
    </w:tbl>
    <w:p>
      <w:pPr>
        <w:spacing w:after="0" w:line="3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Research and development expenses increased by $846 million, or 75%, during the fiscal year ended March 31, 2024 as compared to the fiscal year ended March 31, 2023, </w:t>
      </w:r>
      <w:r>
        <w:rPr>
          <w:rFonts w:ascii="Times New Roman" w:cs="Times New Roman" w:eastAsia="Times New Roman" w:hAnsi="Times New Roman"/>
          <w:sz w:val="18"/>
          <w:szCs w:val="18"/>
          <w:color w:val="231F20"/>
        </w:rPr>
        <w:t>primarily due to</w:t>
      </w:r>
      <w:r>
        <w:rPr>
          <w:rFonts w:ascii="Times New Roman" w:cs="Times New Roman" w:eastAsia="Times New Roman" w:hAnsi="Times New Roman"/>
          <w:sz w:val="18"/>
          <w:szCs w:val="18"/>
          <w:color w:val="auto"/>
        </w:rPr>
        <w:t xml:space="preserve"> the impact of the incremental share-based compensation costs and associated employer taxes arising in connection with the IPO and new awards (see “</w:t>
      </w:r>
      <w:r>
        <w:rPr>
          <w:rFonts w:ascii="Times New Roman" w:cs="Times New Roman" w:eastAsia="Times New Roman" w:hAnsi="Times New Roman"/>
          <w:sz w:val="18"/>
          <w:szCs w:val="18"/>
          <w:i w:val="1"/>
          <w:iCs w:val="1"/>
          <w:color w:val="auto"/>
        </w:rPr>
        <w:t>Item 8. Financial Information—Note 16 - Share-based Compensation”</w:t>
      </w:r>
      <w:r>
        <w:rPr>
          <w:rFonts w:ascii="Times New Roman" w:cs="Times New Roman" w:eastAsia="Times New Roman" w:hAnsi="Times New Roman"/>
          <w:sz w:val="18"/>
          <w:szCs w:val="18"/>
          <w:color w:val="auto"/>
        </w:rPr>
        <w:t xml:space="preserve"> in the Notes to the Consolidated Financial Statements included in this Annual Report). Other factors contributing to the increase included </w:t>
      </w:r>
      <w:r>
        <w:rPr>
          <w:rFonts w:ascii="Times New Roman" w:cs="Times New Roman" w:eastAsia="Times New Roman" w:hAnsi="Times New Roman"/>
          <w:sz w:val="18"/>
          <w:szCs w:val="18"/>
          <w:color w:val="231F20"/>
        </w:rPr>
        <w:t>salaries and related expenses due to headcount increases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from hiring as well as increases in third-party engineering expenses, IT expenses including cloud services, and allocated facility overhead expenses, partially offset by increases in research and development tax incentives and gains from cash flow hedge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8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(983)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increased by $221 million, or 29%, during the fiscal year ended March 31, 2024 as compared to the fiscal year ended March 31, 2023, </w:t>
      </w:r>
      <w:r>
        <w:rPr>
          <w:rFonts w:ascii="Times New Roman" w:cs="Times New Roman" w:eastAsia="Times New Roman" w:hAnsi="Times New Roman"/>
          <w:sz w:val="18"/>
          <w:szCs w:val="18"/>
          <w:color w:val="231F20"/>
        </w:rPr>
        <w:t>primarily due to</w:t>
      </w:r>
      <w:r>
        <w:rPr>
          <w:rFonts w:ascii="Times New Roman" w:cs="Times New Roman" w:eastAsia="Times New Roman" w:hAnsi="Times New Roman"/>
          <w:sz w:val="18"/>
          <w:szCs w:val="18"/>
          <w:color w:val="auto"/>
        </w:rPr>
        <w:t xml:space="preserve"> the impact of the incremental share-based compensation costs and associated employer taxes arising in connection with the IPO and new awards (see “</w:t>
      </w:r>
      <w:r>
        <w:rPr>
          <w:rFonts w:ascii="Times New Roman" w:cs="Times New Roman" w:eastAsia="Times New Roman" w:hAnsi="Times New Roman"/>
          <w:sz w:val="18"/>
          <w:szCs w:val="18"/>
          <w:i w:val="1"/>
          <w:iCs w:val="1"/>
          <w:color w:val="auto"/>
        </w:rPr>
        <w:t>Item 8. Financial Information—Note 16 - Share-based Compensation”</w:t>
      </w:r>
      <w:r>
        <w:rPr>
          <w:rFonts w:ascii="Times New Roman" w:cs="Times New Roman" w:eastAsia="Times New Roman" w:hAnsi="Times New Roman"/>
          <w:sz w:val="18"/>
          <w:szCs w:val="18"/>
          <w:color w:val="auto"/>
        </w:rPr>
        <w:t xml:space="preserve"> in the Notes to the Consolidated Financial Statements included in this Annual Report). Other factors contributing to the increase included </w:t>
      </w:r>
      <w:r>
        <w:rPr>
          <w:rFonts w:ascii="Times New Roman" w:cs="Times New Roman" w:eastAsia="Times New Roman" w:hAnsi="Times New Roman"/>
          <w:sz w:val="18"/>
          <w:szCs w:val="18"/>
          <w:color w:val="231F20"/>
        </w:rPr>
        <w:t>salaries and related expenses due to</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headcount increases from hiring, public company readiness costs, travel expenses, professional service expenses and related charges, and IT expenses. These increases were partially offset by </w:t>
      </w:r>
      <w:r>
        <w:rPr>
          <w:rFonts w:ascii="Times New Roman" w:cs="Times New Roman" w:eastAsia="Times New Roman" w:hAnsi="Times New Roman"/>
          <w:sz w:val="18"/>
          <w:szCs w:val="18"/>
          <w:color w:val="000000"/>
        </w:rPr>
        <w:t>reduced allowance for expected credit losses on loan receivables, decreased provisions for current expected credit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losses on accounts receivable, </w:t>
      </w:r>
      <w:r>
        <w:rPr>
          <w:rFonts w:ascii="Times New Roman" w:cs="Times New Roman" w:eastAsia="Times New Roman" w:hAnsi="Times New Roman"/>
          <w:sz w:val="18"/>
          <w:szCs w:val="18"/>
          <w:color w:val="231F20"/>
        </w:rPr>
        <w:t xml:space="preserve">decreased amortization for capitalized software, amortization of patents and licenses intangible assets, employee related one-time payment in the prior period, and gains from cash flow hedge activity. For the </w:t>
      </w:r>
      <w:r>
        <w:rPr>
          <w:rFonts w:ascii="Times New Roman" w:cs="Times New Roman" w:eastAsia="Times New Roman" w:hAnsi="Times New Roman"/>
          <w:sz w:val="18"/>
          <w:szCs w:val="18"/>
          <w:color w:val="000000"/>
        </w:rPr>
        <w:t>fiscal year ended March 31, 2024,</w:t>
      </w:r>
      <w:r>
        <w:rPr>
          <w:rFonts w:ascii="Times New Roman" w:cs="Times New Roman" w:eastAsia="Times New Roman" w:hAnsi="Times New Roman"/>
          <w:sz w:val="18"/>
          <w:szCs w:val="18"/>
          <w:color w:val="231F20"/>
        </w:rPr>
        <w:t xml:space="preserve"> increases were also partially offset by the reversal of </w:t>
      </w:r>
      <w:r>
        <w:rPr>
          <w:rFonts w:ascii="Times New Roman" w:cs="Times New Roman" w:eastAsia="Times New Roman" w:hAnsi="Times New Roman"/>
          <w:sz w:val="18"/>
          <w:szCs w:val="18"/>
          <w:color w:val="000000"/>
        </w:rPr>
        <w:t>liability for litigation (see “</w:t>
      </w:r>
      <w:r>
        <w:rPr>
          <w:rFonts w:ascii="Times New Roman" w:cs="Times New Roman" w:eastAsia="Times New Roman" w:hAnsi="Times New Roman"/>
          <w:sz w:val="18"/>
          <w:szCs w:val="18"/>
          <w:i w:val="1"/>
          <w:iCs w:val="1"/>
          <w:color w:val="000000"/>
        </w:rPr>
        <w:t>Item 8. Financial Information—Note 19 - Commitments and Contingencies”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the Notes to the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Financial Statements included in this Annual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Disposal, restructuring and other operating expenses, net</w:t>
            </w: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 restructuring and other operating expenses, net</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Disposal, restructuring and other operating expenses, net remained relatively flat for the fiscal year ended March 31, 2024 as compared to the fiscal year ended March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(loss) from equity investments, net</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Income (loss) from equity investments, net increased by $25 million, or 56%, for the fiscal year ended March 31, 2024 as compared to the fiscal year ended March 31, 2023, primarily due to </w:t>
      </w:r>
      <w:r>
        <w:rPr>
          <w:rFonts w:ascii="Times New Roman" w:cs="Times New Roman" w:eastAsia="Times New Roman" w:hAnsi="Times New Roman"/>
          <w:sz w:val="18"/>
          <w:szCs w:val="18"/>
          <w:color w:val="231F20"/>
        </w:rPr>
        <w:t>reductions in unrealized losses related to equity method investments accounted for at fair value and non-marketable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net increased by $68 million, or 162%, for the fiscal year ended March 31, 2024 as compared to the fiscal year ended March 31, 2023, primarily due to higher short-term investments and cash equivalents, and favorable interest rate yields recognized on short-term investments and cash equivalents.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(loss), net</w:t>
            </w: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non-operating income (loss), net increased by $8 million, or 267%, for the fiscal year ended March 31, 2024 as compared to the fiscal year ended March 31, 2023, primarily due to increased realized and unrealized foreign exchange gains.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80" w:type="dxa"/>
            <w:vAlign w:val="bottom"/>
          </w:tcPr>
          <w:p>
            <w:pPr>
              <w:spacing w:after="0"/>
              <w:rPr>
                <w:sz w:val="24"/>
                <w:szCs w:val="24"/>
                <w:color w:val="auto"/>
              </w:rPr>
            </w:pPr>
          </w:p>
        </w:tc>
      </w:tr>
      <w:tr>
        <w:trPr>
          <w:trHeight w:val="27"/>
        </w:trPr>
        <w:tc>
          <w:tcPr>
            <w:tcW w:w="5700" w:type="dxa"/>
            <w:vAlign w:val="bottom"/>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42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 as a percentage of income before taxes</w:t>
            </w:r>
          </w:p>
        </w:tc>
        <w:tc>
          <w:tcPr>
            <w:tcW w:w="42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benefit (expense) and the effective tax rate for the fiscal year ended March 31, 2024 as compared to the fiscal year ended March 31, 2023 changed primarily due to research and development tax credits and windfall tax benefits associated with share-based compensation arising in the fiscal year ended March 31, 2024.</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enacted into U.S. law. The legislation includes a new corporate alternative minimum tax (“CAMT”) of 15% on the adjusted financial statement income (“AFSI”) of corporations with average AFSI exceeding $1.0 billion over a three-year period. The CAMT is effective for the Company for the fiscal year ended March 31, 2024. We have determined that CAMT did not have a material impact on the financial statements or results of operations for the fiscal year ended March 31, 2024.</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OECD reached agreement among various countries to implement a minimum 15% rate on certain multinational enterprises, commonly referred to as Pillar Two. In July 2023, the U.K. enacted legislation to implement the OECD framework for Pillar Two, part of which went into effect January 1, 2024. A number of other countries where we do business, including the U.S., Japan, and many countries in the European Union, have implemented, or are considering implementing, changes in relevant tax, accounting and other laws, regulations and interpretations. We will continue to monitor the implementation of Pillar Two in the jurisdictions in which we operate. Given the numerous proposed tax law changes and the uncertainty regarding such proposed tax legislative changes, the impact of Pillar Two could adversely impact our effective tax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Performance for the Fiscal Years Ended March 31, 2023 and 2022</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Management’s Discussion and Analysis of Financial Condition and Results of Operations—Comparison of Performance for the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Years Ended March 31, 2023, 2022 and 2021” </w:t>
      </w:r>
      <w:r>
        <w:rPr>
          <w:rFonts w:ascii="Times New Roman" w:cs="Times New Roman" w:eastAsia="Times New Roman" w:hAnsi="Times New Roman"/>
          <w:sz w:val="18"/>
          <w:szCs w:val="18"/>
          <w:color w:val="auto"/>
        </w:rPr>
        <w:t>in the IPO Prospectus.</w:t>
      </w:r>
    </w:p>
    <w:p>
      <w:pPr>
        <w:spacing w:after="0" w:line="156"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financed, and intend to continue to finance, our operations primarily through cash generated from our business operations, partially supported by government research grants and tax credits. For the fiscal years ended March 31, 2024, 2023, and 2022, the government research grant and tax credits benefits recognized were $138 million, $83 million, and $84 million, respectively. As of March 31, 2024, we had cash and cash equivalents of $1,923 million and short-term investments of $1,000 million.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our cash and cash equivalents and short-term investments will be adequate to meet our liquidity requirements for at least the next 12 months and in the longer term.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 See </w:t>
      </w:r>
      <w:r>
        <w:rPr>
          <w:rFonts w:ascii="Times New Roman" w:cs="Times New Roman" w:eastAsia="Times New Roman" w:hAnsi="Times New Roman"/>
          <w:sz w:val="18"/>
          <w:szCs w:val="18"/>
          <w:i w:val="1"/>
          <w:iCs w:val="1"/>
          <w:color w:val="auto"/>
        </w:rPr>
        <w:t>“Item 3. Key Information—D. Risk Factors—Risks Relating to Our Business and Industry.”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86"/>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100" w:type="dxa"/>
            <w:vAlign w:val="bottom"/>
          </w:tcPr>
          <w:p>
            <w:pPr>
              <w:spacing w:after="0"/>
              <w:rPr>
                <w:sz w:val="24"/>
                <w:szCs w:val="24"/>
                <w:color w:val="auto"/>
              </w:rPr>
            </w:pPr>
          </w:p>
        </w:tc>
      </w:tr>
      <w:tr>
        <w:trPr>
          <w:trHeight w:val="27"/>
        </w:trPr>
        <w:tc>
          <w:tcPr>
            <w:tcW w:w="6460" w:type="dxa"/>
            <w:vAlign w:val="bottom"/>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Cash Flows for the Fiscal Years Ended March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Operating Activities</w:t>
      </w:r>
    </w:p>
    <w:p>
      <w:pPr>
        <w:spacing w:after="0" w:line="21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Net cash provided by operating activities increased by $351 million, or 47%, to $1,090 million for the fiscal year ended March 31, 2024 as compared to the fiscal year ended March 31, 2023, benefiting from certain non-cash items including incremental and accelerated share-based compensation costs, and changes in assets and liabilities, partially offset by lower loss on equity investments due to fair value movements. Changes in assets and liabilities were primarily driven by an increase in other liabilities for employee related payroll taxes and payables primarily related to vested RSUs to be paid in a subsequent period, lower accounts receivable balance due to improved collection cycles, an increase in contract assets, a decrease in contract liabilities due to the new contracts signed and timing of revenue recognition, a decrease in tax liabilities, a decrease in prepaid expenses and other assets due to a research and development tax incentive receivable, a decrease in accrued compensation and benefits and share-based compensation primarily due to liability-classified awards that were either modified to be equity-settled or had been settled in connection with the IPO, and an increase in operating lease liabilities primarily due to early termination of lease contracts in a prior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Investing Activities</w:t>
      </w:r>
    </w:p>
    <w:p>
      <w:pPr>
        <w:spacing w:after="0" w:line="21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Net cash used for investing activities increased by $378 million, or 274%, to $516 million for the fiscal year ended March 31, 2024 as compared to the fiscal year ended March 31, 2023, primarily due to a $656 million decrease in proceeds from maturity of short-term investments, a $28 million increase in purchases of property and equipment, a $22 million increase in purchases of intangible assets and a $17 million increase in purchases of equity investments, partially offset by a $346 million decrease in purchases of short-term investments.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increased by $166 million, or 395%, to $208 million for the fiscal year ended March 31, 2024 as compared to the fiscal year ended March 31, 2023, primarily due to a $158 million increase in payments of withholding tax on vested shares and a $8 million increase in payment for finance lease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Cash Flows for the Fiscal Years Ended March 31, 2023 and 2022</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 xml:space="preserve"> in the IPO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Our material cash requirements include the following contractual and other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231F20"/>
        </w:rPr>
        <w:t xml:space="preserve">We have operating lease arrangements for office space, data centers, equipment and other corporate assets.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we had lease payment obligations of </w:t>
      </w:r>
      <w:r>
        <w:rPr>
          <w:rFonts w:ascii="Times New Roman" w:cs="Times New Roman" w:eastAsia="Times New Roman" w:hAnsi="Times New Roman"/>
          <w:sz w:val="18"/>
          <w:szCs w:val="18"/>
          <w:color w:val="000000"/>
        </w:rPr>
        <w:t>$261 million</w:t>
      </w:r>
      <w:r>
        <w:rPr>
          <w:rFonts w:ascii="Times New Roman" w:cs="Times New Roman" w:eastAsia="Times New Roman" w:hAnsi="Times New Roman"/>
          <w:sz w:val="18"/>
          <w:szCs w:val="18"/>
          <w:color w:val="231F20"/>
        </w:rPr>
        <w:t xml:space="preserve">, with </w:t>
      </w:r>
      <w:r>
        <w:rPr>
          <w:rFonts w:ascii="Times New Roman" w:cs="Times New Roman" w:eastAsia="Times New Roman" w:hAnsi="Times New Roman"/>
          <w:sz w:val="18"/>
          <w:szCs w:val="18"/>
          <w:color w:val="000000"/>
        </w:rPr>
        <w:t>$33 million</w:t>
      </w:r>
      <w:r>
        <w:rPr>
          <w:rFonts w:ascii="Times New Roman" w:cs="Times New Roman" w:eastAsia="Times New Roman" w:hAnsi="Times New Roman"/>
          <w:sz w:val="18"/>
          <w:szCs w:val="18"/>
          <w:color w:val="231F20"/>
        </w:rPr>
        <w:t xml:space="preserve"> payable within twelve months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As of March 31, 2024, the Company had one lease signed but not yet commenced, with a lease value of</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approximately $15 million and a lease term expiring in 2036. Subsequent to March 31, 2024, we </w:t>
      </w:r>
      <w:r>
        <w:rPr>
          <w:rFonts w:ascii="Times New Roman" w:cs="Times New Roman" w:eastAsia="Times New Roman" w:hAnsi="Times New Roman"/>
          <w:sz w:val="18"/>
          <w:szCs w:val="18"/>
          <w:color w:val="000000"/>
        </w:rPr>
        <w:t>renewed two of the leases for our global headquarters with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 approximate value of $19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contract with various third-party service providers for systems and services to perform certain day-to-day business activities. During the fiscal year ended March 31, 2024 we entered into a non-cancelable purchase commitment with our cloud computing web services provider with a total purchase commitment of $340 million for the period from July 2023 through June 2029. As of March 31, 2024, the total remaining contractual obligations are approximately $298 million, of which $37 million is for the next 12 months.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5" w:name="page76"/>
    <w:bookmarkEnd w:id="75"/>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Item 4. Information on the Company—B. Business Overview—Research and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4. Information on the Company—B.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Overview—Intellectual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5. Operating and Financial 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Components of Results of Operations—Research and Development,” “</w:t>
      </w:r>
      <w:r>
        <w:rPr>
          <w:rFonts w:ascii="Times New Roman" w:cs="Times New Roman" w:eastAsia="Times New Roman" w:hAnsi="Times New Roman"/>
          <w:sz w:val="18"/>
          <w:szCs w:val="18"/>
          <w:color w:val="auto"/>
        </w:rPr>
        <w:t>Item 5. Operating and Financial Review and Prospects—</w:t>
      </w:r>
      <w:r>
        <w:rPr>
          <w:rFonts w:ascii="Times New Roman" w:cs="Times New Roman" w:eastAsia="Times New Roman" w:hAnsi="Times New Roman"/>
          <w:sz w:val="18"/>
          <w:szCs w:val="18"/>
          <w:i w:val="1"/>
          <w:iCs w:val="1"/>
          <w:color w:val="auto"/>
        </w:rPr>
        <w:t>Comparison of Performance for the Fiscal Years Ended March 31, 2024 and 2023—Research and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Item 8. Financial Information—Note 1 - Description of Business and Summary of Significant Accounting Policies”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the Consolidated Financial Statements included in this Annual Report and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Operations—Comparison of Performance for the Fiscal Years Ended March 31, 2023, 2022 and 2021” </w:t>
      </w:r>
      <w:r>
        <w:rPr>
          <w:rFonts w:ascii="Times New Roman" w:cs="Times New Roman" w:eastAsia="Times New Roman" w:hAnsi="Times New Roman"/>
          <w:sz w:val="18"/>
          <w:szCs w:val="18"/>
          <w:color w:val="auto"/>
        </w:rPr>
        <w:t>in the IPO Prospectus for discussion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research and development policies.</w:t>
      </w:r>
    </w:p>
    <w:p>
      <w:pPr>
        <w:spacing w:after="0" w:line="181"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Operating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upon many factors, including those described in the section titled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and elsewhere in this Annual Report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Demand for Semiconductor Products and Cyclical Nature of the Semiconductor Industry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Semiconductor chips are essential components in consumer, enterprise, and automotive electronics, which has resulted in sustained and increasing long-term demand for semiconductor chips, a significant percentage of which contain our products. Our license and royalty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Share Across End Markets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and incorporate more AI and ML workloads, they require our more advanced processor designs in areas such as cloud computing, the automotive industry, and the IoT economy. Our operating and financial performance is dependent, in large part, upon maintaining our market share in the smartphone and consumer electronics markets and maintaining or growing market share in our other target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Provide Our Customers with More Value Per Chip</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ability to continue to develop more advanced products and offer increasingly comprehensive product packages, including providing more complete subsystems, will encourage greater use of our products by existing and prospective customers. For example, some licensees may combine multiple different Arm CPUs in a single chip, Arm CPUs with other Arm IP such as Arm GPUs, or deploy Arm CPU implementations with more than 100 cores. Some customers may be better served by the integration of our IP into a subsystem with additional information to assist in fabrication. For chips where our products have provided more value, we will typically receive a higher royalty rate per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Design Wins with Existing and Prospective Customers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and will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research and development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Arm China</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depend on our commercial relationship with Arm China to access the PRC market, and a significant portion of our total revenue is generated from Arm China, a related party. Arm China has the right to sublicense our processor technology pursuant to the intellectual property license agreement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significant reliance on Arm China through our commercial relationship with 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the PRC market increased $40 million, or 6%, during the fiscal year ended March 31, 2024 as compared to the fiscal year ended March 31, 2023. Our royalty revenue from Arm China increased during the fiscal year ended March 31, 2024 as compared to the fiscal year ended March 31, 2023 primarily driven by higher chip shipments as well as an improved mix of products with higher royalty rates per chip.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Export Control Regulations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Bureau of Industry and Security (“BIS”) of the U.S. Department of Commerce published updated export controls on advanced computing chips, computer commodities that contain such chips, and certain semiconductor manufacturing items, as well as controls on transactions involving items for supercomputer and semiconductor manufacturing end-uses. The October 2023 export controls expand the scope of items subject to license requirements for certain entities on BIS’s Entity List.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Current Macroeconomic Environment and Geopolitical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a range of events and trends, including the recent financial institution failures, rise in global inflation and interest rates, supply chain disruptions, geopolitical pressures, including the unknown impact of current and future U.S. and PRC trade regulations, changes in PRC-Taiwan relations,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7" w:name="page78"/>
    <w:bookmarkEnd w:id="77"/>
    <w:p>
      <w:pPr>
        <w:jc w:val="both"/>
        <w:spacing w:after="0" w:line="256" w:lineRule="auto"/>
        <w:rPr>
          <w:sz w:val="20"/>
          <w:szCs w:val="20"/>
          <w:color w:val="auto"/>
        </w:rPr>
      </w:pPr>
      <w:r>
        <w:rPr>
          <w:rFonts w:ascii="Times New Roman" w:cs="Times New Roman" w:eastAsia="Times New Roman" w:hAnsi="Times New Roman"/>
          <w:sz w:val="18"/>
          <w:szCs w:val="18"/>
          <w:color w:val="auto"/>
        </w:rPr>
        <w:t>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semiconductor manufacturing. The conflicts in the Middle East have caused no major interruption to our operations to date.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Technology and Product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remain competitive, we must continue to develop new applications and enhancements to our existing products and services, particularly as next generation technology is adopted by market participants. Allocating and maintaining adequate research and development resources, such as the appropriate personnel and development technology, to meet the evolving demands of the market is essential to our continued success.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continue to evaluate opportunities and potential investments to develop new technologies and advanced products, including in the AI arena and thereby expand beyond individual design IP elements to providing a more complete system.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our efforts in this regard are still in the nascent stages, in the future we may invest greater financial and other resources in furtherance of those efforts, explore investment and/or acquisition opportunities, and engage with one or more partners to provide technical, financial and/or other support.</w:t>
      </w:r>
    </w:p>
    <w:p>
      <w:pPr>
        <w:spacing w:after="0" w:line="172"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consolidated financial statements.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w:t>
      </w:r>
      <w:r>
        <w:rPr>
          <w:rFonts w:ascii="Times New Roman" w:cs="Times New Roman" w:eastAsia="Times New Roman" w:hAnsi="Times New Roman"/>
          <w:sz w:val="18"/>
          <w:szCs w:val="18"/>
          <w:i w:val="1"/>
          <w:iCs w:val="1"/>
          <w:color w:val="auto"/>
        </w:rPr>
        <w:t>Item 8. Financial Information—Note 1 - Description of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in the Notes to the Consolidated Financial Statements included in this Annual Report,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involve a greater degree of management judgment and complexity. Accordingly, the following policies we believe are the most critical to aid in fully understanding and evaluating our consolidated financial condition, results of operations, and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revenue is derived from contracts with customers. We recognize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the five-step framework under ASC 606 to recognize revenue as described in our revenue recognition policy included in “</w:t>
      </w:r>
      <w:r>
        <w:rPr>
          <w:rFonts w:ascii="Times New Roman" w:cs="Times New Roman" w:eastAsia="Times New Roman" w:hAnsi="Times New Roman"/>
          <w:sz w:val="18"/>
          <w:szCs w:val="18"/>
          <w:i w:val="1"/>
          <w:iCs w:val="1"/>
          <w:color w:val="auto"/>
        </w:rPr>
        <w:t>Item 8. Financial Information—Note 1 - Description of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Summary of Significant Accounting Policies” </w:t>
      </w:r>
      <w:r>
        <w:rPr>
          <w:rFonts w:ascii="Times New Roman" w:cs="Times New Roman" w:eastAsia="Times New Roman" w:hAnsi="Times New Roman"/>
          <w:sz w:val="18"/>
          <w:szCs w:val="18"/>
          <w:color w:val="auto"/>
        </w:rPr>
        <w:t>in the Notes to the Consolidated Financial Statements included in this Annual Report.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most critical judgments required in applying ASC 606 and our revenue recognition policy relate to the determination of distinct performance obligations, the evaluation of the standalone selling price (“SSP”) for each performance obligation and the assessment of the contract combination criteria.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distinct performance obligations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our licensing arrangements, we grant customers the choice to acquire additional rights, goods, or services at contract inception (for example, renewals of offerings, version extensions through term renewals, additional future products, or additional usage of term license). Therefore, judgment is required in determining whether products and services are considered distinct performance obligations that should be accounted for separately. We utilize forward-looking information in identifying performance obligations for IP or their version extensions of architecture IP under development or future products and in considering if implicit promises exist in certain long-term contracts.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the standalone selling price for each performance obligation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in the contract. Directly observable prices are generally not available for our products, so we estimate the SSP for each performance obligation by maximizing the use of observable inputs. Some of our performance obligations, such as support, maintenance services, and training services, have observable inputs that are used to determine the SSP of those distinct performance obligations. However, our licenses of products often have highly variable pricing as standalone sales are rare and pricing varies from one transaction to another. When offerings with highly variable pricing lack substantial direct costs to estimate SSP based on a cost-plus margin approach, the transaction price is allocated using the residual approach on the basis that we have identified the SSP for other performance obligations in the same contract. If two or more performance obligations have highly variable or uncertain pricing, we apply a combination of methods to estimate the SSPs, including utilizing list prices, contract prices, and effort estimates of future IP.</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contract combination criteria</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instances, we enter into multiple contracts with the same customer that are treated, for accounting purposes, as a single contract if the contracts are entered into at, or near, the same time and are interrelated. Judgments are required in evaluating whether various contracts are interrelated, which includes considerations as to whether they were negotiated as a package with a single commercial objective, where the amount of consideration on one contract is dependent on the performance of the other contract, or if some or all obligations in the contracts constitute a single performance obligation.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Estimates on Sales-Based Royalty Revenue Accruals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certain license arrangements, sales-based royalties are collected on customers’ chips that incorporate our products. Royalties are set either as a percentage of the licensee’s average selling price per chip or as a fixed amount per chip. Royalties are recognized on the licensee’s sales in the period in which they ship their Arm-powered chips to their end customers. Our estimates of royalty-based accruals take into consideration the macroeconomic effects of global events, such as geopolitical issues (such as trade bans or wars), and natural disasters, any of which may interrupt supply chain activities as well as demand for shipments of technology products. These estimates also involve the use of historical data and judgment for several key attributes, including industry estimates of expected shipments, the percentage of markets using our products, and average selling price. Generally, our estimates represent the then-current period’s shipments for which we expect our licensees to submit royalty statements in the following quarter in accordance with our license agreements. Upon receipt of royalty statements from the licensees with the actual reporting of sales-based royalties that we previously estimated, we record a favorable or unfavorable adjustment based on the difference, if any, between estimated and actual sales. Historically, actual amounts for sales-based royalties have been materially consistent with our estimates, and no significant adjustments have been required for prior-period royalty estimates. However, we can provide no assurances that material adjustments will not be required in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Equity Investments Measured at Fair Value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Non-marketable securities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Non-marketable securities represent either direct or indirect, through a capital fund, investments in unlisted early-stage development enterprises. For certain of these securities, we have elected to apply the NAV practical expedient, where NAV is the estimated fair value of the investments. For other investments, under the measurement alternative, these equity securities are recorded at cost minus impairment, if any, plus or minus changes resulting from qualifying observable price changes resulting from the issuance of similar or identical securities in an orderly transaction by the same issuer. As of March 31, 2024 and 2023, non-marketable securities measured at NAV were $18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79" w:name="page80"/>
    <w:bookmarkEnd w:id="7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Determining whether an observed transaction is similar to a security within our portfolio requires judgment based on the rights and preferences of the securities. Recording upward and downward adjustments to the carrying values of equity securities as a result of observable price changes requires quantitative assessments of the fair values of equity securities held.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method investments represent strategic investments in unlisted development enterprises. For certain of these investments, we have elected to apply the fair value option. Where applicable, the NAV practical expedient has been applied. Equity method investments measured at NAV as of March 31, 2024 and 2023 were $106 million and $109 million, respectively. Equity method investments measured at fair value as of March 31, 2024 and 2023 were $466 million and $482 million, respectively.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elected the fair value option for Arm China, Acetone Limited, and Ampere Computing Holdings LLC. We initially computed the fair value for our investments, consistent with the methodology and assumptions that market participants would use in their estimates of fair value, with the assistance of a third-party valuation specialist or based on inputs provided by the investee. The fair value computation is updated on a quarterly basis. The investments are classified within Level 3 in the fair value hierarchy because we estimate the fair value of the investments using (i) the market approach based on similar transactions, (ii) the market-calibration approach based on the guideline public company method and/or (iii) probability-weighted expected return approach, and/or (iv) subject to the availability of sufficient information, the income approach based on the discounted cash flow method.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numerous objective and subjective factors to determine the best estimate of fair value for our investees. These factors include forecasts, the financial condition of the investee and the prices paid for securities sold to third-party investors, if any, as well as the valuation of comparable companies.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Impairment of investments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Non-marketable equity securities under the measurement alternative are subject to periodic impairment analysis. The periodic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we prepare a quantitative assessment of the fair value of the equity investments using both the market and income approaches, which require judgment and the use of estimates, including discount rates, investee revenue and costs, and comparable market data of private and public companies, among others. During the fiscal years ended March 31, 2024, 2023 and 2022, we recognized impairments of $3 million, $8 million and $3 million, respectively, on non-marketable equity securities.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our ability and intent to hold the investment for a sufficient period of time to allow for recovery. We did not recognize any impairments on equity method investments during the fiscal years ended March 31,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 Valuations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determining the fair value of ordinary shares, the Board of Directors considered the grant date fair value for share-based awards as of the closing price of the Company’s ADSs on Nasdaq on the day of grant. The Company generally recognizes share based compensation cost using the straight-line method over the requisite service period of the award, net of estimated forfeitures, except for awards that are subject to continuous service and satisfaction of certain Company performance conditions. For awards that are subject to continuous service and satisfaction of certain Company performance conditions, the Company revises its estimate of the number of shares expected to vest at each reporting date as a result of the effect of the Company’s performance conditions. The impact of the revision of the original estimates, if any, is recognized in the Consolidated Income Statements such that the cumulative expense reflects the revised estimate. Certain fixed monetary amount liability-classified awards were modified to equity-classified awards at the time of IPO and were converted to into a variable number of ADSs representing ordinary shares based on the IPO price of $51.00 per ADS.</w:t>
      </w:r>
    </w:p>
    <w:p>
      <w:pPr>
        <w:spacing w:after="0" w:line="19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“Management’s Discussion and Analysis of Financial Condition and Results of Operations—Critical Accounting Estimates”</w:t>
      </w:r>
      <w:r>
        <w:rPr>
          <w:rFonts w:ascii="Times New Roman" w:cs="Times New Roman" w:eastAsia="Times New Roman" w:hAnsi="Times New Roman"/>
          <w:sz w:val="18"/>
          <w:szCs w:val="18"/>
          <w:color w:val="auto"/>
        </w:rPr>
        <w:t xml:space="preserve"> in the IPO Prospectus for critical accounting estimates applicable prior to the IPO.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expense share-based compensation over the requisite service periods of the awards, which generally is equivalent to the vesting term. Compensation expense is recorded only for those awards that are expected to vest. The fair value of RSUs is based on the grant date fair value for share-based awards based on the closing price of the Company’s ADSs on Nasdaq on the day of the grant.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IPO, the fair value of RSUs was determined on the date of grant and at the end of each reporting period using Monte Carlo simulations or the discounted cash flow approach. The fair value of Phantom Shares (as defined below) was determined based on the share price of our ultimate parent, SoftBank Group. We classified awards that were settled in cash as liabilities on our Consolidated Balance Sheets. Certain RSUs and all Phantom Shares are liability-classified and are remeasured at the end of each reporting period through the date of settlement to ensure that the expense recognized for each award is equivalent to the amount to be paid in cash.</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 Units (RSUs)—2019 AEP and 2019 EIP</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100% of the 2019 AEP and 2019 EIP awards have vested and were settled in shares.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IPO, RSUs were granted to both employees and certain of our executive officers and vesting is subject to continuous service, the achievement of market condition targets, and are contingent upon the occurrence of various events comprising a change in control, an initial public offering, or the passage of time. RSUs would vest on the earliest to occur of (1) our initial public offering or six months following our initial public offering (as applicable), (2) the acquisition of more than 50% of the voting power of our shares, or the sale of the Company or another change in control event, and</w:t>
      </w:r>
    </w:p>
    <w:p>
      <w:pPr>
        <w:spacing w:after="0" w:line="3" w:lineRule="exact"/>
        <w:rPr>
          <w:sz w:val="20"/>
          <w:szCs w:val="20"/>
          <w:color w:val="auto"/>
        </w:rPr>
      </w:pPr>
    </w:p>
    <w:p>
      <w:pPr>
        <w:jc w:val="both"/>
        <w:ind w:firstLine="8"/>
        <w:spacing w:after="0" w:line="255" w:lineRule="auto"/>
        <w:tabs>
          <w:tab w:leader="none" w:pos="2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9, 2026. The vesting of certain RSUs was subject to market condition targets related to our valuation upon change in control, initial public offering, or passage of time. Prior to the IPO, the Company recognized share-based compensation over the vesting term assuming a March 9, 2026 vesting date.</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fair value of the 2019 AEP RSUs was measured at each reporting date using the Monte Carlo simulation model. The Monte Carlo simulation model simulates our equity value at an assumed listing exit event in order to determine the RSU vesting percentage. The model simulates the RSU vesting percentage over one million iterations, and the average of all iterations is the fair value of an RSU. The model then discounts the future value of RSU at the assumed listing exit event date back to the valuation date based on the risk-free rate. The Monte Carlo simulation model incorporates various assumptions such as expected share price volatility until a liquidity event, expected dividend yield, risk-free interest rate, and expected time to an initial public offering.</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2019 EIP RSUs was estimated using the income approach and market-calibration approach based on comparable publicly traded companies in similar lines of businesses. Cash flow assumptions used in the income approach consider historical and forecasted revenue, earnings before interest, taxes, depreciation and amortization (EBITDA) and other relevant factors.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fiscal year ended March 31, 2023, the Company paid $15.9 million in relation to the modification of 2019 AEP RSUs that had vesting conditions accelerated pursuant to restructuring activities, of which $11.8 million of share-based compensation cost was recognized in the fiscal year ended March 31, 2023. We did not have any cash payments arising from normal course vesting events for liability-classified RSU awards for the fiscal years ended March 31, 2024, 2023 and 2022. All awards under the 2019 AEP vested in March 2024 following the completion of the IPO. Upon completion of the IPO, all RSUs under the 2019 EIP vested and were settled in ordinary shares instead of cash. This resulted in a change to the classification of the RSUs from liability-classified to equity-classified awards. We recognized incremental and accelerated share-based compensation expense of $221.3 million under the 2019 AEP and 2019 EIP for which the service-based vesting condition was satisfied or partially satisfied as of the date of the IPO.</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2022 RSU Plan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2022, the 2022 RSU Plan was established to grant RSUs to all employees of the Company (“All Employee Awards”). Employees may elect not to participate in the plan. The RSUs vest in tranches, require continuous service through the vesting date and are subject to graded vesting over time. We recognize share-based compensation cost using the straight-line method over the service period of the award except for performance grants with specific performance criteria, net of estimated forfeitures. The 2022 RSU Plan provides vesting schedules applicable prior to an IPO and after an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IPO. The RSUs that were previously probable of vesting based on the vesting schedule applicable prior to the IPO were modified to the vesting schedule applicable post-IPO.</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IPO, we used the income approach and market-calibration approach based on comparable publicly traded companies in similar lines of businesses to measure the fair value of the All Employee Awards. 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is recorded as the excess of consideration transferred over the acquisition-date fair values of assets acquired and liabilities assumed. We have identified one reporting unit. We perform an annual impairment assessment in the fourth fiscal quarter or more frequently if indicators of potential impairment exist, which includes evaluating qualitative and quantitative factors to assess the likelihood of an impairment of the reporting unit’s goodwill. If our assessment concludes that it is more likely than not that the fair value is more than its carrying value of our reporting unit, goodwill is not considered impaired and we are not required to perform the quantitative goodwill impairment test.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our impairment assessment concludes that it is more likely than not that the fair value is less than its carrying value, we perform the quantitative goodwill impairment test, which compares the fair value of the reporting unit to its carrying value. Impairments, if any, are based on the excess of the carrying amount over the fair value. Our goodwill impairment test considers the income method and/or market method to estimate a reporting unit’s fair value. Significant judgments are required in assessing impairment of goodwill include the identification of reporting units, estimating future cash flows, determining appropriate discount and growth rates and other assumptions. Changes in these estimates and assumptions could materially affect the determination of fair value, whether an impairment exists and if so the amount of that impairment.</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completed our annual goodwill impairment test in the fourth quarter of the fiscal years ended March 31, 2024, 2023 and 2022. It was determined, after performing a qualitative review, that it is not more likely than not that the fair value of our single reporting unit was less than its carrying amount. Accordingly, there was no indication of impairment, and the quantitative goodwill impairment test was not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United Kingdom and other foreign jurisdictions. We account for deferred taxes by using the asset and liability method under GAAP. Under this method, we determine deferred tax assets and liabilities based on temporary differences between the financial reporting and the tax bases of assets and liabilities. Deferred tax assets and liabilities are measured using the enacted tax rates and laws that are expected to be in effect when the differences are expected to reverse. We recognize a deferred tax asset when it is more likely than not that the asset will be realized. We regularly review our deferred tax assets for recoverability and establish a valuation allowance based upon historical losses, projected future taxable income and the expected timing of the reversals of existing temporary differences. To the extent we increase or decrease the allowance in a period, we recognize the change in the allowance within “Income tax expense (benefit)” in the Consolidated Income Statements. Unforeseen changes in tax rates and tax laws, as well as differences in the projected taxable income as compared to actual taxable income, may affect these estimates.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taxes includes the impact of reserves for unrecognized tax benefits as well as the related net interest and penalties. In addition, we are subject to the continuous examination of our income tax returns by the United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spacing w:after="0" w:line="282" w:lineRule="auto"/>
        <w:rPr>
          <w:sz w:val="20"/>
          <w:szCs w:val="20"/>
          <w:color w:val="auto"/>
        </w:rPr>
      </w:pPr>
      <w:r>
        <w:rPr>
          <w:rFonts w:ascii="Times New Roman" w:cs="Times New Roman" w:eastAsia="Times New Roman" w:hAnsi="Times New Roman"/>
          <w:sz w:val="18"/>
          <w:szCs w:val="18"/>
          <w:color w:val="auto"/>
        </w:rPr>
        <w:t>Kingdom and other tax authorities that may assert assessments against us. We regularly assess the likelihood of adverse outcomes resulting from these examinations and assessments to determine the adequacy of our provision for income taxes.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Directors and senior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Non-Executive Directors and Senior Management as of March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12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7"/>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20" w:type="dxa"/>
            <w:vAlign w:val="bottom"/>
          </w:tcPr>
          <w:p>
            <w:pPr>
              <w:spacing w:after="0"/>
              <w:rPr>
                <w:sz w:val="20"/>
                <w:szCs w:val="20"/>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Masayoshi Son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D. Fisher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A. Sine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Karen E. Dykstra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Michael Fadell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Rosemary Schooler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E. Jacobs, PhD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 Haas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Child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Kirsty Gill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People Officer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Spencer Collins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Grisenthwaite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Architect</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 Abbey</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Masayoshi Son </w:t>
      </w:r>
      <w:r>
        <w:rPr>
          <w:rFonts w:ascii="Times New Roman" w:cs="Times New Roman" w:eastAsia="Times New Roman" w:hAnsi="Times New Roman"/>
          <w:sz w:val="18"/>
          <w:szCs w:val="18"/>
          <w:color w:val="auto"/>
        </w:rPr>
        <w:t>has served as a Director and Chairman of our Board of Directors since March 2018. From September 2016 to March 2018, Mr. 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Chairman of the Board of Directors of Arm Holdings plc. Mr. Son founded SoftBank Group in September 1981 and has been its Chairman and Chief Executive Officer since February 1986. Founded initially as a PC software distribution business, SoftBank Group and its portfolio of companies have expanded to cover a range of technologies, including advanced telecommunications, internet services, AI, smart robotics, and IoT. Mr. Son has overseen investments in some of the world’s fastest-growing technology companies. Mr. Son serves in various capacities within SoftBank Group’s portfolio of companies, including SoftBank Corp. (Japanese Telecommunication Operator) as its Chairman since 2015 and served as its Chairman and Chief Executive Officer from 2006 to 2015. Mr. Son has also served as Honorary Chairman of the Broadband Association in Japan.</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Son was selected to serve on our Board of Directors because of his vast executive leadership experience, including through his service as Chairman and Chief Executive Officer of SoftBank Group, a large international public company and our controlling shareholder, along with his significant expertise in technology and innovation.</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Ronald D. Fisher </w:t>
      </w:r>
      <w:r>
        <w:rPr>
          <w:rFonts w:ascii="Times New Roman" w:cs="Times New Roman" w:eastAsia="Times New Roman" w:hAnsi="Times New Roman"/>
          <w:sz w:val="18"/>
          <w:szCs w:val="18"/>
          <w:color w:val="auto"/>
        </w:rPr>
        <w:t>has served as a Director of our Board of Directors since March 2018. Mr. Fisher is a Senior Advisor at SoftBank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Mr. Fisher joined SoftBank Group in 1995 and was the founder and Managing Partner of SoftBank Capital. Mr. Fisher joined the Board of SoftBank Group in 1997 and was Vice Chairman from 2017 to 2022. Mr. Fisher also serves on the boards of several of SoftBank Group’s portfolio companies. Mr. Fisher has more than 40 years of experience of working with high-growth and turnaround technology companies. Prior to joining SoftBank Group, Mr. Fisher was the Chief Executive Officer of Phoenix Technologies Ltd., the leading developer and marketer of system software products for personal computers, from 1990 to 1995. Mr. Fisher joined Phoenix from Interactive Systems Corporation, a UNIX 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3" w:name="page84"/>
    <w:bookmarkEnd w:id="8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Fisher was selected to serve on our Board of Directors due to his extensive business, operational and management experience in the technology industry.</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Jeffrey A. Sine </w:t>
      </w:r>
      <w:r>
        <w:rPr>
          <w:rFonts w:ascii="Times New Roman" w:cs="Times New Roman" w:eastAsia="Times New Roman" w:hAnsi="Times New Roman"/>
          <w:sz w:val="18"/>
          <w:szCs w:val="18"/>
          <w:color w:val="auto"/>
        </w:rPr>
        <w:t>has served as a Director of our Board of Directors since September 2022. Mr. Sine is the Co-Founder and Partner of The Raine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 global merchant bank focused on technology, media, and communications. Prior to founding The Raine Group LLC, he served as Vice Chairman and Global Head of Technology, Media &amp; Telecom Investment Banking at UBS Investment Bank. Mr. Sine was a Managing Director at Morgan Stanley and an attorney at Sullivan &amp; Cromwell in New York and London. Mr. Sine currently serves on the boards of many portfolio companies and subsidiaries of The Raine Group LLC. He also serves on the boards of National Public Radio, TelevisaUnivision, ITHAKA, Educational Testing Service, American University and The Manhattan Theatre Club.</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Sine was selected to serve on our Board of Directors due to his significant experience as a leader and director of multiple global companies with international operations as well as his capital markets and financial experience from his tenure at global financial institutions.</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Karen E. Dykstra </w:t>
      </w:r>
      <w:r>
        <w:rPr>
          <w:rFonts w:ascii="Times New Roman" w:cs="Times New Roman" w:eastAsia="Times New Roman" w:hAnsi="Times New Roman"/>
          <w:sz w:val="18"/>
          <w:szCs w:val="18"/>
          <w:color w:val="auto"/>
        </w:rPr>
        <w:t>has served as a Director of our Board of Directors since September 2022. From June 2023 to November 2023, Ms. Dykstra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VMware, Inc.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President—Finance, Corporate Controller, and in other capacities. Ms. Dykstra currently serves on the board of Gartner, Inc. and is a former director of VMware, Inc., Crane Co., AOL, Inc. and Boston Properties, Inc.</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 Dykstra was selected to serve on our Board of Directors due to her broad executive management experience and financial expertise as the Chief Financial Officer of multiple global companies and her experience from serving on the board of directors of other companies in the technology industry.</w:t>
      </w:r>
    </w:p>
    <w:p>
      <w:pPr>
        <w:spacing w:after="0" w:line="14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Anthony Michael Fadell </w:t>
      </w:r>
      <w:r>
        <w:rPr>
          <w:rFonts w:ascii="Times New Roman" w:cs="Times New Roman" w:eastAsia="Times New Roman" w:hAnsi="Times New Roman"/>
          <w:sz w:val="18"/>
          <w:szCs w:val="18"/>
          <w:color w:val="auto"/>
        </w:rPr>
        <w:t>has served as a Director of our Board of Directors since September 2022. Mr. Fadell is an active investor and entrepreneur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over 30 years of experience in founding companies and designing consumer products. He is the Principal at the Build Collective, an investment and advisory firm that invests in deep tech startups. Currently, the Build Collective is working with startups on over 200 innovative technologies. Mr. Fadell is the founder and former Chief Executive Officer of Nest, a major pioneer in the IoT space. He was Senior Vice President of Apple’s iPod division and led the team that created the first 18 generations of the iPod and the first three generations of the iPhone. Mr. Fadell also served as an Advisor to the Chief Executive Officer at Apple. Throughout his career, Mr. Fadell has authored more than 300 patents. He is also a New York Times bestselling author of </w:t>
      </w:r>
      <w:r>
        <w:rPr>
          <w:rFonts w:ascii="Times New Roman" w:cs="Times New Roman" w:eastAsia="Times New Roman" w:hAnsi="Times New Roman"/>
          <w:sz w:val="18"/>
          <w:szCs w:val="18"/>
          <w:i w:val="1"/>
          <w:iCs w:val="1"/>
          <w:color w:val="auto"/>
        </w:rPr>
        <w:t xml:space="preserve">BUILD: An Unorthodox Guide to Making Things Worth </w:t>
      </w:r>
      <w:r>
        <w:rPr>
          <w:rFonts w:ascii="Times New Roman" w:cs="Times New Roman" w:eastAsia="Times New Roman" w:hAnsi="Times New Roman"/>
          <w:sz w:val="18"/>
          <w:szCs w:val="18"/>
          <w:color w:val="auto"/>
        </w:rPr>
        <w:t>Making. Mr. Fadell currently serves on the boards of Concerto Management, Inc., Concerto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EU, SAS and Orionis Biosciences, Inc.</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Fadell was selected to serve on our Board of Directors due to his extensive experience in a range of technology companies as well as his significant leadership experience, including serving as the founder and Chief Executive Officer of a leader in the IoT space, and his in-depth knowledge of the technology industry.</w:t>
      </w:r>
    </w:p>
    <w:p>
      <w:pPr>
        <w:spacing w:after="0" w:line="1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Rosemary Schooler </w:t>
      </w:r>
      <w:r>
        <w:rPr>
          <w:rFonts w:ascii="Times New Roman" w:cs="Times New Roman" w:eastAsia="Times New Roman" w:hAnsi="Times New Roman"/>
          <w:sz w:val="18"/>
          <w:szCs w:val="18"/>
          <w:color w:val="auto"/>
        </w:rPr>
        <w:t>has served as a Director of our Board of Directors since December 2022. Ms. Schooler has over 30 years of experience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technology industry. She most recently served as Corporate Vice President and General Manager of Data Center and AI Sales for Intel Corporation. During her 33-year career at 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Water Solutions and Densify. Ms. Schooler earned a B.S. in ceramic science and engineering from Penn State University.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 Schooler was selected to serve on our Board of Directors due to her expansive knowledge of corporate strategy and strategic planning and vast experience as a leader in the technology industry.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Paul E. Jacobs, PhD </w:t>
      </w:r>
      <w:r>
        <w:rPr>
          <w:rFonts w:ascii="Times New Roman" w:cs="Times New Roman" w:eastAsia="Times New Roman" w:hAnsi="Times New Roman"/>
          <w:sz w:val="18"/>
          <w:szCs w:val="18"/>
          <w:color w:val="auto"/>
        </w:rPr>
        <w:t>has served as a Director of our Board of Directors since December 2022. Dr. Jacobs has been the Chief Executive Officer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Globalstar, Inc. since August 2023. He is the Chairman, and until April 2024 also held the position of Chief Executive Officer, of Virewirx, Inc. (formerly known as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also serves as a director of Dropbox, Inc., Global Star, Inc., Virewirx Inc., Get Heal, Inc., and the NBA Board of Governors.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Dr. Jacobs was selected to serve on our Board of Directors based on his experience as the leader and board member of multiple global companies, as well as his innovation and business experience with companies in, and his in-depth knowledge of, the technology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Designation of Non-Executive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terms of the Shareholder Governance Agreement, SoftBank Group has the right to designate seven of the candidates for election to our Board of Directors. Each of our non-executive directors were designated by SoftBank Group for election to our Board of Directors. See “</w:t>
      </w:r>
      <w:r>
        <w:rPr>
          <w:rFonts w:ascii="Times New Roman" w:cs="Times New Roman" w:eastAsia="Times New Roman" w:hAnsi="Times New Roman"/>
          <w:sz w:val="18"/>
          <w:szCs w:val="18"/>
          <w:i w:val="1"/>
          <w:iCs w:val="1"/>
          <w:color w:val="auto"/>
        </w:rPr>
        <w:t>Item 7. 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and Related Party Transactions—B. Related Party Transactions—Transactions with SoftBank Group—Shareholder Governance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Management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Rene Haas </w:t>
      </w:r>
      <w:r>
        <w:rPr>
          <w:rFonts w:ascii="Times New Roman" w:cs="Times New Roman" w:eastAsia="Times New Roman" w:hAnsi="Times New Roman"/>
          <w:sz w:val="18"/>
          <w:szCs w:val="18"/>
          <w:color w:val="auto"/>
        </w:rPr>
        <w:t>has served as our Chief Executive Officer and a Director since February 2022. Prior to being appointed as Chief Executive Officer,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boards of Arm China and SoftBank Group since December 2016 and June 2023, respectively. Mr. Haas also provides certain advisory and consulting services to SoftBank Group. Mr. Haas joined the Company in October 2013 as Vice President of Strategic Alliances and two years later was appointed to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executive roles at Scintera Networks and Tensilica. Mr. Haas earned his Bachelor of Science in Electrical and Electronics Engineering from Clarkson University and is a graduate of the Stanford University Graduate School of Business Executive Education Program. Mr. Haas was selected to serve on our Board of Directors due to his knowledge of our business as our Chief Executive Officer and his extensive experience in the semiconductor industry.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Child </w:t>
      </w:r>
      <w:r>
        <w:rPr>
          <w:rFonts w:ascii="Times New Roman" w:cs="Times New Roman" w:eastAsia="Times New Roman" w:hAnsi="Times New Roman"/>
          <w:sz w:val="18"/>
          <w:szCs w:val="18"/>
          <w:color w:val="auto"/>
        </w:rPr>
        <w:t>has served as our Executive Vice President and Chief Financial Officer since November 2022. Mr. Child’s career spans 30 years across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aspects of global finance and strategy, accounting, capital markets and treasury, initial public offering execution, and investor relations. He has extensive experience in scaling disruptive technologies within enterprise software and software-as-a-service industries, e-commerce, local commerce, consumer hardware and IoT, and online residential real estate. He most recently served as Senior Vice-President and Chief Financial Officer at Splunk, a technology company specializing in application management, security, and compliance, as well as business and web analytics. Mr. Child has also served as Chief Financial Officer for Groupon, Inc., a global e-commerce marketplace, Jawbone, a consumer technology and wearable device company, and Opendoor Technologies Inc, an online real estate company. Prior to those roles, he spent more than 11 years leading various global finance teams at Amazon and served as Chief Financial Officer of Amazon International. Mr. Child has served as a member of the board of directors of Coupang, Inc., an e-commerce company, since April 2022. He holds a B.A. from the Foster School of Business at the University of Washington, where he currently serves on its Global Advisory Board.</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Kirsty Gill </w:t>
      </w:r>
      <w:r>
        <w:rPr>
          <w:rFonts w:ascii="Times New Roman" w:cs="Times New Roman" w:eastAsia="Times New Roman" w:hAnsi="Times New Roman"/>
          <w:sz w:val="18"/>
          <w:szCs w:val="18"/>
          <w:color w:val="auto"/>
        </w:rPr>
        <w:t>has served as our Executive Vice President and Chief People Officer since April 2018. Ms. Gill joined the Company in 2002 and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leadership roles in the People group, including executive compensation, reward, organizational effectiveness, and people services and systems. As Chief People Officer, she is responsible for managing our policies with respect to our employees, our workplace and the sustainability of our business practices. Ms. Gill delivers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a unique, progressive, and human working environment, ensuring that our Core Beliefs are reflected in our policies and practices, allowing everyone to thrive and contribute to their full potential. Prior to joining the Company, Ms. Gill was Human Resources Director for a start-up company, GF-X, and started her human resources career at Accenture. Ms. Gill graduated from the University of Cambridge and is a board member of Cambridge Ahead.</w:t>
      </w:r>
    </w:p>
    <w:p>
      <w:pPr>
        <w:spacing w:after="0" w:line="1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Spencer Collins </w:t>
      </w:r>
      <w:r>
        <w:rPr>
          <w:rFonts w:ascii="Times New Roman" w:cs="Times New Roman" w:eastAsia="Times New Roman" w:hAnsi="Times New Roman"/>
          <w:sz w:val="18"/>
          <w:szCs w:val="18"/>
          <w:color w:val="auto"/>
        </w:rPr>
        <w:t>has served as our Executive Vice President and Chief Legal Officer since September 2022. Prior to his appointment, he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General Counsel from February 2022. Mr. Collins has more than 20 years of industry experience and has served as lead counsel on many of the highest-profile M&amp;A and investment transactions in the technology sector. Prior to joining the Company, Mr. Collins was Managing Partner and General Counsel at SoftBank Investment Advisors, the investment manager of SoftBank Vision Fund. Mr. Collins has also served as a partner in the investment team at SoftBank Investment Advisors. Prior to joining SoftBank Investment Advisors, he practiced as a technology-focused M&amp;A and investment lawyer in the London offices of White &amp; Case and Allen &amp; Overy. Mr. Collins also spent time on secondment from Allen &amp; Overy to Fenwick &amp; West. Mr. Collins holds an LL.B. with first class honors.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Richard Grisenthwaite </w:t>
      </w:r>
      <w:r>
        <w:rPr>
          <w:rFonts w:ascii="Times New Roman" w:cs="Times New Roman" w:eastAsia="Times New Roman" w:hAnsi="Times New Roman"/>
          <w:sz w:val="18"/>
          <w:szCs w:val="18"/>
          <w:color w:val="auto"/>
        </w:rPr>
        <w:t>has served as our Executive Vice President and Chief Architect since March 2022. Mr. Grisenthwaite joined Arm in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1997, and is responsible for the long-term evolution of our architecture, leading its development for more than 20 years, beginning with Armv6. He is currently leading development on Armv9 to ensure its specialized processing unlocks new markets and opportunities across the full spectrum of compute. Early in his tenure at the Company, Mr. Grisenthwaite worked on Arm720T, Arm940T, and Arm1136EJF-S. Prior to joining the Company, he worked for Analog Devices on fixed-function digital signal processors and at Inmos/ST on the Transputer. Mr. Grisenthwaite is an Arm fellow, has a B.A. in Electrical and Information Sciences from the University of Cambridge and holds 120 patents in the field of microprocessors. Additionally, Mr. Grisenthwaite serves on the U.K. government’s Semiconductor Advisory Panel.</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Will Abbey </w:t>
      </w:r>
      <w:r>
        <w:rPr>
          <w:rFonts w:ascii="Times New Roman" w:cs="Times New Roman" w:eastAsia="Times New Roman" w:hAnsi="Times New Roman"/>
          <w:sz w:val="18"/>
          <w:szCs w:val="18"/>
          <w:color w:val="auto"/>
        </w:rPr>
        <w:t>has served as our Executive Vice President and Chief Commercial Officer since April 2023. Mr. Abbey joined the Company in 2004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held a number of leadership roles, including Senior Vice President of Sales and Partner Enablement, General Manager of our Physical Design group and Vice President of Commercial Operations for the Physical IP Division. Now, as Executive Vice President and Chief Commercial Officer, Mr. Abbey leads sales, field engineering, and partner enablement at the Company, helping some of the world’s most innovative organizations leverage the newest technologies to ready themselves for the next wave of digital transformation. From IP to AI, his unique insight has helped the world’s technology leaders transform their products and operations. Before joining the Company, he worked in product management positions at Celoxica, Infineon Technologies, and Loughborough Sound Images. Mr. Abbey serves on the board of EnPro Industries and holds a BEng from Sheffield Hallam University, U.K.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Non-Executive Directors or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reflects certain diversity information based on self-identification by each member of our Board of Directors. Each of the categories listed in the below table has the meaning as it is used in the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Board Diversity Matrix </w:t>
      </w:r>
      <w:r>
        <w:rPr>
          <w:rFonts w:ascii="Times New Roman" w:cs="Times New Roman" w:eastAsia="Times New Roman" w:hAnsi="Times New Roman"/>
          <w:sz w:val="18"/>
          <w:szCs w:val="18"/>
          <w:color w:val="auto"/>
        </w:rPr>
        <w:t>(as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Private Issuer</w:t>
            </w:r>
          </w:p>
        </w:tc>
        <w:tc>
          <w:tcPr>
            <w:tcW w:w="1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No</w:t>
            </w:r>
          </w:p>
        </w:tc>
      </w:tr>
      <w:tr>
        <w:trPr>
          <w:trHeight w:val="27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r>
      <w:tr>
        <w:trPr>
          <w:trHeight w:val="364"/>
        </w:trPr>
        <w:tc>
          <w:tcPr>
            <w:tcW w:w="4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14"/>
        </w:trPr>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Did Not Disclose</w:t>
            </w:r>
          </w:p>
        </w:tc>
      </w:tr>
      <w:tr>
        <w:trPr>
          <w:trHeight w:val="238"/>
        </w:trPr>
        <w:tc>
          <w:tcPr>
            <w:tcW w:w="43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5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7"/>
        </w:trPr>
        <w:tc>
          <w:tcPr>
            <w:tcW w:w="4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18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r>
      <w:tr>
        <w:trPr>
          <w:trHeight w:val="351"/>
        </w:trPr>
        <w:tc>
          <w:tcPr>
            <w:tcW w:w="4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LGBTQ+</w:t>
            </w: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tcPr>
          <w:p>
            <w:pPr>
              <w:spacing w:after="0"/>
              <w:rPr>
                <w:sz w:val="20"/>
                <w:szCs w:val="20"/>
                <w:color w:val="auto"/>
              </w:rPr>
            </w:pPr>
          </w:p>
        </w:tc>
      </w:tr>
      <w:tr>
        <w:trPr>
          <w:trHeight w:val="27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Underrepresented in Home Country Jurisdiction</w:t>
            </w:r>
          </w:p>
        </w:tc>
        <w:tc>
          <w:tcPr>
            <w:tcW w:w="1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w:t>
            </w:r>
          </w:p>
        </w:tc>
        <w:tc>
          <w:tcPr>
            <w:tcW w:w="1800" w:type="dxa"/>
            <w:vAlign w:val="bottom"/>
          </w:tcPr>
          <w:p>
            <w:pPr>
              <w:spacing w:after="0"/>
              <w:rPr>
                <w:sz w:val="23"/>
                <w:szCs w:val="23"/>
                <w:color w:val="auto"/>
              </w:rPr>
            </w:pPr>
          </w:p>
        </w:tc>
      </w:tr>
      <w:tr>
        <w:trPr>
          <w:trHeight w:val="27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tcPr>
          <w:p>
            <w:pPr>
              <w:spacing w:after="0"/>
              <w:rPr>
                <w:sz w:val="23"/>
                <w:szCs w:val="23"/>
                <w:color w:val="auto"/>
              </w:rPr>
            </w:pPr>
          </w:p>
        </w:tc>
      </w:tr>
    </w:tbl>
    <w:p>
      <w:pPr>
        <w:spacing w:after="0" w:line="315"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Compensation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Except for the information under “</w:t>
      </w:r>
      <w:r>
        <w:rPr>
          <w:rFonts w:ascii="Times New Roman" w:cs="Times New Roman" w:eastAsia="Times New Roman" w:hAnsi="Times New Roman"/>
          <w:sz w:val="18"/>
          <w:szCs w:val="18"/>
          <w:i w:val="1"/>
          <w:iCs w:val="1"/>
          <w:color w:val="auto"/>
        </w:rPr>
        <w:t>Remuneration of Senior Management,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Senior Management Employment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Plans,</w:t>
      </w:r>
      <w:r>
        <w:rPr>
          <w:rFonts w:ascii="Times New Roman" w:cs="Times New Roman" w:eastAsia="Times New Roman" w:hAnsi="Times New Roman"/>
          <w:sz w:val="18"/>
          <w:szCs w:val="18"/>
          <w:color w:val="auto"/>
        </w:rPr>
        <w:t>” the following information on remuneration has been prepared in accordance with disclosure requirements for the Company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of Senior Management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fiscal year ended March 31, 2024, the aggregate remuneration paid to our Senior Management for services in all capacities, including retirement, benefits and vested Executive Awards (as described below), was approximately $141,568,000. This amount excludes outstanding Executive Awards.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set aside or accrue any amounts to provide pension, retirement or similar benefits to Senior Management, although we made defined contribution pension contributions on behalf of, and paid pension allowances to, our Senior Management in an aggregate amount of $176,000 during the fiscal year ended March 31,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year ended March 31, 2024, pursuant to our equity incentive plans described below under “—Equity Incentive Plans,” we granted conditional rights to receive a specified amount of cash or our ordinary shares to our Senior Management, which we refer to as “Executive Awards,” with outstanding awards in the aggregate amount of $75,323,000.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Remuneration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policy table – Executive Director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applies to any Executive Director. Currently, the only Executive Director is the CEO, but this policy will apply to any future Executive Directors appointed to the Board of Directors.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approach to executive remuneration is to attract and retain the highest caliber talent from the global technology industry. The Remuneration Committee has developed the CEO package to be competitive with U.S. standards reflecting the location of our key competitors for executive and other talent, the listing of our ADSs on Nasdaq and the US-location of our CEO.</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7" w:name="page88"/>
    <w:bookmarkEnd w:id="87"/>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40575" cy="68154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0575" cy="6815455"/>
                    </a:xfrm>
                    <a:prstGeom prst="rect">
                      <a:avLst/>
                    </a:prstGeom>
                    <a:noFill/>
                  </pic:spPr>
                </pic:pic>
              </a:graphicData>
            </a:graphic>
          </wp:anchor>
        </w:drawing>
        <w:t>Base Salary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provide fixed remuneration to the Executive Director to reflect the responsibilities of the role.</w:t>
            </w:r>
          </w:p>
        </w:tc>
      </w:tr>
      <w:tr>
        <w:trPr>
          <w:trHeight w:val="414"/>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attract and retain the highest caliber talent from the global technology industry, including within the context of our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 aspirations.</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Executive Director's salary is reviewed annually by the Remuneration Committee and any increase or adjustment is</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usually applied from April 1st of each year.</w:t>
            </w:r>
          </w:p>
        </w:tc>
      </w:tr>
      <w:tr>
        <w:trPr>
          <w:trHeight w:val="441"/>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reviewing the Executive Director's salary, the Remuneration Committee will take into account the general market</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movements, salary levels for comparable roles in comparable companies, the performance of the Company and the</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 and any changes to the scope and/or responsibility of the role.</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 is no defined maximum salary. The salary and any increases are determined by the Remuneration Committee based</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the factors described above.</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8920" w:type="dxa"/>
            <w:vAlign w:val="bottom"/>
          </w:tcPr>
          <w:p>
            <w:pPr>
              <w:spacing w:after="0"/>
              <w:rPr>
                <w:sz w:val="20"/>
                <w:szCs w:val="20"/>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provide competitive benefits that enable our people’s wellbeing. Benefits align with the wider workforce and reflect</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those commonly available in the Executive Director’s home country.</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provided to the Executive Director include vacation, health coverage and insurance, accident and disability</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and group life insurance. The Executive Director is also eligible to receive benefits offered to the wider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within their home country.</w:t>
            </w:r>
          </w:p>
        </w:tc>
      </w:tr>
      <w:tr>
        <w:trPr>
          <w:trHeight w:val="441"/>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Situation-specific taxable benefits may be provided as may be required in the interests of the Company’s business such as,</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but not limited to, company paid car or telephone, car allowance, memberships, directors and officers indemnification and</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cover, and tax return preparation and advice. Executive Directors may receive other benefits that are judged to</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 cost-effective and appropriate in terms of the individual’s role, time and/or security.</w:t>
            </w:r>
          </w:p>
        </w:tc>
      </w:tr>
      <w:tr>
        <w:trPr>
          <w:trHeight w:val="441"/>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applicable, we may provide housing or relocation allowances, travel allowance and expenses, tax equalization or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expatriate benefits, and where necessary some or all of these benefits may be grossed up for taxes.</w:t>
            </w:r>
          </w:p>
        </w:tc>
      </w:tr>
      <w:tr>
        <w:trPr>
          <w:trHeight w:val="459"/>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benefits may be provided if the Remuneration Committee considers it appropriate, in its discretion.</w:t>
            </w:r>
          </w:p>
        </w:tc>
      </w:tr>
      <w:tr>
        <w:trPr>
          <w:trHeight w:val="441"/>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reasonable business-related expenses, in line with the Company’s expenses policy from time to time, may be</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reimbursed, including any taxes payable if reimbursement is determined to be a taxable benefit. Where necessary some or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expenses may be grossed up for taxes.</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Reasonable market cost of providing the benefits.</w:t>
            </w:r>
          </w:p>
        </w:tc>
      </w:tr>
      <w:tr>
        <w:trPr>
          <w:trHeight w:val="441"/>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Remuneration Committee shall have the discretion to introduce new benefits where these are introduced for the wider</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where it concludes that it is in the interests of the Company to do so, or which are considered necessary or</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desirable to support the executive in the execution of their duties, having regard to the particular circumstances of the</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w:t>
            </w:r>
          </w:p>
        </w:tc>
      </w:tr>
      <w:tr>
        <w:trPr>
          <w:trHeight w:val="459"/>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 is no overall defined maximum level of benefit.</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8920" w:type="dxa"/>
            <w:vAlign w:val="bottom"/>
          </w:tcPr>
          <w:p>
            <w:pPr>
              <w:spacing w:after="0"/>
              <w:rPr>
                <w:sz w:val="20"/>
                <w:szCs w:val="20"/>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6"/>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Enable the Executive Director to save for retirement and ensures their overall remuneration is competitive.</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03" w:right="31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38"/>
        </w:trPr>
        <w:tc>
          <w:tcPr>
            <w:tcW w:w="23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Executive Director is invited to participate in the pension arrangements in their local market and will receive the same</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of contributions as other employees in that market.</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may make payments of defined contribution pension contributions and pension allowances, which can</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either be made directly to the pension scheme or in cash via payroll.</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the U.S., employees including the Executive Director may contribute into the Company's 401(k) Savings Plan, and the</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 matches 100% up to the first 6% of employee contributions. A portion of the Executive Director’s contributions</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 be matched each pay period subject to annual IRS limits.</w:t>
            </w:r>
          </w:p>
        </w:tc>
      </w:tr>
      <w:tr>
        <w:trPr>
          <w:trHeight w:val="432"/>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does not set aside or accrue any amounts to provide pension, retirement or similar benefits to executives.</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maximum percentage may not exceed the workforce rate. The Remuneration Committee has discretion to consider the</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relevant workforce rate including consideration of the relevant jurisdiction.</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Annual Bonus</w:t>
            </w:r>
          </w:p>
        </w:tc>
        <w:tc>
          <w:tcPr>
            <w:tcW w:w="892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purpose of the Arm Annual Bonus Plan (as defined below) is to incentivize the Executive Director towards achieving</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stretching short-term goals based on the Company's strategy.</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Remuneration Committee sets the performance conditions towards the beginning of each fiscal year with the relevant</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weightings, which are communicated to the Executive Director. The Remuneration Committee assesses performance at the</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 of the fiscal year against these targets. Any amount is fully paid in cash.</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The Remuneration Committee retains the right to exercise its discretion in the event that the formulaic outturn of the bonus</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does not reflect the Company or individual’s overall performance.</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maximum is 125% of salary for target performance. The plan may then pay up to 200% of target depending on</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plus any individual performance multiplier of up to 1.25x (312.5% of salary).</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performance conditions may include financial targets (including for example revenue and/or profit targets) and</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measures, and/or any other measures that the Remuneration Committee considers appropriate, in its discretion. At</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least 50% of the performance conditions in any year will be financial targets.</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exact measures, weightings, thresholds for vesting and targets are determined by the Remuneration Committee each</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taking into account the Company's key strategic priorities and any other priorities which the Remuneration</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Committee considers are important, in its discretion, for the Executive Director to prioritize. No amounts are paid for</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below threshold performance. Maximum payment requires stretching levels of outperformance.</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892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incentivize the Executive Director towards achieving long-term goals based on the Company's strategy and to align</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their remuneration with shareholder interests.</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238"/>
        </w:trPr>
        <w:tc>
          <w:tcPr>
            <w:tcW w:w="23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Executive Director is granted equity awards annually which can take the form of RSUs, performance share units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(“PSUs”), dividend equivalent rights, restricted shares, options or share appreciation rights (“SARs”) (or other forms of</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awards) under the Arm Holdings 2023 Omnibus Incentive Plan (the "Omnibus Incentive Plan") or successor plans. The</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Remuneration Committee will determine, in its discretion, the vesting and, if relevant, the performance conditions</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applicable to the awards of the Executive Director.</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Awards to the Executive Director will vest over at least three years, subject to the Executive Director remaining in</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employment and subject to any performance conditions being met. Market price share options would have an overall life</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cycle of 10 years. Dividend equivalents may be paid on RSUs or PSUs to the extent that the awards vest.</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fiscal year ending March 31, 2025, awards will be made in the form of PSUs and it is anticipated that PSUs will</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the majority or entirety of awards for the Executive Director in future years.</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Remuneration Committee retains the right to exercise its discretion in the event that the formulaic outturn of the</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 measures does not reflect the Company or individual’s overall performance.</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Executive Director may also participate in any all employee share purchase plan or share option plan that is adopted</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by the Company on the same terms and conditions as other employees.</w:t>
            </w: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18"/>
        </w:trPr>
        <w:tc>
          <w:tcPr>
            <w:tcW w:w="2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maximum initial target value of the Annual Awards will be 14 times base salary (assessed at the time of grant).</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Awards may then vest up to 125% of the target value based on satisfaction of stretching performance conditions.</w:t>
            </w: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18"/>
        </w:trPr>
        <w:tc>
          <w:tcPr>
            <w:tcW w:w="2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performance conditions may include financial targets (including for example revenue and profit targets, or relative or</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absolute total shareholder return or earnings per share targets) and strategic measures. These will be set over a three year</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 and tested annually in relation to the relevant tranche and/or at the end of the three year performance period.</w:t>
            </w:r>
          </w:p>
        </w:tc>
      </w:tr>
      <w:tr>
        <w:trPr>
          <w:trHeight w:val="414"/>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exact measures, weightings, thresholds for vesting and targets are determined by the Remuneration Committee, in its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discretion, each year taking into account the Company's key strategic priorities. The targets will, where relevant, be</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determined in accordance with the Company's annual budget. No amounts are paid for below threshold performance.</w:t>
            </w:r>
          </w:p>
        </w:tc>
      </w:tr>
      <w:tr>
        <w:trPr>
          <w:trHeight w:val="414"/>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Committee shall determine the extent to which the performance measures have been met and may make adjustments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the targets in the event that the Committee determines this is appropriate. Adjusted targets will be no less challenging as</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those originally set.</w:t>
            </w: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Implementation of remuneration policy in the fiscal year ending March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how the Remuneration Policy will be implemented for the next fiscal year are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year, in conjunction with the design of the Remuneration Policy, the Remuneration Committee reviewed the base salary for the CEO. The Remuneration Committee did not propose any increase and as such the CEO’s base salary will remain at $1,350,000. The Remuneration Committee will continue to review this on an on-going basis. The average workforce rate increase was 5.2%.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CEO participates in the Company’s 401(k) Savings Plan and receives a match of up to 6% of the employee contribution in line with the workforce rate. The CEO’s estimated 401(k) employer match is approximately $14,000.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Remuneration Committee sets the target annual bonus at 125% of salary for the CEO with up to 187.5% of this amount being paid for maximum levels of performance. The award will be subject to the Company’s attainment of goals relating to revenue (50% weighting) and the Non-GAAP Operating Income (50% weighting). Any payment above target will be subject to the Company’s achievement of goals relating to strategic priorities through a modifier of 1x - 1.5x. An individual performance multiplier of up to 1.25x is then applied to the company performance outcome. The Remuneration Committee will have overall discretion to adjust the formulaic outturn based on the company’s overall performance for the year. Any pay-out will be subject to our Clawback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award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CEO will be granted a PSU award which will have an initial target value of 14 times base salary. The maximum opportunity will be 125% of grant. 75% of the award will be measured over three one-year performance periods (25% attributed to each year) subject to the attainment of goals relating to:</w:t>
      </w:r>
    </w:p>
    <w:p>
      <w:pPr>
        <w:spacing w:after="0" w:line="17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priorities (up to 2x modifier to financial performance)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25% of the award will be subject to Relative TSR measured over the full three-year performance period. TSR will be measured relative to the S&amp;P 500 IT Sector Index.</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end of each year, performance will be assessed against the financial and strategic measures. At the end of the three-year performance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 TSR achievement will be measured. 0% of the TSR portion will vest if TSR is at or below the 25th percentile of the index and 200% will vest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TSR is at or above the 75th percentile of the index with linear interpolation for intermediate levels of performance.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0% to 200% of the PSUs attributed to each year will vest annually, with the Year 3 vest combining this and the portion attributed to Relative TSR.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PSUs will be subject to our Clawback Policy.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Remuneration Committee believes the salary multiple delivered at maximum appropriately reflects the sustained stretch performance required across financial and strategic measures to deliver the maximum vesting scenario. By design, these goals provide significant alignment to shareholder value creation in both the long and short term. There will be no payment attributed to any strategic measure that is not achieved in full.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policy table – Non-Executive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applies to any Non-Executive Director, other than for Mr. Son (who is not currently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03415" cy="6737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03415" cy="6737985"/>
                    </a:xfrm>
                    <a:prstGeom prst="rect">
                      <a:avLst/>
                    </a:prstGeom>
                    <a:noFill/>
                  </pic:spPr>
                </pic:pic>
              </a:graphicData>
            </a:graphic>
          </wp:anchor>
        </w:drawing>
        <w:t>Fees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 provide a fixed remuneration to the Non-Executive Director to reflect their responsibilities and to attract high caliber</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talent to the Board of Directors. The Non-Executive Chair’s fee (where paid) will typically be determined by the other</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members of the Remuneration Committee, and the Board of Directors is responsible for determining all other Non-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fees.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 fees consist of an annual cash retainer. In addition, each Non-Executive Director will receive a</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fee per meeting of the Board of Directors. Members of the Audit Committee and the Remuneration Committee, as well as</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chairs of each committee, will receive a separate annual fee in cash. The Non-Executive Chair typically receives an</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 However, Mr. Son has waived his eligibility and does not receive any remuneration from the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459"/>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These fees will normally be paid quarterly.</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For the fiscal year ending March 31, 2025, Non-Executive Directors will receive an annual cash retainer of $80,000. In</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addition, each Non-Executive Director will receive a cash fee of $5,000 per meeting of the Board of Directors. Members</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of the Audit Committee and the Remuneration Committee will receive $15,000 and $10,000, respectively, in cash</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annually. The chairs of the Audit Committee and Remuneration Committee will receive $30,000 and $20,000,</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in cash annually. As stated above, Mr. Son (the current Remuneration Committee Chair) does not receive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any remuneration from the Company.</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Fees are reviewed on a regular basis and determined by reference to fee levels in the U.S. market, taking into account the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commitment and responsibilities involved.</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Directors will be reimbursed for expenses properly incurred in connection with the performance of their</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duties as a director, including, but not limited to, reasonable travel expenses.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7"/>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Fees are set at an appropriate level taking into account the factors outlined in this table.</w:t>
            </w:r>
          </w:p>
        </w:tc>
      </w:tr>
      <w:tr>
        <w:trPr>
          <w:trHeight w:val="414"/>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Any Non-Executive Director who performs services which, in the opinion of the Board of Directors on recommendation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from the Remuneration Committee, are outside the scope of the ordinary duties of a director, may be paid additional fees.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7"/>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8820" w:type="dxa"/>
            <w:vAlign w:val="bottom"/>
          </w:tcPr>
          <w:p>
            <w:pPr>
              <w:spacing w:after="0"/>
              <w:rPr>
                <w:sz w:val="20"/>
                <w:szCs w:val="20"/>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 provide a fixed remuneration to the Non-Executive Directors to reflect their responsibilities and to attract high caliber</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talent to the Board of Directors while being linked to shareholder experience.</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Directors will receive an annual award of RSUs. The amount of the award is determined by the Board</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following recommendations from the Remuneration Committee. The Non-Executive Chair is typically eligible for an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annual award. However, Mr. Son has waived his eligibility and does not receive any remuneration from the Company.</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awards are not subject to performance conditions. The awards are subject to a 12-month vesting period. Non-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Directors are permitted to delay the vesting of their awards for up to 12 additional months.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maximum is determined by the Board of Directors (on recommendation from the Remuneration Committee). The</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value of RSUs awarded to each Non-Executive Director (other than Mr. Son) for the fiscal year ending March 31,</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2025 is equivalent to $220,000.</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7"/>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Shareholding requirements</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shareholding principles set out in its Corporate Governance Principles. The shareholding principles are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summarized below.</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03"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Notes to the policy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Shareholding principles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Members of the Executive Committee, which includes executives eligible to receive PSUs, have five years from the later of (a) the IPO; and (b) the start of employment to obtain and maintain the required level of shareholding. The holding requirement is 1,000% of base salary for the CEO. Vested ADSs and unvested time-based RSUs will count towards the holding requirement. If the required holding level is not reached within the required timeframe, subject to the discretion of the Remuneration Committee, an Executive Director must retain 100% of their net ADSs.</w:t>
      </w:r>
    </w:p>
    <w:p>
      <w:pPr>
        <w:spacing w:after="0" w:line="18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Non-Executive Directors have five years from the later of (a) the IPO and (b) appointment to the Board of Directors, to obtain and maintain the required level of shareholding. The holding requirement for Non-Executive Directors is 300% of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annual cash retainer (excluding any additional cash retainer for committee chairs). Vested ADSs and unvested time-based RSUs will count towards the holding requirement. If the required holding level is not reached within the required timeframe, subject to the discretion of the Remuneration Committee, a Non-Executive Director must retain 100% of their net ADSs.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Discretion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Remuneration Committee operates the Arm Annual Bonus Plan, the Omnibus Incentive Plan and the Prior Plans (as defined below) in accordance with the relevant plans rules and in accordance with any applicable rules and legislation (where applicable). The Remuneration Committee retains discretion within the provisions of the applicable rules and the remuneration policy over a number of items, including but not limited to:</w:t>
      </w:r>
    </w:p>
    <w:p>
      <w:pPr>
        <w:spacing w:after="0" w:line="176"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receives awards;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awards;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leavers;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outstanding awards upon a change of control;</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certain circumstances, mostly corporate events e.g. corporate reorganization;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performance conditions, targets and thresholds;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malus and clawback (subject to the Company’s Clawback Policy).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individuals other than members of the Board of Directors or the CEO, certain elements of the discretions above are delegated to the CEO (and their designees) in accordance with the terms of the Remuneration Committee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Selection of performance measures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Remuneration Committee sets stretching and realistic performance targets, taking into account the Company’s strategic priorities and key drivers of future shareholder value.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performance measures for the annual bonus and PSUs are chosen to support the Company’s strategy. The Remuneration Committee believes it is appropriate to use a balance between financial targets and strategic objectives. The Remuneration Committee annually reviews the measures, weightings and targets to ensure they remain relevant and stretching for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appointments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Haas is a director of SoftBank Group, the Company’s indirect controlling shareholder, and is a party to an agreement pursuant to which he provides certain advisory and consulting services to SoftBank Group. Mr. Son is the Chair and CEO of SoftBank Group. Both Mr. Haas and Mr. Son receive remuneration for their roles with SoftBank Group as determined by SoftBank Group.</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Executive Directors may take up to two external appointments with the agreement of the Board of Directors and may receive remuneration for these roles.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Approach to recruitment remuneration</w:t>
      </w:r>
    </w:p>
    <w:p>
      <w:pPr>
        <w:spacing w:after="0" w:line="229" w:lineRule="exact"/>
        <w:rPr>
          <w:sz w:val="20"/>
          <w:szCs w:val="20"/>
          <w:color w:val="auto"/>
        </w:rPr>
      </w:pPr>
    </w:p>
    <w:p>
      <w:pPr>
        <w:jc w:val="both"/>
        <w:ind w:left="80" w:right="180" w:firstLine="324"/>
        <w:spacing w:after="0" w:line="266" w:lineRule="auto"/>
        <w:rPr>
          <w:sz w:val="20"/>
          <w:szCs w:val="20"/>
          <w:color w:val="auto"/>
        </w:rPr>
      </w:pPr>
      <w:r>
        <w:rPr>
          <w:rFonts w:ascii="Times New Roman" w:cs="Times New Roman" w:eastAsia="Times New Roman" w:hAnsi="Times New Roman"/>
          <w:sz w:val="18"/>
          <w:szCs w:val="18"/>
          <w:color w:val="auto"/>
        </w:rPr>
        <w:t>Executive and Non-Executive Directors will be remunerated in accordance with the policy set forth above (including the maximums), except as set out in this section. The maximum initial target level of ongoing variable remuneration which may be awarded on recruitment to an Executive Director is 15.25 times the base salary.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Newly hired Executive Directors may be eligible for a pro-rated annual bonus award if they join part way through the plan period.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Remuneration Committee considers it appropriate, in its discretion, in connection with the hiring of an Executive Director, the Company may provide for a sign-on, retention or similar bonus to the Executive Director as compensation for awards that were forfeited due to leaving their previous employer. This would be based on reasonable evidence of the awards and the awards would generally take account of the form, timing and expected value of the forfeited award. If the Remuneration Committee considers it appropriate, in its discretion, the newly hired executive may also receive a top-up award in connection with their recruitment to the Company. In no event will the Remuneration Committee approve payment greater than it believes is necessary to secure the required talent.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Executive Director is relocating in order to take up their position, the Company may pay such reasonable relocation costs as the Remuneration Committee considers appropriate, in its discretion. The Remuneration Committee may, in its discretion, also make payments to cover reasonable other miscellaneous expenses including, but not limited to, housing, tax, immigration support, legal fees and/or other amounts.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 internal candidate is promoted to the Board of Directors, the legacy terms and conditions relating to outstanding incentive awards would normally be honored.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Non-Executive Directors that are hired will be provided remuneration in line with that of the Company's current Non-Executive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Contracts and payments for loss of office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Executive Director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CEO has a current employment agreement with an indefinite term, unless it is terminated by the Company or the Executive Director with prior notice. The Company may terminate the CEO's employment for cause, at any time, without advance notice of severance (except for accrued remuneration or where required by applicable law). Cause includes typical bad-leaver events, such as where the CEO has committed gross misconduct or negligence. The Company may terminate the CEO's employment without cause with 30 days' advance notice. The CEO is required to give the Company 60 days' advance notice and a reasonable cure period if they wish to terminate their employment for good reason, which generally includes a significant diminution of their authority, duties or responsibilities or a material reduction in their salary, annual or long-term incentive opportunity or other monetary compensation.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CEO’s employment is terminated by the Company without cause or by the CEO for good reason, in either case, then, subject to the CEO’s execution of an effective severance and release agreement and continued compliance with their restrictive covenants obligations, the CEO is entitled to severance pay in the form of 12 months' base salary, payable in 12 equal monthly installments following the date of termination for the period until alternative employment is found.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of the Company, the CEO has the right, but not the obligation, to terminate their employment and may, subject to the Remuneration Committee's discretion, become entitled to the severance pay benefit described above, subject to their execution of an effective severance and release agreement and continued compliance with their restrictive covenants obligations.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unfortunate event that the CEO’s employment is terminated due to death, the severance entitlement described above will be paid to the designated beneficiary of the Executive Director. The CEO has no set contractual entitlements upon disability, though the Remuneration Committee may in its absolute discretion determine that the CEO may receive compensation payments if the CEO ceases employment as a result of disability.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CEO's employment is terminated for cause, the CEO will have no severance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4" w:name="page95"/>
    <w:bookmarkEnd w:id="9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CEO is subject to certain restrictive covenant obligations, including confidentiality, non-competition, non-solicitation, non-recruiting and non-disparagement covenants, subject to applicable law.</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pay any statutory entitlements or requirements under local law. The Company may make payments to settle or compromise claims in connection with termination of employment, where the Remuneration Committee consider it in the best interests of the Company, in its discretion. The Company may pay any legal and/or professional fees as required or customary in local markets. The Company may pay out any accrued but untaken holiday.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Executive Directors may be provided certain benefits after departure at the Remuneration Committee's discretion. Benefits may include, but are not limited to, medical coverage, home security, tax return preparation assistance, legal expenses, and/or outplacement or relocation costs.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future Executive Directors may be engaged by the Company with such terms relating to the termination of employment as the Remuneration Committee agrees in its sole discretion, based on the specific circumstances and location of the individual.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Remuneration Committee retains the discretion to make payments in connection with an Executive Director’s loss of office or employment, which may be in addition to contractual and statutory entitlements.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Non-Executive Directors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Non-Executive Directors do not receive any benefits or payment upon removal or resignation from their respective position as directors (except for accrued remuneration or where required by applicable law).</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Management Employment Agreements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offer letters or employment agreements with our Senior Management. Each member of Senior Management is employed for an indefinite term unless either we or the member of Senior Management gives prior notice to terminate such employment. We may terminate a member of Senior Management’s employment for cause, at any time, without advance notice or severance (except for accrued remuneration or where required by applicable law). Cause includes, for example, where the member of Senior Management has committed gross misconduct or negligence. We may terminate a member of Senior Management’s employment, for a fair reason and following a fair process, by providing prior written notice varying between 30 days and 12 months depending on the terms of the employment agreement or at any time for some members of Senior Management based in the U.S. In such case of termination by us, we will provide severance payments to the member of Senior Management as expressly required by the applicable law of the jurisdiction where the member of Senior Management is based or per the terms contained in their individual agreement, if any. Two members of Senior Management in the U.S. are entitled to receive severance if they resign for good reason or if there is a change in control event, as set out in their employment agreements. Good reason includes, for example, a significant diminution in authorities, duties or responsibilities, or a material reduction of the executive’s salary. To resign for good reason, the executive must provide 60 days of notice and a reasonable cure period. An executive officer may terminate their employment at any time with prior written notice, if required, as set out in their individual employment agreement.</w:t>
      </w:r>
    </w:p>
    <w:p>
      <w:pPr>
        <w:spacing w:after="0" w:line="190"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Each member of Senior Management has agreed to hold, both during and after the employment agreement is terminated, in strict confidence and not to use, except for our benefit, any confidential information of our company or affiliates or of our customers, suppliers and other business partners. Each member of Senior Management has also agreed to disclose to us all inventions, designs and any other IP which they develop during their employment with us and to assist us in obtaining and enforcing patent, copyright and other legal rights for such inventions, designs, and IP. In addition, each member of Senior Management has agreed to be bound by post-termination covenants in order to protect our business interests, including restrictions on soliciting our customers and our employees. Two members of Senior Management in the U.S. have post-termination non-compete provisions that equal or exceed the duration of their severance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 Annual Bonus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paid cash bonuses to our Senior Management under the Arm Annual Bonus Plan (the “Annual Bonus Plan”). The principal features of this cash plan are summarized below. This summary is qualified in its entirety by reference to the actual text of the Annual Bonus Plan, which is filed as an exhibit to this Annual Report.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5" w:name="page96"/>
    <w:bookmarkEnd w:id="95"/>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our CEO, the Annual Bonus Plan is administered by the Remuneration Committee.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(and our subsidiaries’) employees (which include our Senior Management) are eligible to participate in the Annual Bonus Plan. With effect from April 1, 2024, the Annual Bonus Plan will apply to members of our Executive Committee only.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Start of Plan Period</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start of each plan period (which runs from April 1st of a year to March 31st of the following year), the Remuneration Committee determines: (i) whether the Annual Bonus Plan will be operated in respect of that plan period, (ii) the CEO’s target percentage of the actual base salary which may be payable as the bonus award (the “Target Bonus Percentage”) for such plan period; and (iii) the performance conditions for such plan period. With respect to the fiscal year ended March 31, 2024, the target bonus opportunity of our Senior Management was in the range from 100% to 125% of their base salary levels. The maximum bonus award that can be earned is 200% of the target bonus award (based on the Target Bonus Percentage of the participant’s salary) plus any individual performance multiplier.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Conditions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Remuneration Committee sets performance conditions for each plan period for the whole Company, one or more divisions or business units of the Arm group (or any subdivision thereof), and/or individual participants, as appropriate, and may in its sole discretion amend or waive the performance conditions in whole or in part (a) in accordance with the terms specified in the performance conditions, or (b) if events happen which cause the Remuneration Committee to consider that (i) the amended performance conditions would be a fairer measure of performance and would be no more difficult to satisfy than the existing performance conditions, or (ii) the existing performance conditions should be waived in whole or in part. The Remuneration Committee may withhold, reduce or cancel all or any part of the bonus award for any participant in the event that the Remuneration Committee considers that such participant’s performance or conduct during the plan period warrants such action.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respect to the fiscal year ended March 31, 2024, the performance conditions were based on the revenue and profit (EBITDA) of our group, plus strategic measures. For a description of the bonus outcome for Mr. Haas, see “—Bonus outcomes for year ended March 31, 2024” for further information.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Hires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person who becomes an eligible member of Senior Management during the course of a plan period and who the Remuneration Committee determines shall become a participant will be eligible to receive a pro-rated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Annual Bonus Plan.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of Performance Conditions and Targets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Remuneration Committee, in its sole discretion and at any time within a plan period, may evaluate performance conditions and make changes to a participant’s defined targets. In such case, such participant’s bonus award shall be calculated based on the Remuneration Committee’s evaluation, in its sole discretion, of what such participant’s full-year bonus award entitlement would have been under the original performance conditions and what such participant’s full-year bonus award entitlement would be under the new performance conditions. Following this, the Remuneration Committee shall make an adjustment to such bonus award based on each of the two entitlements.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Termination of Employment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Generally, a participant must be continuously employed by a member of our group through the end of the applicable plan period in order to receive a bonus award for such plan period. If a participant ceases to be an eligible member of</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Senior Management prior to the end of such plan period for any reason, such participant shall immediately forfeit upon termination any and all entitlement to any portion of the bonus award for such plan period.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event during a plan period, the plan period will end and each participant will receive a bonus award payment, payable as soon as administratively practicable following such change of control event, calculated by determining what such participant’s full-year bonus award entitlement would have been based on deemed maximum achievement of the applicable performance conditions through the date of the consummation of such change of control event and then making a pro-rata adjustment to such entitlement based on the portion of such plan period occurring before the date on which such change of control event is consummated.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applicable law, our Board of Directors (or another duly authorized committee of executives) may (i) delete, alter or add to any of the provisions of the Annual Bonus Plan in any respect at any time unilaterally and without the consent of any participant, or (ii) terminate the Annual Bonus Plan at any time. If the Annual Bonus Plan is terminated during a plan period, such termination will not affect the operation of the Annual Bonus Plan for the rest of such plan period and bonus awards may be determined and paid pursuant to the rules of the Annual Bonus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fiscal year ended March 31, 2024, we granted equity-based awards to our Senior Management and Non-Executive Directors under: (1) the 2022 RSU Plan, (2) the NED Plan, (3) the 2019 AEP and (4) the 2019 EIP (collectively, the “Prior Plans”). Since the IPO, we have not and will not grant further awards under the Prior Plans. Instead, equity-based awards granted at or after the completion of the IPO are under the Omnibus Incentive Plan. The principal features of the four previously-adopted plans that pertain to outstanding awards held by our Senior Managements and Non-Executive Directors, and the principal features of the Omnibus Incentive Plan, are summarized below. With respect to awards granted under the Prior Plans and the Omnibus Incentive Plan that may be satisfied by transfer or issue of our ordinary shares, the Remuneration Committee or other plan administrator may also satisfy them by transfer or issue of ADSs instead. Unless otherwise indicated, under this “Equity Incentive Plans” section, references to our ordinary shares shall also include references to ADSs. These summaries are qualified in their entirety by reference to the actual text of the applicable plan, each of which is filed as an exhibit to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RSU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2022 RSU Plan was adopted on June 13, 2022 and amended and restated on each of September 6, 2022 and August 25, 2023. The 2022 RSU Plan allows for the grant of awards to our (and our subsidiaries’) employees and Executive Directors. The principal features of the 2022 RSU Plan are summarized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2022 RSU Plan provides for the grant of RSUs, phantom awards, which are similar to RSUs, except that they may only be settled in cash, and other awards. Only Executive Awards, which are conditional rights to receive a specified amount of cash or our shares, have been awarded to our Senior Management under the 2022 RSU Plan.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Key Terms of Executive Awards Granted to our Senior Management under the 2022 RSU Plan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Executive Awards granted to our Senior Management under the 2022 RSU Plan entitle each member of Senior Management to a fixed amount of cash or, after our IPO, our ordinary shares. We have generally granted two types of Executive Awards under the 2022 RSU Plan, which we refer to as Annual Awards and One-time Launch Awards. On limited occasions, we have also granted Executive Awards with customized vesting schedules to certain of our Senior Management. Annual Awards and One-time Launch Awards could be settled differently depending on whether vesting occurs before or after our IPO. The Annual Award typically consists of a portion that is subject only to a time-based vesting schedule and a portion that is subject to a performance-based and time-based vesting schedule. The time-based portion of the Annual Award vests on an annual basis over three years. The performance-based portion vests on an annual basis over three years, with each year’s vesting amount being within a range of 0% to 200% of the award value based on whether our annual performance metrics are satisfied. The One-time Launch Awards vest on an annual basis over three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years, with no performance-based vesting conditions. We have also granted Executive Awards with terms that differ from those described above. Generally, these awards provide for all or a portion of the award to vest upon the earliest to occur of our IPO, a change in control event and a specified future date, subject to continued employment through the applicable vesting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our IPO, any portion of the Executive Awards that vested were settled in cash. After our IPO, any portion of the Executive Awards that vest will be satisfied in our shares based on the closing price per ADS on the date of our IPO, subject to the right of the Remuneration Committee to satisfy all or part of any such vested portion in cash. As with the RSU awards, upon a change of control event, which generally includes the acquisition of more than 50% of the voting power of our shares or the sale of all or substantially all of our assets, a pro rata portion of the unvested Executive Awards will vest.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unvested awards granted under the 2022 RSU Plan will lapse on the date the member of Senior Management ceases to be an eligible employee or executive director for any reason whatsoever under the 2022 RSU Plan (including, e.g., in connection with the termination of his or her employment or service as an executive director), except that if the cessation to be an eligible employee or executive director in question is due to ill-health, injury, disability or death, the Remuneration Committee may vest all or a portion of that participant’s awards. The member of Senior Management will not be treated as ceasing to be an eligible employee or executive director for these purposes upon leaving the employment of a member of our group if, within the following seven days, he or she recommences employment with another member of our group. The awards will also lapse if the Remuneration Committee determines that part or all of any such unvested awards should lapse in accordance with our Clawback Policy.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the record date on which such shares are actually issued or transferred, a participant is not entitled to any voting, dividend or other rights attaching to such shares. After such record date of the issue or transfer of such shares, the shares held by a participant will rank equally in all respects to our other ordinary shares.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awards granted under the 2022 RSU Plan are subject to lapse, forfeiture and/or recoupment under our Clawback Policy.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a variation of our equity share capital, a demerger or exempt distribution by virtue of section 1075 of the U.K. Corporation Tax Act 2010 or a special dividend or distribution, the Remuneration Committee (acting unanimously) may adjust the number and/or class of shares comprised in an award as it considers appropriate.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Amendment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Remuneration Committee may amend the 2022 RSU Plan at any time; however, any amendment which would materially disadvantage participants may not be made without prior consent of the majority (assessed by reference to the size of the affected awards) of disadvantaged participants who respond to the request made by the Remuneration Committee to approve such amendment. The Remuneration Committee has the absolute discretion to determine which participants are materially disadvantaged by a proposed amendment.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Transferability and Participant Payments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participant may not transfer, assign or otherwise dispose of an award or any rights in respect of it. If he or she does, whether voluntarily or involuntarily, then the award immediately lapses. No payment is required from a participant for the grant of an award.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Arm Non-Executive Directors RSU Award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NED Plan was adopted on September 6, 2022 and allows for the grant of RSUs and phantom awards to our non-executive directors. The principal features of the NED Plan and awards granted to our non-executive directors are substantially the same as the terms of the 2022 RSU Plan, except that only non-executive directors are eligible to receive awards and the only awards granted to our non-executive directors have been RSUs, which generally have provided for vesting to occur over a one-year period. The NED Plan is administered by the Remuneration Committee. The aggregate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18"/>
          <w:szCs w:val="18"/>
          <w:color w:val="auto"/>
        </w:rPr>
        <w:t>number of shares over which the Remuneration Committee may grant awards under the 2022 RSU Plan and the NED Plan is limited so that it does not exceed at any time an amount equal to (x) 4% of the aggregate nominal amount of our fully diluted equity share capital less (y) the aggregate of the nominal amount of shares allocated in respect of awards granted under the rules of the 2022 RSU Plan and awards granted under the rules of the NED Plan (excluding any shares allocated in respect of lapsed awards under the 2022 RSU Plan and the NED Plan). Following the IPO, no awards may be granted under the NED Plan.</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RSUs are awards that entitle the holder to a specified number of our ordinary shares, subject to satisfaction of vesting and other conditions. The RSUs granted to our Non-Executive Directors vest in March or May of the year following the year of grant on the basis of the continued service of the director. In addition, a pro-rata portion of the Non-Executive Directors’ RSUs vest upon the occurrence of a change of control event. In each case, once vested, the RSUs are capable of being settled in shares or cash (or a mix of both), as determined by the Remuneration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Arm Limited All-Employee Plan 2019</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2019 AEP was adopted by our shareholders on December 8, 2019 and amended and restated on each of May 18, 2021, June 13, 2022 and August 25, 2023, and allows for the grant of awards to our employees and executive directors. The material terms of the 2019 AEP are summarized below.</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2019 AEP provides for the grant of RSUs and phantom shares. Our Senior Management were not granted phantom shares pursuant to the 2019 AEP and there were no unvested awards under the 2019 AEP as of March 31,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Key Terms of RSUs Granted to our Executive Officers under the 2019 AEP</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RSUs granted to our Senior Management under the 2019 AEP generally vested on a linear scale on the earliest to occur of (1) 180 days following our IPO with a listing value between $32 billion and $55 billion and above (with none of the awards vesting when the value is $32 billion or less and all awards vesting when the value is $55 billion or above), (2) the acquisition of more than 50% of the voting power of our shares, or sale of the Company or other change in control event with an implied value between $32 billion and $55 billion and above (with none of the awards vesting when the value is $32 billion or less and all awards vesting when the value is $55 billion or above), and (3) March 9, 2026 if the value of our fully diluted share capital on December 31, 2025 is between $55 billion and $75 billion and above (with none of the awards vesting when the value is $55 billion or less and all awards vesting when the value is $75 billion or above). All RSUs granted under the 2019 AEP vested in March 2024.</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terms applicable to the RSUs awarded to our Senior Management under the 2019 AEP, including terms relating to termination of employment and forfeiture of the awards, awards being subject to our Clawback Policy, adjustments in the event of changes to capitalization and similar events, plan amendments and transferability of awards, are generally consistent with the terms of the RSUs granted under the 2022 RSU Plan,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2019 EIP</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2019 EIP was adopted by our shareholders on December 8, 2019 and amended and restated on September 6, 2022, and allows for the grant of awards to certain of our Senior Management or other eligible employees designated by the Remuneration Committee in its absolute discretion acting unanimously. During the fiscal year ended March 31, 2024, only one member of our Senior Management held an award under the 2019 EIP, which award vested in connection with the IPO. The material terms of the 2019 EIP are substantially similar to the terms of the 2019 AEP described above, except that</w:t>
      </w:r>
    </w:p>
    <w:p>
      <w:pPr>
        <w:spacing w:after="0" w:line="3" w:lineRule="exact"/>
        <w:rPr>
          <w:sz w:val="20"/>
          <w:szCs w:val="20"/>
          <w:color w:val="auto"/>
        </w:rPr>
      </w:pPr>
    </w:p>
    <w:p>
      <w:pPr>
        <w:jc w:val="both"/>
        <w:ind w:firstLine="8"/>
        <w:spacing w:after="0" w:line="253" w:lineRule="auto"/>
        <w:tabs>
          <w:tab w:leader="none" w:pos="2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was generally limited to Senior Management, (2) the aggregate number of shares over which the Remuneration Committee may grant awards under the 2019 EIP is 0.3% of the aggregate nominal amount of our fully diluted equity share capital (less the aggregate of the nominal amount of shares allocated in respect of awards granted under the rules of the 2019 EIP, excluding any shares allocated in respect of lapsed awards under the 2019 EIP), and (3) vesting of the member of senior management’s RSUs upon the earliest to occur of an initial public offering, sale of the Company or other change in control event and a specified future date is not subject to the value thresholds noted in the discussion of the 2019 AEP.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2023, our Board of Directors adopted, and our shareholders approved, the Omnibus Incentive Plan, which became effective from the date on which the underwriting agreement between us, the underwriters and the selling shareholder for the IPO was signed. We have used the Omnibus Incentive Plan following the completion of the IPO for the grant of incentive awards to our employees, including our executive directors, and our non-employees, including our non-employee directors. The principal terms of the Omnibus Incentive Plan are summarized below.</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employees, including executive directors, and employees of our subsidiaries are eligible to participate in the Omnibus Incentive Plan. Our non-executive directors and consultants, and non-executive directors and consultants of our subsidiaries, are eligible to participate in the Non-Employee Sub-Plan to the Omnibus Incentive Plan. Persons eligible to receive awards under the Omnibus Incentive Plan (including the Non-Employee Sub-Plan) are together referred to as service providers below. Except as otherwise specified, references below to the Omnibus Incentive Plan include the Non-Employee Sub-Plan, provided that in no event may an officer or employee grant, or have administrative discretion with respect to, his or her own award.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Omnibus Incentive Plan is administered by our Board of Directors, the Remuneration Committee or any other committee composed of members of our Board of Directors that is appointed by our Board of Directors or the Remuneration Committee to administer the Omnibus Incentive Plan, subject to certain limitations imposed under the Omnibus Incentive Plan, and other applicable laws and stock exchange listing rules. The administrator will have the authority to construe and interpret the Omnibus Incentive Plan and the terms of awards granted under the Omnibus Incentive Plan. Subject to applicable law, the administrator may authorize one or more officers or employees to administer the Omnibus Incentive Plan.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the Remuneration Committee. No more than 20,500,000 ordinary shares may be issued under the Omnibus Incentive Plan upon the exercise of incentive stock options.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 award under the Omnibus Incentive Plan is exchanged for or settled in cash, forfeited, canceled or expires without the issuance of our ordinary shares, any unused shares underlying the award will be deemed not to have been issued for purposes of determining the maximum number of ordinary shares that may be issued under the Omnibus Incentive Plan. Additionally, shares underlying awards issued by the Company in assumption of, or in substitution or exchange for, awards previously granted by a company acquired by the Company or any of its affiliates or with which the Company or any of its affiliates combines will not be deemed not to have been issued for purposes of determining the maximum number of ordinary shares that may be issued under the Omnibus Incentive Plan. To the extent not prohibited by applicable laws, any ordinary shares underlying an award that are surrendered or withheld in payment of the award’s exercise or purchase price, or in satisfaction of tax withholding obligations with respect to an award, will be deemed not to have been issued for purposes of determining the maximum number of ordinary shares that may be issued under the Omnibus Incentive Plan, unless otherwise determined by the administrator.</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Awards may be settled in ordinary shares or ADSs. References in this summary to ordinary shares include references to our ADSs. Ordinary shares issued under the Omnibus Incentive Plan may be new shares, shares purchased on the open market or treasury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types of awards granted under the Omnibus Incentive Plan will be determined by the administrator, but may include awards of share options, SARs, restricted shares, RSUs, other awards of cash, shares or other property (which may include a specified cash amount that is payable in cash or shares, or awards tied to the appreciation in the value of shares),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0" w:name="page101"/>
    <w:bookmarkEnd w:id="100"/>
    <w:p>
      <w:pPr>
        <w:spacing w:after="0" w:line="282" w:lineRule="auto"/>
        <w:rPr>
          <w:sz w:val="20"/>
          <w:szCs w:val="20"/>
          <w:color w:val="auto"/>
        </w:rPr>
      </w:pPr>
      <w:r>
        <w:rPr>
          <w:rFonts w:ascii="Times New Roman" w:cs="Times New Roman" w:eastAsia="Times New Roman" w:hAnsi="Times New Roman"/>
          <w:sz w:val="18"/>
          <w:szCs w:val="18"/>
          <w:color w:val="auto"/>
        </w:rPr>
        <w:t>dividends and dividend equivalents. Vesting conditions applicable to awards may be based on continued service, achievement of company, business unit or other performance objectives, or such other criteria as the Remuneration Committee may establish.</w:t>
      </w:r>
    </w:p>
    <w:p>
      <w:pPr>
        <w:spacing w:after="0" w:line="160" w:lineRule="exact"/>
        <w:rPr>
          <w:sz w:val="20"/>
          <w:szCs w:val="20"/>
          <w:color w:val="auto"/>
        </w:rPr>
      </w:pPr>
    </w:p>
    <w:p>
      <w:pPr>
        <w:jc w:val="both"/>
        <w:ind w:left="660" w:hanging="328"/>
        <w:spacing w:after="0" w:line="254"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 and SARs</w:t>
      </w:r>
      <w:r>
        <w:rPr>
          <w:rFonts w:ascii="Times New Roman" w:cs="Times New Roman" w:eastAsia="Times New Roman" w:hAnsi="Times New Roman"/>
          <w:sz w:val="18"/>
          <w:szCs w:val="18"/>
          <w:color w:val="auto"/>
        </w:rPr>
        <w:t>. Options provide for the purchase of our ordinary shares in the future at an exercise price set at a specified price and usually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in one or more installments after the grant date, subject to the participant’s continued employment or service with us and/or subject to the satisfaction of performance targets established by the administrator. SARs entitle their holder, upon exercise, to receive from us an amount equal to the appreciation of the shares underlying the award between the grant date and the exercise date, payable either in ordinary shares, cash or a combination of the two, as determined by the administrator. The administrator will determine the number of shares underlying each option and SAR, the exercise or base price of each option and SAR and the conditions and limitations applicable to the exercise of each option and SAR. In general, the exercise price per share for each option or SAR granted under the Omnibus Incentive Plan will not be less than the nominal value of such share and for grantees who are subject to tax in the U.S. not less than the fair market value of such share at the time of grant.</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Shares and RSUs</w:t>
      </w:r>
      <w:r>
        <w:rPr>
          <w:rFonts w:ascii="Times New Roman" w:cs="Times New Roman" w:eastAsia="Times New Roman" w:hAnsi="Times New Roman"/>
          <w:sz w:val="18"/>
          <w:szCs w:val="18"/>
          <w:color w:val="auto"/>
        </w:rPr>
        <w:t>. Restricted shares are an award of non-transferable ordinary shares that remain forfeitable unless and until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met and which may be subject to a purchase price. RSUs are contractual promises for grantees to receive our ordinary shares (or, as determined by the administrator, the cash equivalent) in the future, which may also be subject to vesting, issuance and forfeiture conditions. The administrator may provide that the delivery of the shares underlying RSUs will occur upon or as soon as reasonably practicable after the RSUs vest or will be deferred on a mandatory basis or at the election of the grantee. The terms and conditions applicable to restricted shares and RSUs will be determined by the administrator, subject to the conditions and limitations contained in the Omnibus Incentive Plan.</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Awards; Dividends and Dividend Equivalents. </w:t>
      </w:r>
      <w:r>
        <w:rPr>
          <w:rFonts w:ascii="Times New Roman" w:cs="Times New Roman" w:eastAsia="Times New Roman" w:hAnsi="Times New Roman"/>
          <w:sz w:val="18"/>
          <w:szCs w:val="18"/>
          <w:color w:val="auto"/>
        </w:rPr>
        <w:t>Other awards may include awards of fully vested ordinary shares, cash incentive awards,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valued wholly or partially by referring to, or otherwise based on, our ordinary shares or other property. Other awards may be granted to grantees and may also be available as a payment form in the settlement of other awards, as standalone payments and as payment in lieu of compensation to which a participant is otherwise entitled. The administrator will determine the terms and conditions of other awards, which may include any purchase price, performance goal, transfer restrictions and vesting conditions. Awards of restricted shares may also entitle the participant to receive dividends paid on the ordinary shares underlying the awards, and RSUs and other share-based awards (other than options and SARs) may entitle the participant to receive dividend equivalents, which are notional entitlements representing the dividends that would have been paid had the ordinary shares underlying the award been outstanding. Dividends and dividend equivalents may be subject to the same vesting conditions as the awards to which they relate.</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Awards may be granted in consideration of past or future services. The administrator may, but need not, require the payment of consideration by the participant with respect to an award. To the extent permitted by applicable law, the administrator may authorize the deferral of the settlement of awards.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terms of the Omnibus Incentive Plan do not address local laws in non-U.S. jurisdictions, we anticipate that provisions specific to such non-U.S. jurisdictions in which awards are granted will be addressed in the award agreement “riders,” which will set forth or modify otherwise applicable terms as needed to comply with local laws, including, as applicable, tax laws, securities laws, employment laws, data privacy requirements and exchange controls.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issuance of ordinary shares with respect to an award granted under the Omnibus Incentive Plan, participants generally will not be allowed to transfer awards. However, awards may be transferred by will or by the laws of descent and distribution.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of Plan; Amendment and Termination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Omnibus Incentive Plan will have a five-year term; however, the administrator may amend, suspend or terminate the Omnibus Incentive Plan and award agreements at any time. Generally, if the administrator proposes any amendment, suspension or termination that would be to the material disadvantage of any grantees in respect of subsisting rights under the Omnibus Incentive Plan or the relevant award agreement, then: (i) the administrator must invite each such disadvantaged grantee to indicate whether or not they approve the amendment, and (ii) such amendment shall only take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effect if the majority (assessed by reference to the size of affected awards) of the grantees who respond to an invitation consent to the amendment.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unless otherwise specified by the administrator or specified in an individual agreement with the participant, awards generally will only accelerate to the extent they are not substituted or assumed by the acquiring entity or if the awards are substituted or assumed by the acquiring entity and the participant’s service is terminated under specified circumstances within 18 months following the change in control. In the event the awards are not assumed or substituted by the acquiring or surviving entity in a change in control, except as otherwise determined by the administrator or provided in an award agreement, employment or similar agreement in the definitive change in control transaction agreement, time-based awards will become vested on a pro-rata basis as of the date of the change in control, and all or a portion of performance-based awards may vest, but only to the extent (if at all) determined by the administrator. The administrator may also elect to terminate an award in exchange for cash.</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Adjustments for Certain Corporate Events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stock dividend, stock split or other non-reciprocal transaction that affects share values, the type and the number of ordinary shares, ADSs or other securities subject to the Omnibus Incentive Plan and outstanding awards, and the exercise or base price of outstanding awards will be equitably adjusted as appropriate to reflect the transaction. Additionally, in the event of a reorganization, amalgamation, dissolution, sale of assets or shares or other corporate transactions, the administrator may take a variety of actions with respect to outstanding awards, including canceling awards in exchange for cash or other property, accelerating the vesting of awards, causing awards to be terminated or replaced with other rights or property or providing for the substitution or assumption of outstanding awards in a manner intended to preserve the intended economic and other benefits of the plans and outstanding awards.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Non-U.S. and Non-U.K. Participants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Remuneration Committee may modify awards granted to participants who are non-U.S. or U.K. nationals or employed outside the U.S. and the U.K. or establish sub-plans or procedures to address differences in laws, rules, regulations or customs of such international jurisdictions with respect to tax, securities, currency, employee benefit or other matters or to enable awards to be granted in compliance with a tax favorable regime that may be available in any jurisdiction.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Non-Employee Sub-Plan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Non-Employee Sub-Plan governs equity awards granted to our non-executive directors, consultants, advisers and other non-employee service providers and generally provides for awards to be made on identical terms to awards made under the Omnibus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Trust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IPO, the Company established an employee benefit trust (the “EBT”), constituted by a trust deed entered into by the Company and a professional trustee, with the principal purpose to facilitate the efficient and flexible settlement of share-based compensation arrangements with employees. See </w:t>
      </w:r>
      <w:r>
        <w:rPr>
          <w:rFonts w:ascii="Times New Roman" w:cs="Times New Roman" w:eastAsia="Times New Roman" w:hAnsi="Times New Roman"/>
          <w:sz w:val="18"/>
          <w:szCs w:val="18"/>
          <w:i w:val="1"/>
          <w:iCs w:val="1"/>
          <w:color w:val="auto"/>
        </w:rPr>
        <w:t>Note 14 - Shareholders’ Equity</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Directors' Remuneration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Executive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Single figure table – Executive Director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remuneration earned by the sole Executive Director of the Company, in respect of his employment with the Company for the fiscal year ended March 31, 2024 (dollars in thousands).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Fixed</w:t>
            </w: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Variable</w:t>
            </w: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Taxable</w:t>
            </w:r>
          </w:p>
        </w:tc>
        <w:tc>
          <w:tcPr>
            <w:tcW w:w="1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Remune-</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60" w:type="dxa"/>
            <w:vAlign w:val="bottom"/>
          </w:tcPr>
          <w:p>
            <w:pPr>
              <w:spacing w:after="0"/>
              <w:rPr>
                <w:sz w:val="18"/>
                <w:szCs w:val="18"/>
                <w:color w:val="auto"/>
              </w:rPr>
            </w:pPr>
          </w:p>
        </w:tc>
        <w:tc>
          <w:tcPr>
            <w:tcW w:w="86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2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Remune-</w:t>
            </w: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38"/>
        </w:trPr>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$000</w:t>
            </w:r>
          </w:p>
        </w:tc>
        <w:tc>
          <w:tcPr>
            <w:tcW w:w="7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60" w:type="dxa"/>
            <w:vAlign w:val="bottom"/>
          </w:tcPr>
          <w:p>
            <w:pPr>
              <w:spacing w:after="0"/>
              <w:rPr>
                <w:sz w:val="20"/>
                <w:szCs w:val="20"/>
                <w:color w:val="auto"/>
              </w:rPr>
            </w:pPr>
          </w:p>
        </w:tc>
        <w:tc>
          <w:tcPr>
            <w:tcW w:w="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40" w:type="dxa"/>
            <w:vAlign w:val="bottom"/>
          </w:tcPr>
          <w:p>
            <w:pPr>
              <w:spacing w:after="0"/>
              <w:rPr>
                <w:sz w:val="20"/>
                <w:szCs w:val="20"/>
                <w:color w:val="auto"/>
              </w:rPr>
            </w:pPr>
          </w:p>
        </w:tc>
        <w:tc>
          <w:tcPr>
            <w:tcW w:w="8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20" w:type="dxa"/>
            <w:vAlign w:val="bottom"/>
          </w:tcPr>
          <w:p>
            <w:pPr>
              <w:spacing w:after="0"/>
              <w:rPr>
                <w:sz w:val="20"/>
                <w:szCs w:val="20"/>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ration</w:t>
            </w:r>
          </w:p>
        </w:tc>
        <w:tc>
          <w:tcPr>
            <w:tcW w:w="160" w:type="dxa"/>
            <w:vAlign w:val="bottom"/>
          </w:tcPr>
          <w:p>
            <w:pPr>
              <w:spacing w:after="0"/>
              <w:rPr>
                <w:sz w:val="20"/>
                <w:szCs w:val="20"/>
                <w:color w:val="auto"/>
              </w:rPr>
            </w:pPr>
          </w:p>
        </w:tc>
        <w:tc>
          <w:tcPr>
            <w:tcW w:w="86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60" w:type="dxa"/>
            <w:vAlign w:val="bottom"/>
          </w:tcPr>
          <w:p>
            <w:pPr>
              <w:spacing w:after="0"/>
              <w:rPr>
                <w:sz w:val="20"/>
                <w:szCs w:val="20"/>
                <w:color w:val="auto"/>
              </w:rPr>
            </w:pPr>
          </w:p>
        </w:tc>
        <w:tc>
          <w:tcPr>
            <w:tcW w:w="86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4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Prior Plans</w:t>
            </w:r>
          </w:p>
        </w:tc>
        <w:tc>
          <w:tcPr>
            <w:tcW w:w="120" w:type="dxa"/>
            <w:vAlign w:val="bottom"/>
          </w:tcPr>
          <w:p>
            <w:pPr>
              <w:spacing w:after="0"/>
              <w:rPr>
                <w:sz w:val="20"/>
                <w:szCs w:val="20"/>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ration</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237"/>
        </w:trPr>
        <w:tc>
          <w:tcPr>
            <w:tcW w:w="11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Rene Haas</w:t>
            </w:r>
          </w:p>
        </w:tc>
        <w:tc>
          <w:tcPr>
            <w:tcW w:w="160" w:type="dxa"/>
            <w:vAlign w:val="bottom"/>
          </w:tcPr>
          <w:p>
            <w:pPr>
              <w:spacing w:after="0"/>
              <w:rPr>
                <w:sz w:val="20"/>
                <w:szCs w:val="20"/>
                <w:color w:val="auto"/>
              </w:rPr>
            </w:pPr>
          </w:p>
        </w:tc>
        <w:tc>
          <w:tcPr>
            <w:tcW w:w="7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46,282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68,750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70,133</w:t>
            </w: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Benefits: The Company operates a benefits scheme through which the Executive Director is entitled to participate. The scheme offers a</w:t>
      </w:r>
    </w:p>
    <w:p>
      <w:pPr>
        <w:spacing w:after="0" w:line="27" w:lineRule="exact"/>
        <w:rPr>
          <w:rFonts w:ascii="Times New Roman" w:cs="Times New Roman" w:eastAsia="Times New Roman" w:hAnsi="Times New Roman"/>
          <w:sz w:val="18"/>
          <w:szCs w:val="18"/>
          <w:color w:val="auto"/>
        </w:rPr>
      </w:pPr>
    </w:p>
    <w:p>
      <w:pPr>
        <w:jc w:val="both"/>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 of benefits (not all of which are taxable) which include: vacation; medical, dental and vision coverage and insurance; accident and disability insurance, group life insurance and Employee Assistance Program. The Taxable Benefit figure captured above includes group life insurance, a one-time taxable travel benefit and tax compliance advice provided by the Company.</w:t>
      </w:r>
    </w:p>
    <w:p>
      <w:pPr>
        <w:spacing w:after="0" w:line="7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the fiscal year ended March 31, 2024, this includes the Executive Director’s annual bonus of $2,468,000 to be paid in May 2024. During the fiscal year ended March 31, 2024, the Executive Director also received an IPO cash award of $20,000,000 shown in the Special Bonus column above, the performance condition for which was the occurrence of the IPO and so it was paid out in cash shortly following the IPO.</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Plans: This amount includes the one-time IPO award and the one-time AEP award which vested during FYE24, related to the occurrence of the IPO during FYE24, and Tranche 1 of the FYE24 annual award which will vest in May 2024. Pursuant to the one-time IPO award under the 2022 RSU Plan and the AEP award, the Executive Director acquired 392,157 and 79,811 ADSs, respectively. Pursuant to Tranche 1 of the FYE24 annual award which will vest in May 2024, the Executive Director acquired 123,087 ADSs. The Prior Plans remuneration is the aggregate value of vested awards under the Prior Plans, as of the applicable vesting dates occurring in the fiscal year ended March 31, 2024.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Director’s bonus outcomes for fiscal year ended March 31,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bonus is determined based on a scorecard of metrics, details of which are set out in the table below (dollars in millions).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0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2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Outcome (% of</w:t>
            </w:r>
          </w:p>
        </w:tc>
      </w:tr>
      <w:tr>
        <w:trPr>
          <w:trHeight w:val="238"/>
        </w:trPr>
        <w:tc>
          <w:tcPr>
            <w:tcW w:w="160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Condition</w:t>
            </w:r>
          </w:p>
        </w:tc>
        <w:tc>
          <w:tcPr>
            <w:tcW w:w="16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Threshold (0%)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 (100%)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 max)</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Financial: Target</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$2,876</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$3,295</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$3,233 / 42.6%</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r>
      <w:tr>
        <w:trPr>
          <w:trHeight w:val="194"/>
        </w:trPr>
        <w:tc>
          <w:tcPr>
            <w:tcW w:w="16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achievement (100%</w:t>
            </w:r>
          </w:p>
        </w:tc>
        <w:tc>
          <w:tcPr>
            <w:tcW w:w="162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payment)</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$1,268</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$1,459</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$1,408 / 36.6%</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Strategic: Stretch (up</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business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Delivery of solutions and achievement of</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16"/>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additional 50%)</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initiatives</w:t>
            </w:r>
          </w:p>
        </w:tc>
        <w:tc>
          <w:tcPr>
            <w:tcW w:w="158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major design wins / key client adoption</w:t>
            </w:r>
          </w:p>
        </w:tc>
        <w:tc>
          <w:tcPr>
            <w:tcW w:w="1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equally weighted across the four Lines of</w:t>
            </w:r>
          </w:p>
        </w:tc>
        <w:tc>
          <w:tcPr>
            <w:tcW w:w="1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176"/>
        </w:trPr>
        <w:tc>
          <w:tcPr>
            <w:tcW w:w="1600" w:type="dxa"/>
            <w:vAlign w:val="bottom"/>
            <w:tcBorders>
              <w:left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r>
      <w:tr>
        <w:trPr>
          <w:trHeight w:val="218"/>
        </w:trPr>
        <w:tc>
          <w:tcPr>
            <w:tcW w:w="16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Organization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Delivery of operating model changes and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increase in gender and racial/ethnic</w:t>
            </w:r>
          </w:p>
        </w:tc>
        <w:tc>
          <w:tcPr>
            <w:tcW w:w="1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w:t>
            </w: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successful in meeting a majority of the strategic business initiatives that will be key in delivering long-term growth. This included important product achievements with new processors in the Client &amp; Infrastructure markets achieving significant generation-on-generation performance improvements, and releases of new safety-enabled Automotive Enhanced processors &amp; edge AI accelerators for the Autonomous and IoT markets. The Company also introduced its first Neoverse compute subsystem offering for data centers, and achieved key partner design wins across all four Lines of Business.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above achievement, the Company was deemed to have achieved 117% of target under the Company scorecard (78% of the maximum 150% Company performance). The Executive Director's individual performance multiplier was determined by the Board of Directors to be 1.25, resulting in a bonus of 146% or target bonus (183% of salary) or $2,468,000.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award outcomes in respect of the fiscal year ended March 31, 2024</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One Time Executive Award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IPO, the CEO was granted an award under the 2022 RSU Plan with a value of $20 million, which was settled by the delivery of 392,157 ADSs based on the IPO price of $51 per ADS. The single performance condition was the occurrence of the IPO, and so this became fully vested and the ADSs were released shortly following the IPO. However, the award is subject to a 12-month holding period.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Fiscal Year End 2024 Annual Award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granted an award under the 2022 RSU Plan. This vests in tranches over 3 years (30% in year 1 and year 2 and 40% in year 3). The performance conditions for Tranche 1 (i.e. 30%) of the award are set out in the table below (dollars in millions).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34"/>
        </w:trPr>
        <w:tc>
          <w:tcPr>
            <w:tcW w:w="160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2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Outcome (% of</w:t>
            </w:r>
          </w:p>
        </w:tc>
      </w:tr>
      <w:tr>
        <w:trPr>
          <w:trHeight w:val="238"/>
        </w:trPr>
        <w:tc>
          <w:tcPr>
            <w:tcW w:w="160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Condition</w:t>
            </w:r>
          </w:p>
        </w:tc>
        <w:tc>
          <w:tcPr>
            <w:tcW w:w="16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5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16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Threshold (0%)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 (100%)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 max)</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Financial: Target</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$2,876</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$3,295</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$3,233 / 42.6%</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r>
      <w:tr>
        <w:trPr>
          <w:trHeight w:val="194"/>
        </w:trPr>
        <w:tc>
          <w:tcPr>
            <w:tcW w:w="16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achievement (100%</w:t>
            </w:r>
          </w:p>
        </w:tc>
        <w:tc>
          <w:tcPr>
            <w:tcW w:w="162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payment)</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$1,268</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$1,459</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$1,408 / 36.6%</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Strategic: Stretch (up</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business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Delivery of solutions and achievement of</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r>
      <w:tr>
        <w:trPr>
          <w:trHeight w:val="216"/>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additional 100%)</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initiatives</w:t>
            </w:r>
          </w:p>
        </w:tc>
        <w:tc>
          <w:tcPr>
            <w:tcW w:w="158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major design wins / key client adoption</w:t>
            </w:r>
          </w:p>
        </w:tc>
        <w:tc>
          <w:tcPr>
            <w:tcW w:w="1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equally weighted across the four Lines of</w:t>
            </w:r>
          </w:p>
        </w:tc>
        <w:tc>
          <w:tcPr>
            <w:tcW w:w="1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175"/>
        </w:trPr>
        <w:tc>
          <w:tcPr>
            <w:tcW w:w="1600" w:type="dxa"/>
            <w:vAlign w:val="bottom"/>
            <w:tcBorders>
              <w:left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r>
      <w:tr>
        <w:trPr>
          <w:trHeight w:val="218"/>
        </w:trPr>
        <w:tc>
          <w:tcPr>
            <w:tcW w:w="16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Organization</w:t>
            </w:r>
          </w:p>
        </w:tc>
        <w:tc>
          <w:tcPr>
            <w:tcW w:w="158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rPr>
              <w:t>20%</w:t>
            </w: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Delivery of operating model changes and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17.6%</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increase in gender and racial/ethnic</w:t>
            </w:r>
          </w:p>
        </w:tc>
        <w:tc>
          <w:tcPr>
            <w:tcW w:w="16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w:t>
            </w: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jc w:val="both"/>
        <w:ind w:left="80" w:right="20" w:firstLine="243"/>
        <w:spacing w:after="0" w:line="261" w:lineRule="auto"/>
        <w:rPr>
          <w:sz w:val="20"/>
          <w:szCs w:val="20"/>
          <w:color w:val="auto"/>
        </w:rPr>
      </w:pPr>
      <w:r>
        <w:rPr>
          <w:rFonts w:ascii="Times New Roman" w:cs="Times New Roman" w:eastAsia="Times New Roman" w:hAnsi="Times New Roman"/>
          <w:sz w:val="18"/>
          <w:szCs w:val="18"/>
          <w:color w:val="auto"/>
        </w:rPr>
        <w:t>The Company was successful in meeting a majority of the strategic business initiatives that will be key in delivering long-term growth, as described under “</w:t>
      </w:r>
      <w:r>
        <w:rPr>
          <w:rFonts w:ascii="Times New Roman" w:cs="Times New Roman" w:eastAsia="Times New Roman" w:hAnsi="Times New Roman"/>
          <w:sz w:val="18"/>
          <w:szCs w:val="18"/>
          <w:i w:val="1"/>
          <w:iCs w:val="1"/>
          <w:color w:val="auto"/>
        </w:rPr>
        <w:t>Executive Director’s bonus outcomes for fiscal year ended March 31, 2024.”</w:t>
      </w:r>
      <w:r>
        <w:rPr>
          <w:rFonts w:ascii="Times New Roman" w:cs="Times New Roman" w:eastAsia="Times New Roman" w:hAnsi="Times New Roman"/>
          <w:sz w:val="18"/>
          <w:szCs w:val="18"/>
          <w:color w:val="auto"/>
        </w:rPr>
        <w:t xml:space="preserve"> As a result of the above achievement, the Company was deemed to have achieved 155% of target (78% of the maximum 200% Company performance). The first tranche of the PSUs awarded in May 2023 therefore vested in May 2024 at 155% and were settled by the delivery of 123,087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Single figure table – Non-Executive Directors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remuneration earned by each Non-Executive Director of the Company, in respect of their service to the Company for the fiscal year ended March 31, 2024 (dollars in thousands).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spacing w:after="0"/>
              <w:rPr>
                <w:sz w:val="20"/>
                <w:szCs w:val="20"/>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Fixed</w:t>
            </w:r>
          </w:p>
        </w:tc>
        <w:tc>
          <w:tcPr>
            <w:tcW w:w="136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Variable</w:t>
            </w:r>
          </w:p>
        </w:tc>
        <w:tc>
          <w:tcPr>
            <w:tcW w:w="1360" w:type="dxa"/>
            <w:vAlign w:val="bottom"/>
            <w:tcBorders>
              <w:top w:val="single" w:sz="8" w:color="auto"/>
              <w:right w:val="single" w:sz="8" w:color="auto"/>
            </w:tcBorders>
          </w:tcPr>
          <w:p>
            <w:pPr>
              <w:spacing w:after="0"/>
              <w:rPr>
                <w:sz w:val="20"/>
                <w:szCs w:val="20"/>
                <w:color w:val="auto"/>
              </w:rPr>
            </w:pPr>
          </w:p>
        </w:tc>
      </w:tr>
      <w:tr>
        <w:trPr>
          <w:trHeight w:val="238"/>
        </w:trPr>
        <w:tc>
          <w:tcPr>
            <w:tcW w:w="20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$000</w:t>
            </w:r>
          </w:p>
        </w:tc>
        <w:tc>
          <w:tcPr>
            <w:tcW w:w="5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Taxable Benefits</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3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Prior Plans</w:t>
            </w:r>
          </w:p>
        </w:tc>
        <w:tc>
          <w:tcPr>
            <w:tcW w:w="16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3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Masayoshi Son</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Karen E. Dykstra</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Anthony Michael Fadell</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Jeffrey A. Sine</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Paul E. Jacobs, PhD</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Rosemary Schooler</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$341</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Ronald D. Fisher</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jc w:val="both"/>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D. Fisher has served as a Director of our Board of Directors since March 2018, and has been remunerated for his Arm role since April 1, 2024. Karen Dykstra, Tony Fadell and Jeffrey Sine have served as a Director of our Board of Directors since September 2022. Paul Jacobs and Rosemary Schooler have served as a Director of our Board of Directors since December 2022.</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in the table above relate to the annual retainer, committee fees and meeting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line with policy, Non-Executive Directors do not receive any Taxable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Plans: Pursuant to the NED Plan, the Non-Executive Directors each acquired 5,301 ADSs on May 15, 2024.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Non-Executive Directors did not receive any pension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4" w:right="319"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238"/>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Scheme interests granted in period</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9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table below sets out the awards granted to the Executive Director during the fiscal year ended March 31, 2024:</w:t>
            </w:r>
          </w:p>
        </w:tc>
        <w:tc>
          <w:tcPr>
            <w:tcW w:w="226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14"/>
        </w:trPr>
        <w:tc>
          <w:tcPr>
            <w:tcW w:w="11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1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Threshold performance (%</w:t>
            </w:r>
          </w:p>
        </w:tc>
        <w:tc>
          <w:tcPr>
            <w:tcW w:w="2260" w:type="dxa"/>
            <w:vAlign w:val="bottom"/>
            <w:tcBorders>
              <w:right w:val="single" w:sz="8" w:color="auto"/>
            </w:tcBorders>
          </w:tcPr>
          <w:p>
            <w:pPr>
              <w:spacing w:after="0"/>
              <w:rPr>
                <w:sz w:val="18"/>
                <w:szCs w:val="18"/>
                <w:color w:val="auto"/>
              </w:rPr>
            </w:pPr>
          </w:p>
        </w:tc>
      </w:tr>
      <w:tr>
        <w:trPr>
          <w:trHeight w:val="238"/>
        </w:trPr>
        <w:tc>
          <w:tcPr>
            <w:tcW w:w="11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 type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award</w:t>
            </w:r>
          </w:p>
        </w:tc>
        <w:tc>
          <w:tcPr>
            <w:tcW w:w="122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delivered)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End of performance period</w:t>
            </w:r>
          </w:p>
        </w:tc>
      </w:tr>
      <w:tr>
        <w:trPr>
          <w:trHeight w:val="27"/>
        </w:trPr>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Rene Haas</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PSU</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23, 2023</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264,706</w:t>
            </w:r>
          </w:p>
        </w:tc>
        <w:tc>
          <w:tcPr>
            <w:tcW w:w="12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$27,000</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jc w:val="both"/>
        <w:ind w:left="660" w:right="2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Director received an annual award of PSUs pursuant to the 2022 RSU Plan. This was an award of 10x salary ($13,500,000) which will vest between 0%-200% over a three year period subject to achievement of performance conditions. Executive Awards made prior to listing were awarded as a dollar amount and were converted to PSUs based on the IPO price of $51.00 as set out at the time of the award. The final vest under the award will be May 15, 2026, reflective of performance for the period to March 31, 2026.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out the awards granted to the Non-Executive Directors: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60" w:type="dxa"/>
            <w:vAlign w:val="bottom"/>
            <w:tcBorders>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spacing w:after="0"/>
              <w:rPr>
                <w:sz w:val="20"/>
                <w:szCs w:val="20"/>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15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 shares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20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 type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w:t>
            </w:r>
          </w:p>
        </w:tc>
        <w:tc>
          <w:tcPr>
            <w:tcW w:w="1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under award</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Face value ($000)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delivered)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7"/>
        </w:trPr>
        <w:tc>
          <w:tcPr>
            <w:tcW w:w="20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Masayoshi Son</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Karen E. Dykstra</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22, 2023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Anthony Michael Fadell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22, 2023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Jeffrey A. Sine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22, 2023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Paul E. Jacobs, PhD</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22, 2023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Rosemary Schooler</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22, 2023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Ronald D. Fisher</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29, 2023</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jc w:val="both"/>
        <w:ind w:left="660" w:right="20" w:hanging="328"/>
        <w:spacing w:after="0" w:line="255"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Non-Executive Directors received an annual award of RSUs pursuant to the Arm Non-Executive Directors RSU Award Plan. In line with the Director’s Remuneration Policy, this award of $220,000 will vest in May 2024. Awards made prior to listing were awarded using a share price of $41.50 based on an independent valuation.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for loss of office and payments to past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payments for loss of office or to past directors were made during the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ADSs began trading on Nasdaq on September 14, 2023. The Total Shareholder Return ("TSR") graph represents the value at March 31, 2024 of $100 invested in our ADSs on September 14, 2023, compared with the value of $100 invested in the S&amp;P 500 IT Sector Index. This index is considered the most relevant and appropriate comparator index for the Company, incorporating organizations our shareholders would be likely to consider for their investments. It is also the index to be used in the future Performance Share Plan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5554980" cy="2888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555498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remuneration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total remuneration received by the CEO for the fiscal year ended March 31, 2024. The Company has not disclosed for years prior to Arm’s listing on the Nasdaq.</w:t>
      </w:r>
    </w:p>
    <w:p>
      <w:pPr>
        <w:spacing w:after="0" w:line="187" w:lineRule="exact"/>
        <w:rPr>
          <w:sz w:val="20"/>
          <w:szCs w:val="20"/>
          <w:color w:val="auto"/>
        </w:rPr>
      </w:pPr>
    </w:p>
    <w:tbl>
      <w:tblPr>
        <w:tblLayout w:type="fixed"/>
        <w:tblInd w:w="2690" w:type="dxa"/>
        <w:tblCellMar>
          <w:top w:w="0" w:type="dxa"/>
          <w:left w:w="0" w:type="dxa"/>
          <w:bottom w:w="0" w:type="dxa"/>
          <w:right w:w="0" w:type="dxa"/>
        </w:tblCellMar>
      </w:tblPr>
      <w:tr>
        <w:trPr>
          <w:trHeight w:val="257"/>
        </w:trPr>
        <w:tc>
          <w:tcPr>
            <w:tcW w:w="2960" w:type="dxa"/>
            <w:vAlign w:val="bottom"/>
            <w:tcBorders>
              <w:top w:val="single" w:sz="8" w:color="auto"/>
              <w:left w:val="single" w:sz="8" w:color="auto"/>
              <w:right w:val="single" w:sz="8" w:color="auto"/>
            </w:tcBorders>
          </w:tcPr>
          <w:p>
            <w:pPr>
              <w:spacing w:after="0"/>
              <w:rPr>
                <w:sz w:val="22"/>
                <w:szCs w:val="22"/>
                <w:color w:val="auto"/>
              </w:rPr>
            </w:pPr>
          </w:p>
        </w:tc>
        <w:tc>
          <w:tcPr>
            <w:tcW w:w="294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March 31, 2024</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37"/>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CEO single figure ($000)</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$70,133</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37"/>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 bonus as % of max</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59%</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37"/>
        </w:trPr>
        <w:tc>
          <w:tcPr>
            <w:tcW w:w="2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 as % of max</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78%</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equity awards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CEO will be granted a PSU award which will have an initial target value of 14 times base salary. The maximum opportunity will be 125% of grant. 75% of the award will be measured over three one-year performance periods (25% attributed to each year) subject to the attainment of goals relating to:</w:t>
      </w:r>
    </w:p>
    <w:p>
      <w:pPr>
        <w:spacing w:after="0" w:line="6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priorities (up to 2x modifier to financial performance)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25% of the award will be subject to Relative TSR measured over the full three-year performance period. TSR will be measured relative to the S&amp;P 500 IT Sector Index.</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end of each year, performance will be assessed against the financial and strategic measures. At the end of the three-year performance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 TSR achievement will be measured. 0% of the TSR portion will vest if TSR is at or below the 25th percentile of the index and 200% will vest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TSR is at or above the 75th percentile of the index with linear interpolation for intermediate levels of performance.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0% to 200% of the PSUs attributed to each year will vest annually, with the Year 3 vest combining this and the portion attributed to Relative TSR.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PSUs will be subject to our Clawback Policy.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7" w:name="page108"/>
    <w:bookmarkEnd w:id="10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Remuneration Committee believes the salary multiple delivered at maximum appropriately reflects the sustained stretch performance required across financial and strategic measures to deliver the maximum vesting scenario. By design, these goals provide significant alignment to shareholder value creation in both the long and short term. There will be no payment attributed to any strategic measure that is not achieved in full.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in conjunction with the design of the Remuneration Policy, the Remuneration Committee reviewed the Non-Executive Director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increases are proposed and as such fees remain unchanged as summarized in the table below:</w:t>
      </w:r>
    </w:p>
    <w:p>
      <w:pPr>
        <w:spacing w:after="0" w:line="232" w:lineRule="exact"/>
        <w:rPr>
          <w:sz w:val="20"/>
          <w:szCs w:val="20"/>
          <w:color w:val="auto"/>
        </w:rPr>
      </w:pPr>
    </w:p>
    <w:tbl>
      <w:tblPr>
        <w:tblLayout w:type="fixed"/>
        <w:tblInd w:w="2470" w:type="dxa"/>
        <w:tblCellMar>
          <w:top w:w="0" w:type="dxa"/>
          <w:left w:w="0" w:type="dxa"/>
          <w:bottom w:w="0" w:type="dxa"/>
          <w:right w:w="0" w:type="dxa"/>
        </w:tblCellMar>
      </w:tblPr>
      <w:tr>
        <w:trPr>
          <w:trHeight w:val="257"/>
        </w:trPr>
        <w:tc>
          <w:tcPr>
            <w:tcW w:w="4460" w:type="dxa"/>
            <w:vAlign w:val="bottom"/>
            <w:tcBorders>
              <w:top w:val="single" w:sz="8" w:color="auto"/>
              <w:left w:val="single" w:sz="8" w:color="auto"/>
              <w:right w:val="single" w:sz="8" w:color="auto"/>
            </w:tcBorders>
          </w:tcPr>
          <w:p>
            <w:pPr>
              <w:spacing w:after="0"/>
              <w:rPr>
                <w:sz w:val="22"/>
                <w:szCs w:val="22"/>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Fees ($)</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Annual Cash Retainer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1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Board of Directors Meeting Attendance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446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meeting</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 Committee Chair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Remuneration Committee Chair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 Committee Members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Remuneration Committee members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Son does not receive any remuneration from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indemnification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permitted by the Companies Act, we are empowered to indemnify our directors against any liability they incur by reason of their directorship. We maintain directors’ and officers’ insurance to insure such persons against certain liabilities and have entered into a deed of indemnity with each of our directors and executive officers. We have been advised that, in the opinion of the SEC, indemnification for liabilities arising under U.S. federal securities laws is against public policy as expressed in the Securities Act, and is, therefore, unenforceable.</w:t>
      </w:r>
    </w:p>
    <w:p>
      <w:pPr>
        <w:spacing w:after="0" w:line="176"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1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currently consists of eight members, all of whom will continue to serve on our Board of Directors until our next annual general meeting or their earlier resignation. Mr. Son serves as the Chair of our Board of Directors. Our Board of Directors has affirmatively determined that none of Ms. Dykstra, Mr. Fadell, Ms. Schooler and Dr. Jacobs have a relationship that would interfere with the exercise of independent judgment in carrying out the responsibilities of director and that each of these directors is “independent” as that term is defined under the listing standards of Nasdaq.</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Six of our eight current directors were appointed in 2022 in anticipation of becoming a public company. Prior to the appointment of these new directors, we undertook a fulsome review of the composition of our Board of Directors and the skills and qualifications necessary to lead our company going forward. Our Board of Directors considered diversity of experience and expertise as well as gender, racial and ethnic diversity. We believe that the diversity of viewpoints and collective experience of our directors makes our Board of Directors well positioned to lead Arm into the future.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end of each annual general meeting of shareholders, all the directors must retire from office except for any director appointed by our Board of Directors after notice of that annual general meeting has been given and before that annual general meeting has been held. Each director who retires at an annual general meeting may be re-elected.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with respect to Mr. Haas and other than providing pro-rata vesting to non-executive directors if they are terminated other than for cause or in the event of a change in control of the Company, there are no arrangements or understandings between us, on the one hand, and any of our directors, on the other hand, providing for benefits upon termination of their service as directors of the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SoftBank Group’s Director Nomination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does not have a standing nominating committee. Pursuant to the Shareholder Governance Agreement, SoftBank Group will have the right to designate a certain number of candidates for election to our Board of Directors based on its and its controlled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sectPr>
          <w:pgSz w:w="11900" w:h="16838" w:orient="portrait"/>
          <w:cols w:equalWidth="0" w:num="1">
            <w:col w:w="11240"/>
          </w:cols>
          <w:pgMar w:left="320" w:top="1035" w:right="33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SoftBank Group candidates</w:t>
            </w:r>
          </w:p>
        </w:tc>
      </w:t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 of our outstanding ordinary shares:</w:t>
            </w: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election to our Board of Directors:</w:t>
            </w:r>
          </w:p>
        </w:tc>
      </w:tr>
      <w:tr>
        <w:trPr>
          <w:trHeight w:val="27"/>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70%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70% and greater than 60%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60% and greater than 50%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50% and greater than 40%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40% and greater than 30%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30% and greater than 20%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20% and greater than 5%</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Number of SoftBank Group candidates that must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wp:posOffset>
            </wp:positionV>
            <wp:extent cx="20828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227" w:lineRule="exact"/>
        <w:rPr>
          <w:sz w:val="20"/>
          <w:szCs w:val="20"/>
          <w:color w:val="auto"/>
        </w:rPr>
      </w:pPr>
    </w:p>
    <w:p>
      <w:pPr>
        <w:sectPr>
          <w:pgSz w:w="11900" w:h="16838" w:orient="portrait"/>
          <w:cols w:equalWidth="0" w:num="2">
            <w:col w:w="7860" w:space="120"/>
            <w:col w:w="3260"/>
          </w:cols>
          <w:pgMar w:left="320" w:top="1035" w:right="339" w:bottom="1440" w:gutter="0" w:footer="0" w:header="0"/>
          <w:type w:val="continuous"/>
        </w:sectPr>
      </w:pP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SoftBank Group’s rights to designate candidates for election to our Board of Directors are based on an eight-member board, including our CEO, and pursuant to the Shareholder Governance Agreement, will be modified ratably to reflect any change in the number of directors on our Board of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effective upon completion of the IPO and for so long as SoftBank Group and its controlled affiliates own more than 70% of our outstanding ordinary shares, SoftBank Group will have the right to increase the size of the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Shareholder Governance Agreement also provides SoftBank Group with proportional rights to representation on the committees of our Board of Directors, subject to applicable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has two standing committees: an Audit Committee and a Remuneration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monitoring our financial systems. Our Audit Committee is responsible for, among other things:</w:t>
      </w:r>
    </w:p>
    <w:p>
      <w:pPr>
        <w:spacing w:after="0" w:line="162" w:lineRule="exact"/>
        <w:rPr>
          <w:sz w:val="20"/>
          <w:szCs w:val="20"/>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(i) the independent registered public accounting firm to audit our financial statements and (ii) the U.K. statutory auditors;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 and the U.K. statutory auditors;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U.K. statutory auditors, and reviewing, with management, the independent registered public accounting firm and U.K. statutory auditors, our interim and year-end operating results;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09" w:name="page110"/>
    <w:bookmarkEnd w:id="109"/>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if applicable, in accordance with our related party transaction policy, any proposed transactions with related persons;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and practices on risk assessment and risk management, including in respect of cyber security, data privacy and technology and information security;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 and U.K. statutory auditors.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Audit Committee consists of Ms. Dykstra, Ms. Schooler and Mr. Fisher, with Ms. Dykstra serving as chair. Our Board of Directors has affirmatively determined that Mses. Dykstra and Schooler meet the requirements for independence under the listing standards of Nasdaq and the additional independence standards applicable to audit committee members established pursuant to Rule 10A-3 of the Exchange Act. Mr. Fisher will be permitted to serve on the Audit Committee until September 13, 2024, one year from the date of effectiveness of the registration statement </w:t>
      </w:r>
      <w:r>
        <w:rPr>
          <w:rFonts w:ascii="Times New Roman" w:cs="Times New Roman" w:eastAsia="Times New Roman" w:hAnsi="Times New Roman"/>
          <w:sz w:val="18"/>
          <w:szCs w:val="18"/>
          <w:color w:val="231F20"/>
        </w:rPr>
        <w:t>(File No. 333-274120) filed</w:t>
      </w:r>
      <w:r>
        <w:rPr>
          <w:rFonts w:ascii="Times New Roman" w:cs="Times New Roman" w:eastAsia="Times New Roman" w:hAnsi="Times New Roman"/>
          <w:sz w:val="18"/>
          <w:szCs w:val="18"/>
          <w:color w:val="auto"/>
        </w:rPr>
        <w:t xml:space="preserve"> under Rule 10A-3(b)(iv)(A) of the Exchange Act, and pursuant to the phase-in provisions under the listing standards of Nasdaq applicable to new public companies. In addition, our Board of Directors has determined that Ms. Dykstra qualifies as an “audit committee financial expert” as defined by applicable SEC rules. Each member of our Audit Committee is financially literate.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Remuneration Committee oversees our remuneration policies, plans and benefits programs. The Remuneration Committee is responsible for, among other things:</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related to our remuneration plans and equity-based plans;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concerning the overall remuneration philosophy, policies and plans of the Company;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performance goals and objectives relevant to the remuneration of our CEO;</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making recommendations to our Board of Directors regarding the performance of our CEO under the previously established performance criteria, goals and objectives, and evaluating and making recommendations to our Board of Directors regarding total remuneration for our CEO;</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remuneration to be paid to our non-executive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approval of the directors’ remuneration report, which shall be subject to a shareholder advisory vote at the Company’s annual general meeting each year;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retaining a remuneration consultant;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the Remuneration Committee by our Board of Directors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Remuneration Committee consists of Mr. Son, Mr. Fisher, Mr. Sine and Ms. Schooler, with Mr. Son serving as chair.</w:t>
      </w:r>
    </w:p>
    <w:p>
      <w:pPr>
        <w:spacing w:after="0" w:line="221" w:lineRule="exact"/>
        <w:rPr>
          <w:sz w:val="20"/>
          <w:szCs w:val="20"/>
          <w:color w:val="auto"/>
        </w:rPr>
      </w:pPr>
    </w:p>
    <w:p>
      <w:pPr>
        <w:jc w:val="both"/>
        <w:ind w:right="10080" w:firstLine="8"/>
        <w:spacing w:after="0" w:line="503" w:lineRule="auto"/>
        <w:tabs>
          <w:tab w:leader="none" w:pos="35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Employees Our Employees</w:t>
      </w: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employ a global workforce that spans across 19 countries. As of March 31, 2024, approximately 83% of our 7,096 global employees were engaged in engineering activities delivering products for our partners to schedule and specification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as well as driving innovations in our industry. During the fiscal year ended March 31, 2024, we engaged an average of 1,787 temporary employees.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 of our employees for each of the past three financial years: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2240" w:type="dxa"/>
            <w:vAlign w:val="bottom"/>
            <w:tcBorders>
              <w:top w:val="single" w:sz="8" w:color="auto"/>
            </w:tcBorders>
          </w:tcPr>
          <w:p>
            <w:pPr>
              <w:jc w:val="right"/>
              <w:ind w:right="350"/>
              <w:spacing w:after="0" w:line="216" w:lineRule="exact"/>
              <w:rPr>
                <w:sz w:val="20"/>
                <w:szCs w:val="20"/>
                <w:color w:val="auto"/>
              </w:rPr>
            </w:pPr>
            <w:r>
              <w:rPr>
                <w:rFonts w:ascii="Times New Roman" w:cs="Times New Roman" w:eastAsia="Times New Roman" w:hAnsi="Times New Roman"/>
                <w:sz w:val="18"/>
                <w:szCs w:val="18"/>
                <w:b w:val="1"/>
                <w:bCs w:val="1"/>
                <w:color w:val="auto"/>
              </w:rPr>
              <w:t>March 31, 2024</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8"/>
                <w:szCs w:val="18"/>
                <w:color w:val="auto"/>
              </w:rPr>
            </w:pPr>
          </w:p>
        </w:tc>
        <w:tc>
          <w:tcPr>
            <w:tcW w:w="1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48"/>
        </w:trPr>
        <w:tc>
          <w:tcPr>
            <w:tcW w:w="700" w:type="dxa"/>
            <w:vAlign w:val="bottom"/>
            <w:tcBorders>
              <w:top w:val="single" w:sz="8" w:color="auto"/>
            </w:tcBorders>
          </w:tcPr>
          <w:p>
            <w:pPr>
              <w:spacing w:after="0"/>
              <w:rPr>
                <w:sz w:val="4"/>
                <w:szCs w:val="4"/>
                <w:color w:val="auto"/>
              </w:rPr>
            </w:pPr>
          </w:p>
        </w:tc>
        <w:tc>
          <w:tcPr>
            <w:tcW w:w="36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r>
        <w:trPr>
          <w:trHeight w:val="237"/>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Engineering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Non-Engineering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7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Geographic Distribution</w:t>
            </w: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7"/>
        </w:trPr>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Employees</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22"/>
                <w:szCs w:val="22"/>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0"/>
        </w:trPr>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180 application engineers were reclassified from Non-Engineering to Engineering.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relations with our employees to be good and have never experienced a work stoppage. Our employees in France and Hungary are represented by works councils. We consider our relationship with these works councils to be productive and constructive, and there are currently no ongoing disputes.</w:t>
      </w:r>
    </w:p>
    <w:p>
      <w:pPr>
        <w:spacing w:after="0" w:line="172"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ownership</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information regarding the share ownership of Directors and Senior Management, refer to </w:t>
      </w:r>
      <w:r>
        <w:rPr>
          <w:rFonts w:ascii="Times New Roman" w:cs="Times New Roman" w:eastAsia="Times New Roman" w:hAnsi="Times New Roman"/>
          <w:sz w:val="18"/>
          <w:szCs w:val="18"/>
          <w:i w:val="1"/>
          <w:iCs w:val="1"/>
          <w:color w:val="auto"/>
        </w:rPr>
        <w:t>“Item 7. 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Transactions–A. Major Shareholders.” </w:t>
      </w:r>
      <w:r>
        <w:rPr>
          <w:rFonts w:ascii="Times New Roman" w:cs="Times New Roman" w:eastAsia="Times New Roman" w:hAnsi="Times New Roman"/>
          <w:sz w:val="18"/>
          <w:szCs w:val="18"/>
          <w:color w:val="auto"/>
        </w:rPr>
        <w:t>For information regarding our equity incentive plans specific to arrangements involving Directors and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in the capital of the company, refer to </w:t>
      </w:r>
      <w:r>
        <w:rPr>
          <w:rFonts w:ascii="Times New Roman" w:cs="Times New Roman" w:eastAsia="Times New Roman" w:hAnsi="Times New Roman"/>
          <w:sz w:val="18"/>
          <w:szCs w:val="18"/>
          <w:i w:val="1"/>
          <w:iCs w:val="1"/>
          <w:color w:val="auto"/>
        </w:rPr>
        <w:t>“Item 6. Directors, Senior Management and Employees–B. Compensation.”</w:t>
      </w:r>
    </w:p>
    <w:p>
      <w:pPr>
        <w:spacing w:after="0" w:line="171"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 of a registrant’s action to recover erroneously awarded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Rule 10D-1 under the Exchange Act and Nasdaq Rule 5608, on November 15, 2023, the Company adopted a Clawback Policy providing that the Company will recover reasonably promptly the amount of erroneously awarded incentive-based compensation from any “Executive Officer” (as such term is defined in Rule 10D-1 under the Exchange Act and Nasdaq Rule 5608)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copy of our Clawback Policy is filed as Exhibit 97.1 hereto.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fiscal year ended March 31, 2024, the Company was not required to recoup any compensation awarded under the Clawback Policy.</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Major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by the Companies Act to keep a register of our shareholders. Under English law, the ordinary shares are deemed to be issued when the name of the shareholder is entered in the register of members. The register of members therefore is prima facie evidence of the identity of our shareholders, and the shares that they hold. The register of members generally provides limited, or no, information regarding the ultimate beneficial owners of our ordinary shares. Our register of members is maintained by our registrar, Computershare Investor Services Plc.</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1" w:name="page112"/>
    <w:bookmarkEnd w:id="11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the ADSs will not be treated as our shareholders and their names will therefore not be entered in our register of members. The depositary, the custodian or their nominees will be the holder of the ordinary shares underlying the ADSs. Pursuant to the terms of the deposit agreement, holders of the ADSs have a right to receive the ordinary shares underlying their ADSs. For discussion on the ADSs and ADS holder rights, see Description of Securities in Exhibit 2.3 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related footnotes set forth information with respect to the beneficial ownership of our ordinary shares, as of May 15, 2024, by:</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our outstanding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Senior Management;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Senior Management as a group.</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percentage of ordinary shares beneficially owned as of May 15, 2024 is based on 1,047,835,240 ordinary shares outstanding.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any material relationship that our principal shareholders have had with us or any of our affiliates within the past three years is included under </w:t>
      </w:r>
      <w:r>
        <w:rPr>
          <w:rFonts w:ascii="Times New Roman" w:cs="Times New Roman" w:eastAsia="Times New Roman" w:hAnsi="Times New Roman"/>
          <w:sz w:val="18"/>
          <w:szCs w:val="18"/>
          <w:i w:val="1"/>
          <w:iCs w:val="1"/>
          <w:color w:val="auto"/>
        </w:rPr>
        <w:t>“Item 7. Major Shareholders and Related Party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The principal shareholders listed below do not have voting rights with respect to their ordinary shares that are different from the voting rights of other holders of our ordinary shares.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231F20"/>
        </w:rPr>
        <w:t>Except as otherwise indicated in the table below, addresses of the Directors, Senior Management and named beneficial owners are care of Arm Holdings plc, 110 Fulbourn Road, Cambridge CB1 9NJ, United Kingdom. As of May 15, 2024, to our knowledge, there are no U.S. record holders of our issued and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Shareholder</w:t>
            </w:r>
          </w:p>
        </w:tc>
        <w:tc>
          <w:tcPr>
            <w:tcW w:w="316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gridSpan w:val="2"/>
            <w:vMerge w:val="continue"/>
          </w:tcPr>
          <w:p>
            <w:pPr>
              <w:spacing w:after="0"/>
              <w:rPr>
                <w:sz w:val="20"/>
                <w:szCs w:val="20"/>
                <w:color w:val="auto"/>
              </w:rPr>
            </w:pPr>
          </w:p>
        </w:tc>
        <w:tc>
          <w:tcPr>
            <w:tcW w:w="31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SoftBank Group Corp.</w:t>
            </w:r>
            <w:r>
              <w:rPr>
                <w:rFonts w:ascii="Times New Roman" w:cs="Times New Roman" w:eastAsia="Times New Roman" w:hAnsi="Times New Roman"/>
                <w:sz w:val="23"/>
                <w:szCs w:val="23"/>
                <w:color w:val="auto"/>
                <w:vertAlign w:val="superscript"/>
              </w:rPr>
              <w:t>(1)</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922,733,999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88 %   </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47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 and Directors: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Masayoshi Son</w:t>
            </w:r>
            <w:r>
              <w:rPr>
                <w:rFonts w:ascii="Times New Roman" w:cs="Times New Roman" w:eastAsia="Times New Roman" w:hAnsi="Times New Roman"/>
                <w:sz w:val="23"/>
                <w:szCs w:val="23"/>
                <w:color w:val="auto"/>
                <w:vertAlign w:val="superscript"/>
              </w:rPr>
              <w:t>(1)</w:t>
            </w:r>
          </w:p>
        </w:tc>
        <w:tc>
          <w:tcPr>
            <w:tcW w:w="31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D. Fisher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A. Sine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Karen E. Dykstra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Michael Fadell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Rosemary Schooler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E. Jacobs, PhD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 Haas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Child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Kirsty Gill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Spencer Collins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Grisenthwaite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 Abbey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Senior Management and Directors as a group (13 individuals)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80" w:hanging="372"/>
        <w:spacing w:after="0" w:line="282" w:lineRule="auto"/>
        <w:tabs>
          <w:tab w:leader="none" w:pos="3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Represents beneficial ownership of less than 1% of the outstanding ordinary shares. Accordingly, pursuant to the Instructions to Item 6.E of Form 20-F, the individual’s beneficial ownership has been omitted.</w:t>
      </w:r>
    </w:p>
    <w:p>
      <w:pPr>
        <w:spacing w:after="0" w:line="54" w:lineRule="exact"/>
        <w:rPr>
          <w:sz w:val="20"/>
          <w:szCs w:val="20"/>
          <w:color w:val="auto"/>
        </w:rPr>
      </w:pPr>
    </w:p>
    <w:p>
      <w:pPr>
        <w:jc w:val="both"/>
        <w:ind w:left="380" w:hanging="372"/>
        <w:spacing w:after="0" w:line="258" w:lineRule="auto"/>
        <w:tabs>
          <w:tab w:leader="none" w:pos="37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Represents shares held of record by Kronos II LLC, an indirect wholly-owned subsidiary of SoftBank Group. 769,029,000 of our ordinary shares that are beneficially owned by SoftBank Group, representing a </w:t>
      </w:r>
      <w:r>
        <w:rPr>
          <w:rFonts w:ascii="Times New Roman" w:cs="Times New Roman" w:eastAsia="Times New Roman" w:hAnsi="Times New Roman"/>
          <w:sz w:val="18"/>
          <w:szCs w:val="18"/>
          <w:color w:val="000000"/>
        </w:rPr>
        <w:t>73.4%</w:t>
      </w:r>
      <w:r>
        <w:rPr>
          <w:rFonts w:ascii="Times New Roman" w:cs="Times New Roman" w:eastAsia="Times New Roman" w:hAnsi="Times New Roman"/>
          <w:sz w:val="18"/>
          <w:szCs w:val="18"/>
          <w:color w:val="231F20"/>
        </w:rPr>
        <w:t xml:space="preserve"> equity interest in us, were pledged as security under the SoftBank Group Facility. Masayoshi Son, who is a Director and the Chairman of our Board of Directors, is Representative Director, Corporate Officer, Chairman and CEO of SoftBank Group. Mr. Son disclaims beneficial ownership of these shares. The address for SoftBank Group is 1-7-1 Kaigan, Minato-ku, Tokyo 105-7537, Japan.</w:t>
      </w:r>
    </w:p>
    <w:p>
      <w:pPr>
        <w:spacing w:after="0" w:line="75" w:lineRule="exact"/>
        <w:rPr>
          <w:rFonts w:ascii="Times New Roman" w:cs="Times New Roman" w:eastAsia="Times New Roman" w:hAnsi="Times New Roman"/>
          <w:sz w:val="18"/>
          <w:szCs w:val="18"/>
          <w:color w:val="231F20"/>
        </w:rPr>
      </w:pPr>
    </w:p>
    <w:p>
      <w:pPr>
        <w:ind w:left="380" w:hanging="372"/>
        <w:spacing w:after="0" w:line="282" w:lineRule="auto"/>
        <w:tabs>
          <w:tab w:leader="none" w:pos="3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one ordinary share beneficially owned by SoftBank Vision Fund, a subsidiary of SoftBank Group. SoftBank Group may be deemed to have beneficial ownership of such ordinary share. SoftBank Group disclaims any such beneficial ownership.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Controlled Company</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We are currently controlled by SoftBank Group. As of May 15, 2024, SoftBank Group beneficially owns approximately </w:t>
      </w:r>
      <w:r>
        <w:rPr>
          <w:rFonts w:ascii="Times New Roman" w:cs="Times New Roman" w:eastAsia="Times New Roman" w:hAnsi="Times New Roman"/>
          <w:sz w:val="18"/>
          <w:szCs w:val="18"/>
          <w:color w:val="000000"/>
        </w:rPr>
        <w:t>88.1% of our total issued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outstanding share capital and thus a majority of the total voting power of our ordinary shares. See “</w:t>
      </w:r>
      <w:r>
        <w:rPr>
          <w:rFonts w:ascii="Times New Roman" w:cs="Times New Roman" w:eastAsia="Times New Roman" w:hAnsi="Times New Roman"/>
          <w:sz w:val="18"/>
          <w:szCs w:val="18"/>
          <w:i w:val="1"/>
          <w:iCs w:val="1"/>
          <w:color w:val="000000"/>
        </w:rPr>
        <w:t>“Item 3. Key Information—D. Risk Factors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Risks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Relating to Our Status as a Controlled Company and Foreign Private Issuer.”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certain subsidiaries of SoftBank Group have entered into a margin loan facility secured by our ordinary shares, which we refer to as the SoftBank Group Facility. The SoftBank Group Facility is initially secured by a pledge of 769,029,000 of our ordinary shares representing a 73.4% equity interest in us. In the case of non-payment at maturity or another event of default, the providers of the SoftBank Group Facility may, in addition to other remedies, exercise their rights to foreclose on and sell or cause the sale of our shares that may be pledged as collateral. The foreclosure on our shares that are initially pledged as collateral for the SoftBank Group Facility could cause a change of control of us. See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Relating to Our Status as a Controlled Company and Foreign Private Issuer—SoftBank Group has engaged, and may in the future engage, in financing transactions whereby our shares are pledged as security.”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3" w:name="page114"/>
    <w:bookmarkEnd w:id="113"/>
    <w:p>
      <w:pPr>
        <w:ind w:left="360" w:hanging="352"/>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7" w:lineRule="exact"/>
        <w:rPr>
          <w:sz w:val="20"/>
          <w:szCs w:val="20"/>
          <w:color w:val="auto"/>
        </w:rPr>
      </w:pPr>
    </w:p>
    <w:p>
      <w:pPr>
        <w:jc w:val="both"/>
        <w:ind w:firstLine="363"/>
        <w:spacing w:after="0" w:line="255" w:lineRule="auto"/>
        <w:rPr>
          <w:sz w:val="20"/>
          <w:szCs w:val="20"/>
          <w:color w:val="auto"/>
        </w:rPr>
      </w:pPr>
      <w:r>
        <w:rPr>
          <w:rFonts w:ascii="Times New Roman" w:cs="Times New Roman" w:eastAsia="Times New Roman" w:hAnsi="Times New Roman"/>
          <w:sz w:val="18"/>
          <w:szCs w:val="18"/>
          <w:color w:val="231F20"/>
        </w:rPr>
        <w:t xml:space="preserve">In addition to the Director and Senior Management remuneration and indemnification arrangements discussed in </w:t>
      </w:r>
      <w:r>
        <w:rPr>
          <w:rFonts w:ascii="Times New Roman" w:cs="Times New Roman" w:eastAsia="Times New Roman" w:hAnsi="Times New Roman"/>
          <w:sz w:val="18"/>
          <w:szCs w:val="18"/>
          <w:i w:val="1"/>
          <w:iCs w:val="1"/>
          <w:color w:val="000000"/>
        </w:rPr>
        <w:t>“Item 6. Directors, Senior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Management and Employees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B. Compensation,” </w:t>
      </w:r>
      <w:r>
        <w:rPr>
          <w:rFonts w:ascii="Times New Roman" w:cs="Times New Roman" w:eastAsia="Times New Roman" w:hAnsi="Times New Roman"/>
          <w:sz w:val="18"/>
          <w:szCs w:val="18"/>
          <w:color w:val="231F20"/>
        </w:rPr>
        <w:t>this section describes transactions or loans, since April 1, 2021, between us and (a) enterprises that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with SoftBank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Governance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IPO, we entered into the Shareholder Governance Agreement with SoftBank Group, which governs certain aspects of the relationship between us and SoftBank Group, including matters related to pre-emptive rights, rights related to the composition of our Board of Directors and its committees, registration rights, rights related to related party transactions, information and other rights, consultation rights and a consent right, among other matters, including during periods in which SoftBank Group beneficially owns less than a majority of our outstanding ordinary shares. The form of the Shareholder Governance Agreement is attached as an exhibit to this Annual Report.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and its controlled affiliates shall be entitled (but not obligated) to subscribe for a number of the securities we propose to allot or issue that will enable SoftBank Group and its controlled affiliates to maintain their proportional legal and economic interests in our share capital prior to such allotment or issuance.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Related to Our Board of Directors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Shareholder Governance Agreement, SoftBank Group will have the right to designate a certain number of candidates for election to our Board of Directors based on the level of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sectPr>
          <w:pgSz w:w="11900" w:h="16838" w:orient="portrait"/>
          <w:cols w:equalWidth="0" w:num="1">
            <w:col w:w="11240"/>
          </w:cols>
          <w:pgMar w:left="320" w:top="1035" w:right="33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SoftBank Group candidates</w:t>
            </w:r>
          </w:p>
        </w:tc>
      </w:t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 of our outstanding ordinary shares:</w:t>
            </w: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election to our Board of Directors:</w:t>
            </w:r>
          </w:p>
        </w:tc>
      </w:tr>
      <w:tr>
        <w:trPr>
          <w:trHeight w:val="27"/>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70%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70% and greater than 60%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60% and greater than 50%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50% and greater than 40%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40% and greater than 30%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30% and greater than 20%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20% and greater than 5%</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Number of SoftBank Group candidates that must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wp:posOffset>
            </wp:positionV>
            <wp:extent cx="20828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227" w:lineRule="exact"/>
        <w:rPr>
          <w:sz w:val="20"/>
          <w:szCs w:val="20"/>
          <w:color w:val="auto"/>
        </w:rPr>
      </w:pPr>
    </w:p>
    <w:p>
      <w:pPr>
        <w:sectPr>
          <w:pgSz w:w="11900" w:h="16838" w:orient="portrait"/>
          <w:cols w:equalWidth="0" w:num="2">
            <w:col w:w="7860" w:space="120"/>
            <w:col w:w="3260"/>
          </w:cols>
          <w:pgMar w:left="320" w:top="10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14" w:name="page115"/>
    <w:bookmarkEnd w:id="11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SoftBank Group’s rights to designate candidates for election to our Board of Directors are based on an eight-member board, including our CEO and, pursuant to the Shareholder Governance Agreement, will be modified ratably to reflect any change in the number of directors on our Board of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for so long as SoftBank Group and its controlled affiliates own more than 70% of our outstanding ordinary shares, SoftBank Group will have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Shareholder Governance Agreement also provides SoftBank Group with proportional rights to representation on the committees of our Board of Directors, subject to applicable restrictions.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Shareholder Governance Agreement, we will provide SoftBank Group with certain registration rights that will obligate us to register the resale of Registrable Securities owned by SoftBank Group after the completion of the IPO, provided that we will not be obligated to effect a registration, offer or sale when restricted from doing so under an applicable lock-up entered into in connection with a registered offering of our ordinary shares or securities convertible into or exchangeable for ordinary shares (including ADSs) (provided further that such restriction will not exceed 180 days after the date of pricing of the IPO or 60 days after any other public offering). At the request of SoftBank Group, we will use our commercially reasonable efforts to register the resale of Registrable Securities owned by SoftBank Group or certain of its affiliates after the closing of the IPO, or subsequently acquired, for public sale under the Securities Act on a registration statement on Form F-1, or a short-form registration statement on Form F-3 if we are then eligible to use such form to register the resale of Registrable Securities on SoftBank Group’s behalf. There are no limitations on the total number of times that SoftBank Group may request such registration, but SoftBank Group will not be permitted to request such registration more than three times in any rolling 12-month period.</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SoftBank Group or its relevant affiliates may require us to file and maintain the effectiveness of a short-form registration statement on Form F-3 after we are eligible to use that form to register the resale of Registrable Securities on SoftBank Group’s or the relevant affiliates’ behalf. In the event that SoftBank Group requests registration in connection with registered underwritten offerings, SoftBank Group will retain the right to designate the underwriters for such offerings.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also provide SoftBank Group with “piggyback” registration rights that will entitle SoftBank Group or its relevant affiliates to include its Registrable Securities in future registrations effected by us of our securities under the Securities Act. There is no limit on the number of these “piggyback” registrations that SoftBank Group may request. SoftBank Group’s “piggyback” rights will be subject to cutbacks on the number of Registrable Securities that SoftBank Group may include in registrations effected by us in connection with underwritten offerings, subject to the good faith determination by the managing underwriters for such offerings that the number of Registrable Securities to be offered by us and SoftBank Group exceeds the number of Registrable Securities that can reasonably be sold in the offering.</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agreed to cooperate in these registrations and certain other financing transactions. All expenses payable in connection with such registrations will be paid by us, except that SoftBank Group will pay all of its own internal administrative and similar costs, the fees and disbursements of its counsel and underwriting discounts and commissions applicable to the sale of its Registrable Securities.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Shareholder Governance Agreement will contain customary indemnification and contribution provisions by us for the benefit of SoftBank Group and, in limited situations, by SoftBank Group for the benefit of us with respect to the information provided by SoftBank Group for inclusion in any registration statement, prospectus or related document.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5" w:name="page116"/>
    <w:bookmarkEnd w:id="115"/>
    <w:p>
      <w:pPr>
        <w:ind w:left="340"/>
        <w:spacing w:after="0"/>
        <w:rPr>
          <w:sz w:val="20"/>
          <w:szCs w:val="20"/>
          <w:color w:val="auto"/>
        </w:rPr>
      </w:pPr>
      <w:r>
        <w:rPr>
          <w:rFonts w:ascii="Times New Roman" w:cs="Times New Roman" w:eastAsia="Times New Roman" w:hAnsi="Times New Roman"/>
          <w:sz w:val="18"/>
          <w:szCs w:val="18"/>
          <w:i w:val="1"/>
          <w:iCs w:val="1"/>
          <w:color w:val="auto"/>
        </w:rPr>
        <w:t>Rights Related to Related Party Transactions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related party transactions policy, material related party transactions must be reviewed and approved or ratified by the audit committee of our Board of Directors. The Shareholder Governance Agreement further provides, however, that, so long as SoftBank Group is considered a “related party” under our related party transactions policy, all transactions with SoftBank Group and its affiliates that would otherwise be subject to the related party transactions policy will be presented to the audit committee of our Board of Directors, and the following process will apply to transactions with SoftBank Group and its affiliates:</w:t>
      </w:r>
    </w:p>
    <w:p>
      <w:pPr>
        <w:spacing w:after="0" w:line="183" w:lineRule="exact"/>
        <w:rPr>
          <w:sz w:val="20"/>
          <w:szCs w:val="20"/>
          <w:color w:val="auto"/>
        </w:rPr>
      </w:pPr>
    </w:p>
    <w:p>
      <w:pPr>
        <w:jc w:val="both"/>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arrangements existing as of the date of the Shareholder Governance Agreement and disclosed in the IPO Prospectus will be exempt from the review and approval or ratification requirements of our related party transactions policy; provided that extensions and material amendments thereof will require review and/or approval or ratification to the same extent as other related party transactions;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of our Board of Directors determines that a particular transaction will be conducted in the ordinary course of our business upon terms generally available to third parties, such transaction will be exempt from the approval and ratification requirements of our related party transactions policy unless such transaction, or series of related transactions, has a value of over $20 million, in which case such transaction will be presented to the Board of Directors for review and approval or ratification; and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of our Board of Directors determines that a particular proposed transaction is to be conducted on an arm’s-length basis or upon terms generally available to third parties, such transaction will be exempt from the approval and ratification requirements of our related party transactions policy, provided that such transaction will be presented to our full Board of Directors for review and approval or ratification.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of our Board of Directors determines that a particular transaction does not meet the criteria in the preceding bullets, such transaction will require review and/or approval or ratification to the same extent as other related party transactions.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one or more directors on the audit committee of our Board of Directors do not qualify as independent, determinations required to be made by the audit committee in accordance with the foregoing will be made by those directors on the audit committee which qualify as independent.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Information and Other Rights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Shareholder Governance Agreement also provides, among other things, that, for so long as SoftBank Group consolidates us for the purposes of its consolidated financial statements or accounts for its investment in us under the equity method:</w:t>
      </w:r>
    </w:p>
    <w:p>
      <w:pPr>
        <w:spacing w:after="0" w:line="162" w:lineRule="exact"/>
        <w:rPr>
          <w:sz w:val="20"/>
          <w:szCs w:val="20"/>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we will in a timely manner provide SoftBank Group with information and data relating to our business and financial results so as to enable SoftBank Group and its controlled affiliates to satisfy their respective ongoing financial reporting, audit and other legal and regulatory requirements;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we will in a timely manner provide SoftBank Group with access to our auditors, personnel, data, information and systems, in each case in the same manner as we do immediately prior to the date of our listing on Nasdaq and on or prior to any reasonable deadline set by SoftBank Group for receipt of such information, data or access;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we will consult with SoftBank Group in a timely manner (i) prior to the disclosure and filing of our annual and quarterly earnings information and related periodic reports and (ii) prior to the disclosure of any information that may reasonably be considered material to SoftBank Group or in which SoftBank Group is named, in each case taking into account all of SoftBank Group’s reasonable comments or advice prior to the filing thereof;</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inform SoftBank Group promptly of any events or developments that might reasonably be expected to materially affect our financial results;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executive officers and employees will provide quarterly certifications regarding our disclosure controls and procedures and internal control over financial reporting, as reasonably requested by SoftBank Group in a timely manner.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16" w:name="page117"/>
    <w:bookmarkEnd w:id="116"/>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also agreed to provide SoftBank Group with such information as SoftBank Group may reasonably require to facilitate the compliance by SoftBank Group and its controlled affiliates with their respective global legal, regulatory and tax obligations in a timely manner.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SoftBank Group Consultation Rights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so long as we are a consolidated subsidiary of SoftBank Group, if we propose to (i) change our independent auditor to a firm outside of the professional services networks commonly referred to as the “Big Four accounting firms” or (ii) make any material changes in our accounting policies applicable to our financial statements prepared under International Financial Reporting Standards, the Shareholder Governance Agreement requires us to provide SoftBank Group with prior written notice of such proposed changes, consult with SoftBank Group in good faith regarding the rationale for such proposed changes, and use our reasonable endeavors to resolve any disagreement and obtain SoftBank Group’s consent to such proposed changes.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SoftBank Group has not responded within 30 calendar days of being notified of such proposed changes after good faith consultation by us, then we may adopt such changes upon a determination by our Board of Directors that such changes are in the best interests of us and our shareholders.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SoftBank Group Consent Right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statutory rights under English law, until the later of (i) the time at which SoftBank Group and its controlled affiliates cease to own at least a majority of our ordinary shares and (ii) the time at which we cease to be a consolidated subsidiary of SoftBank Group, the Shareholder Governance Agreement provides that SoftBank Group shall have a consent right with respect to any decision by us to adopt any incentive plan or share scheme or expansion of an existing plan or scheme (including our Omnibus Incentive Plan), in each case, unless the maximum number of ordinary shares over which rights may be issued does not exceed 5% of our issued share capital at the time of adoption or expansion of such plan or scheme. Such consent right does not apply to any incentive plan or share scheme in place at the time of completion of the IPO.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party to a consulting agreement with SoftBank Group pursuant to which we provide to SoftBank Group and its affiliates certain technical consultancy and advisory services relating to potential transactions, strategic partnerships, licensing agreements, commercial arrangements or other arrangements involving SoftBank Group or its affiliates. We are not entitled to any fees for the consulting and advisory services provided, other than the reimbursement of certain expenses incurred in connection with providing such services.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SoftBank Group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2022, certain subsidiaries of SoftBank Group entered into a term loan facility (the “Prior SoftBank Group Facility”) with certain lenders, which was amended and upsized in June 2022, pursuant to which a subsidiary of SoftBank Group borrowed $8.5 billion. A subsidiary of SoftBank Group pledged substantially all of our total issued and outstanding share capital, as security for the Prior SoftBank Group Facility.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Prior SoftBank Group Facility, in March 2022, we entered into a Springing Guarantee and Indemnity with J.P. Morgan SE, as facility agent, pursuant to which we agreed to, upon the occurrence of certain triggering events, provide a guarantee to the lenders for amounts borrowed under the Prior SoftBank Group Facility. No triggering events under the Springing Guarantee and Indemnity occurred, and we were not required to provide such guarantee. SoftBank Group repaid the term loan facility prior to the consummation of the IPO and our springing guarantee and indemnity was terminated in connection with such repayment.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19, 2023, certain subsidiaries of SoftBank Group entered into the SoftBank Group Facility, pursuant to which a subsidiary of SoftBank Group borrowed $8.5 billion either following, or substantially concurrently with, the closing of the IPO, at which time the Prior SoftBank Group Facility was repaid in full.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SoftBank Group Facility is secured by a pledge of 769,029,000 of our ordinary shares representing 73.4% equity interest in us as of </w:t>
      </w:r>
      <w:r>
        <w:rPr>
          <w:rFonts w:ascii="Times New Roman" w:cs="Times New Roman" w:eastAsia="Times New Roman" w:hAnsi="Times New Roman"/>
          <w:sz w:val="18"/>
          <w:szCs w:val="18"/>
          <w:color w:val="231F20"/>
        </w:rPr>
        <w:t>May 15, 2024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SoftBank Group Facility, we entered into certain customary undertakings for the benefit of the lenders to facilitate the pledge of the ordinary shares securing the SoftBank Group Facility and we have agreed to facilitate the foreclosure upon the pledge following an event of default thereunder.</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3. Key Information—D. Risk Factors—Risks Relating to Our Status as a Controlled Company and Foreign Private Issuer—SoftBank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Group’s interests may conflict with our own interests and those of holders of our ADSs” </w:t>
      </w:r>
      <w:r>
        <w:rPr>
          <w:rFonts w:ascii="Times New Roman" w:cs="Times New Roman" w:eastAsia="Times New Roman" w:hAnsi="Times New Roman"/>
          <w:sz w:val="18"/>
          <w:szCs w:val="18"/>
          <w:color w:val="auto"/>
        </w:rPr>
        <w:t>in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 with SoftBank Group</w:t>
      </w:r>
    </w:p>
    <w:p>
      <w:pPr>
        <w:spacing w:after="0" w:line="229" w:lineRule="exact"/>
        <w:rPr>
          <w:sz w:val="20"/>
          <w:szCs w:val="20"/>
          <w:color w:val="auto"/>
        </w:rPr>
      </w:pPr>
    </w:p>
    <w:p>
      <w:pPr>
        <w:jc w:val="both"/>
        <w:ind w:firstLine="363"/>
        <w:spacing w:after="0" w:line="261" w:lineRule="auto"/>
        <w:rPr>
          <w:sz w:val="20"/>
          <w:szCs w:val="20"/>
          <w:color w:val="auto"/>
        </w:rPr>
      </w:pPr>
      <w:r>
        <w:rPr>
          <w:rFonts w:ascii="Times New Roman" w:cs="Times New Roman" w:eastAsia="Times New Roman" w:hAnsi="Times New Roman"/>
          <w:sz w:val="18"/>
          <w:szCs w:val="18"/>
          <w:color w:val="231F20"/>
        </w:rPr>
        <w:t>Following a strategic decision in 2021 to place greater focus on our core technology licensing business, we decided to distribute or sell certain components of our IoT business to subsidiaries of SoftBank Group. In June 2021, we distributed all of the equity interests in Treasure Data to our shareholders, and in November 2021, we sold IoTP to SoftBank Group Capital Limited. Treasure Data’s and IoTP’s net assets upon distribution and sale were approximately $44 million and $12 million, respectively.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Prior to the distribution of Treasure Data, a member of SoftBank Group made a $50 million loan to Treasure Data. This loan accrued interest at a rate of 2.0% per annum. The loan balance, including accrued interest, was included in the distribution of Treasure Data to Arm Limited’s shareholders.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In June 2023, we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we and the subsidiary of SoftBank Vision Fund each invested $10 million in exchange for preference shares of Kigen. The preference shares are convertible into common shares of Kigen and are entitled to full dividend, distribution and voting rights. The preference shares have 1x non-participating liquidation preference. The preference shares are freely transferable other than to competitors of Kigen. Following the consummation of the subscription, we and the subsidiary of SoftBank Vision Fund owned approximately 12% and 76% of the fully diluted shares outstanding, respectively. Kigen is engaged in the business of physical sim, eSim and iSim authentication. We executed this investment due to the potential of Kigen’s product lines to complement our IoT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with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A. Sine</w:t>
      </w:r>
    </w:p>
    <w:p>
      <w:pPr>
        <w:spacing w:after="0" w:line="229" w:lineRule="exact"/>
        <w:rPr>
          <w:sz w:val="20"/>
          <w:szCs w:val="20"/>
          <w:color w:val="auto"/>
        </w:rPr>
      </w:pPr>
    </w:p>
    <w:p>
      <w:pPr>
        <w:jc w:val="both"/>
        <w:ind w:firstLine="363"/>
        <w:spacing w:after="0" w:line="282" w:lineRule="auto"/>
        <w:rPr>
          <w:sz w:val="20"/>
          <w:szCs w:val="20"/>
          <w:color w:val="auto"/>
        </w:rPr>
      </w:pPr>
      <w:r>
        <w:rPr>
          <w:rFonts w:ascii="Times New Roman" w:cs="Times New Roman" w:eastAsia="Times New Roman" w:hAnsi="Times New Roman"/>
          <w:sz w:val="18"/>
          <w:szCs w:val="18"/>
          <w:color w:val="231F20"/>
        </w:rPr>
        <w:t xml:space="preserve">Mr. Sine is a Co-Founder and Partner of The Raine Group LLC. In connection with the IPO, Raine Securities LLC, a subsidiary of The Raine Group LLC, performed certain initial public offering advisory services on our behalf. See </w:t>
      </w:r>
      <w:r>
        <w:rPr>
          <w:rFonts w:ascii="Times New Roman" w:cs="Times New Roman" w:eastAsia="Times New Roman" w:hAnsi="Times New Roman"/>
          <w:sz w:val="18"/>
          <w:szCs w:val="18"/>
          <w:i w:val="1"/>
          <w:iCs w:val="1"/>
          <w:color w:val="231F20"/>
        </w:rPr>
        <w:t>Note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21 - Related Party Transactions</w:t>
      </w:r>
      <w:r>
        <w:rPr>
          <w:rFonts w:ascii="Times New Roman" w:cs="Times New Roman" w:eastAsia="Times New Roman" w:hAnsi="Times New Roman"/>
          <w:sz w:val="18"/>
          <w:szCs w:val="18"/>
          <w:color w:val="231F20"/>
        </w:rPr>
        <w:t xml:space="preserve"> for further details.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Furthermore, Mr. Sine, The Raine Group LLC and its affiliated entities engage in transactions with SoftBank Group, SoftBank Vision Fund, and their respective management and affiliates. Certain of these transactions have involved SoftBank Group’s investment in us. Other such transactions include a broad range of advisory services performed on behalf of SoftBank Group and its affiliates. In addition, SoftBank Group retains an indirect minority ownership stake in The Raine Group LLC and is an investor in certain investment funds managed by Raine Capital LLC, a subsidiary of The Raine Group LLC.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231F20"/>
        </w:rPr>
        <w:t>Transactions with Associates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Arm China</w:t>
      </w:r>
    </w:p>
    <w:p>
      <w:pPr>
        <w:spacing w:after="0" w:line="229" w:lineRule="exact"/>
        <w:rPr>
          <w:sz w:val="20"/>
          <w:szCs w:val="20"/>
          <w:color w:val="auto"/>
        </w:rPr>
      </w:pPr>
    </w:p>
    <w:p>
      <w:pPr>
        <w:jc w:val="both"/>
        <w:ind w:firstLine="363"/>
        <w:spacing w:after="0" w:line="258" w:lineRule="auto"/>
        <w:rPr>
          <w:sz w:val="20"/>
          <w:szCs w:val="20"/>
          <w:color w:val="auto"/>
        </w:rPr>
      </w:pPr>
      <w:r>
        <w:rPr>
          <w:rFonts w:ascii="Times New Roman" w:cs="Times New Roman" w:eastAsia="Times New Roman" w:hAnsi="Times New Roman"/>
          <w:sz w:val="18"/>
          <w:szCs w:val="18"/>
          <w:color w:val="231F20"/>
        </w:rPr>
        <w:t>On March 28, 2022, we sold our entire equity interest in Arm China to another subsidiary of SoftBank Group, Acetone Limited, for consideration of approximately $930 million. The consideration was exchanged for a promissory note equal to 90% of the consideration and shares in Acetone Limited equal to the remaining 10% of the consideration. On the same date, the promissory note receivable was distributed to our shareholders. Following the distribution and in satisfaction of the balance of the consideration left outstanding, Acetone Limited issued new shares to Arm Limited such that the obligation of Acetone Limited in respect of the payment of the consideration left outstanding was satisfied fully and extinguished.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As of the date of this </w:t>
      </w:r>
      <w:r>
        <w:rPr>
          <w:rFonts w:ascii="Times New Roman" w:cs="Times New Roman" w:eastAsia="Times New Roman" w:hAnsi="Times New Roman"/>
          <w:sz w:val="18"/>
          <w:szCs w:val="18"/>
          <w:color w:val="000000"/>
        </w:rPr>
        <w:t>Annual Report</w:t>
      </w:r>
      <w:r>
        <w:rPr>
          <w:rFonts w:ascii="Times New Roman" w:cs="Times New Roman" w:eastAsia="Times New Roman" w:hAnsi="Times New Roman"/>
          <w:sz w:val="18"/>
          <w:szCs w:val="18"/>
          <w:color w:val="231F20"/>
        </w:rPr>
        <w:t>,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We are party to the IPLA with Arm China, under which Arm China licenses certain of our IP from us that Arm China in turn sublicenses to its PRC customers. Prior to the entry into this arrangement, Arm China’s results were consolidated in our financial statements; however, as a result of the transaction described above, Arm China’s results will no longer be consolidated in our financial statements. Under the IPLA with Arm China, Arm China’s payments due to us are determined based on the financial information that Arm China provides to 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fiscal years ended March 31, 2024, 2023 and 2022</w:t>
      </w:r>
      <w:r>
        <w:rPr>
          <w:rFonts w:ascii="Times New Roman" w:cs="Times New Roman" w:eastAsia="Times New Roman" w:hAnsi="Times New Roman"/>
          <w:sz w:val="18"/>
          <w:szCs w:val="18"/>
          <w:color w:val="231F20"/>
        </w:rPr>
        <w:t xml:space="preserve">, revenues attributable to our relationship with Arm China were approximately </w:t>
      </w:r>
      <w:r>
        <w:rPr>
          <w:rFonts w:ascii="Times New Roman" w:cs="Times New Roman" w:eastAsia="Times New Roman" w:hAnsi="Times New Roman"/>
          <w:sz w:val="18"/>
          <w:szCs w:val="18"/>
          <w:color w:val="000000"/>
        </w:rPr>
        <w:t>21%, 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18% </w:t>
      </w:r>
      <w:r>
        <w:rPr>
          <w:rFonts w:ascii="Times New Roman" w:cs="Times New Roman" w:eastAsia="Times New Roman" w:hAnsi="Times New Roman"/>
          <w:sz w:val="18"/>
          <w:szCs w:val="18"/>
          <w:color w:val="231F20"/>
        </w:rPr>
        <w:t>of our total revenue,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In addition, under the IPLA with Arm China,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See </w:t>
      </w:r>
      <w:r>
        <w:rPr>
          <w:rFonts w:ascii="Times New Roman" w:cs="Times New Roman" w:eastAsia="Times New Roman" w:hAnsi="Times New Roman"/>
          <w:sz w:val="18"/>
          <w:szCs w:val="18"/>
          <w:i w:val="1"/>
          <w:iCs w:val="1"/>
          <w:color w:val="231F20"/>
        </w:rPr>
        <w:t>“Item 3. Key Information—D. Risk Factors—Risks Relating to Our Business and Industry—We depend on our commercial relationship with Arm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China to access the PRC market. If that commercial relationship no longer existed or deteriorates, our ability to compete in the PRC market could be materially and adversely affected”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i w:val="1"/>
          <w:iCs w:val="1"/>
          <w:color w:val="231F20"/>
        </w:rPr>
        <w:t xml:space="preserve"> “Item 3. Key Information—D. Risk Factors—Risks Relating to Our Business and Industry—Neither we nor SoftBank Group control the operations of Arm China, which operates independently of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Transactions</w:t>
      </w:r>
    </w:p>
    <w:p>
      <w:pPr>
        <w:spacing w:after="0" w:line="229" w:lineRule="exact"/>
        <w:rPr>
          <w:sz w:val="20"/>
          <w:szCs w:val="20"/>
          <w:color w:val="auto"/>
        </w:rPr>
      </w:pPr>
    </w:p>
    <w:p>
      <w:pPr>
        <w:jc w:val="both"/>
        <w:ind w:firstLine="363"/>
        <w:spacing w:after="0" w:line="282" w:lineRule="auto"/>
        <w:rPr>
          <w:sz w:val="20"/>
          <w:szCs w:val="20"/>
          <w:color w:val="auto"/>
        </w:rPr>
      </w:pPr>
      <w:r>
        <w:rPr>
          <w:rFonts w:ascii="Times New Roman" w:cs="Times New Roman" w:eastAsia="Times New Roman" w:hAnsi="Times New Roman"/>
          <w:sz w:val="18"/>
          <w:szCs w:val="18"/>
          <w:color w:val="231F20"/>
        </w:rPr>
        <w:t>In the ordinary course, Arm entities enter into transactions with counterparties affiliated with the Company’s indirect shareholders on an arms’ length basis, including SoftBank Corp. and its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Related Party Transaction Policy</w:t>
      </w:r>
    </w:p>
    <w:p>
      <w:pPr>
        <w:spacing w:after="0" w:line="229" w:lineRule="exact"/>
        <w:rPr>
          <w:sz w:val="20"/>
          <w:szCs w:val="20"/>
          <w:color w:val="auto"/>
        </w:rPr>
      </w:pPr>
    </w:p>
    <w:p>
      <w:pPr>
        <w:jc w:val="both"/>
        <w:ind w:firstLine="363"/>
        <w:spacing w:after="0" w:line="258" w:lineRule="auto"/>
        <w:rPr>
          <w:sz w:val="20"/>
          <w:szCs w:val="20"/>
          <w:color w:val="auto"/>
        </w:rPr>
      </w:pPr>
      <w:r>
        <w:rPr>
          <w:rFonts w:ascii="Times New Roman" w:cs="Times New Roman" w:eastAsia="Times New Roman" w:hAnsi="Times New Roman"/>
          <w:sz w:val="18"/>
          <w:szCs w:val="18"/>
          <w:color w:val="231F20"/>
        </w:rPr>
        <w:t>Prior to the completion of the IPO in September 2023, we adopted a related party transaction policy. Our related party transaction policy will set forth our procedures for the identification, review, consideration and approval or ratification of related party transactions. For purposes of our policy only, a related party transaction is any transaction, arrangement or relationship or series of similar transactions, arrangements or relationships (including any indebtedness or guarantee of indebtedness) between us or any of our subsidiaries and any related party. Transactions involving compensation for services provided to us as an employee or director are not covered by this policy.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Subject to the provisions of the Shareholder Governance Agreement applicable to transactions with SoftBank Group and its affiliates described below, 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the related party transaction must be approved or ratified by the audit committee of our Board of Directors. In reviewing any such transaction, our audit committee will consider, among other things, the material facts, the interests, direct and indirect, of the related parties, the benefits to us of the transaction and whether the transaction is on terms that are comparable to the terms available to or from, as the case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9" w:name="page120"/>
    <w:bookmarkEnd w:id="119"/>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may be, an unrelated third party or to or from employees generally. With respect to transactions with SoftBank Group and its affiliates, for so long as the corresponding provisions in the Shareholder Governance Agreement remain in effect, the audit committee will not be required to approve (i) transactions or arrangements existing as of the date of the Shareholder Governance Agreement and disclosed in </w:t>
      </w:r>
      <w:r>
        <w:rPr>
          <w:rFonts w:ascii="Times New Roman" w:cs="Times New Roman" w:eastAsia="Times New Roman" w:hAnsi="Times New Roman"/>
          <w:sz w:val="18"/>
          <w:szCs w:val="18"/>
          <w:color w:val="000000"/>
        </w:rPr>
        <w:t>the IPO Prospectus</w:t>
      </w:r>
      <w:r>
        <w:rPr>
          <w:rFonts w:ascii="Times New Roman" w:cs="Times New Roman" w:eastAsia="Times New Roman" w:hAnsi="Times New Roman"/>
          <w:sz w:val="18"/>
          <w:szCs w:val="18"/>
          <w:color w:val="231F20"/>
        </w:rPr>
        <w:t>; provided that extensions and material amendments thereof will require review and/or approval or ratification to the same extent as other related party transactions; (ii) transactions that the audit committee determines will be conducted in the ordinary course of our business and upon terms generally available to third parties unless the applicable transaction or series of related transactions has a value over $20 million, in which case our Board of Directors must review and approve or ratify the transaction; and (iii) transactions that the audit committee determines are at arm’s length or upon terms generally available to third parties, in which case our Board of Directors must review and approve or ratify the transaction. Transactions not meeting the criteria of clauses (i), (ii) or (iii) above will require review and/or approval or ratification to the same extent as other related party transactions. Under the policy, if the audit committee is not fully independent, determinations regarding transactions with SoftBank Group and its affiliates will be made by only the independent directors of the audit committee. See “—Transactions with SoftBank Group—Shareholder Governance Agreement—Rights Related to Related Party Transactions.” Under the policy, we will collect information that we deem reasonably necessary from each director, executive officer and, to the extent feasible, significant shareholder to enable us to identify any existing or potential related party transactions and to effectuate the terms of the policy. In addition, under our Code of Conduct, our employees and directors have an affirmative responsibility to disclose any material transaction or relationship that may give rise to a conflict of interest.</w:t>
      </w:r>
    </w:p>
    <w:p>
      <w:pPr>
        <w:spacing w:after="0" w:line="192"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0" w:name="page121"/>
    <w:bookmarkEnd w:id="120"/>
    <w:p>
      <w:pPr>
        <w:spacing w:after="0" w:line="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In addition,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We are currently involved in pending litigation, including, but not limited to, litigation proceedings with Qualcomm and Nuvia.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Relating to Our Business and Industry—We are currently involved in pending litigation.</w:t>
      </w:r>
      <w:r>
        <w:rPr>
          <w:rFonts w:ascii="Times New Roman" w:cs="Times New Roman" w:eastAsia="Times New Roman" w:hAnsi="Times New Roman"/>
          <w:sz w:val="18"/>
          <w:szCs w:val="18"/>
          <w:color w:val="auto"/>
        </w:rPr>
        <w:t>” In addition, our products are involved in pending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we are not a party. We cannot provide you any assurances regarding how any such litigation will be resolved, what benefits we will obtain or what losses we might incur. The results of any current or future litigation cannot be predicted with certainty, and regardless of the outcome, litigation can have an adverse impact on us because of defense and settlement costs, diversion of management resources and other factors. See “</w:t>
      </w:r>
      <w:r>
        <w:rPr>
          <w:rFonts w:ascii="Times New Roman" w:cs="Times New Roman" w:eastAsia="Times New Roman" w:hAnsi="Times New Roman"/>
          <w:sz w:val="18"/>
          <w:szCs w:val="18"/>
          <w:i w:val="1"/>
          <w:iCs w:val="1"/>
          <w:color w:val="auto"/>
        </w:rPr>
        <w:t>Risk Factors—Risks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Business and Industry—We may be sued by third parties for alleged infringement, misappropriation or other violation of their </w:t>
      </w:r>
      <w:r>
        <w:rPr>
          <w:rFonts w:ascii="Times New Roman" w:cs="Times New Roman" w:eastAsia="Times New Roman" w:hAnsi="Times New Roman"/>
          <w:sz w:val="18"/>
          <w:szCs w:val="18"/>
          <w:i w:val="1"/>
          <w:iCs w:val="1"/>
          <w:color w:val="231F20"/>
        </w:rPr>
        <w:t>IP</w:t>
      </w:r>
      <w:r>
        <w:rPr>
          <w:rFonts w:ascii="Times New Roman" w:cs="Times New Roman" w:eastAsia="Times New Roman" w:hAnsi="Times New Roman"/>
          <w:sz w:val="18"/>
          <w:szCs w:val="18"/>
          <w:i w:val="1"/>
          <w:iCs w:val="1"/>
          <w:color w:val="auto"/>
        </w:rPr>
        <w:t xml:space="preserve"> rights or proprietary rights and our defense against these claims can be costly.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retain any earnings for use in our business and do not currently intend to pay dividends on our ordinary shares or ADSs. The declaration and payment of any future dividends will be at the discretion of our Board of Directors and will depend upon our results of operations, cash requirements, financial condition, contractual restrictions, any future debt agreements or applicable laws and other factors that our Board of Directors may deem relevant. See “</w:t>
      </w:r>
      <w:r>
        <w:rPr>
          <w:rFonts w:ascii="Times New Roman" w:cs="Times New Roman" w:eastAsia="Times New Roman" w:hAnsi="Times New Roman"/>
          <w:sz w:val="18"/>
          <w:szCs w:val="18"/>
          <w:i w:val="1"/>
          <w:iCs w:val="1"/>
          <w:color w:val="auto"/>
        </w:rPr>
        <w:t>Item 3. Key Information—D. Risk Factors—Risks Relating to Ownership of Our Securities—Because we do not anticipate paying any cash dividends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our ordinary shares in the foreseeable future, capital appreciation, if any, will be your sole source of gains and you may never receive a return on your investment.”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laws of England and Wales, among other things, we may only pay dividends if we have sufficient distributable reserves (as determined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32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231F20"/>
              </w:rPr>
              <w:t>INDEX TO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0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3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(Firm ID: 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Income Statements for the fiscal years ended March 31, 2024, 2023 and 2022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March 31, 2024, 2023 and 2022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March 31,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fiscal years ended March 31, 2024, 2023 and 2022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March 31, 2024, 2023 and 2022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ind w:left="2540"/>
        <w:spacing w:after="0"/>
        <w:rPr>
          <w:sz w:val="20"/>
          <w:szCs w:val="20"/>
          <w:color w:val="auto"/>
        </w:rPr>
      </w:pPr>
      <w:r>
        <w:rPr>
          <w:rFonts w:ascii="Times New Roman" w:cs="Times New Roman" w:eastAsia="Times New Roman" w:hAnsi="Times New Roman"/>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Arm Holdings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Arm Holdings plc and subsidiaries (the “Company”) as of March 31, 2024 and 2023, the related consolidated statements of income, comprehensive income, shareholders’ equity, and cash flows, for each of the three years in the period ended March 31, 2024, and the related notes (collectively referred to as the “financial statements”). In our opinion, the financial statements present fairly, in all material respects, the financial position of the Company as of March 31, 2024 and 2023, and the results of its operations and its cash flows for each of the three years in the period ended March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Material Long-Term Revenue Arrangements - Refer to Notes 1 and 4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routinely enters into material long-term revenue arrangements that involve multiple performance obligations consisting of products and services such as intellectual property licenses, early access rights, software licenses, support, training, professional and design services, and non-standard performance obligations that may be contract or customer specific. Determining the appropriate revenue recognition for these material long-term revenue arrangements involves significant judgments made by management, including the identification of performance obligations and the portion of the transaction price that should be allocated to those performance obligations, both of which impact the amount and 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2" w:name="page123"/>
    <w:bookmarkEnd w:id="122"/>
    <w:p>
      <w:pPr>
        <w:jc w:val="both"/>
        <w:spacing w:after="0" w:line="255" w:lineRule="auto"/>
        <w:rPr>
          <w:sz w:val="20"/>
          <w:szCs w:val="20"/>
          <w:color w:val="auto"/>
        </w:rPr>
      </w:pPr>
      <w:r>
        <w:rPr>
          <w:rFonts w:ascii="Times New Roman" w:cs="Times New Roman" w:eastAsia="Times New Roman" w:hAnsi="Times New Roman"/>
          <w:sz w:val="18"/>
          <w:szCs w:val="18"/>
          <w:color w:val="auto"/>
        </w:rPr>
        <w:t>Specifically, judgments were required when identifying the performance obligations in a given contract. In material long-term contracts, this is due to the inclusion of complex terms and conditions that may entitle the customer to non-standard products and services, as well as products and services that may be available in future periods or are otherwise implied based on forward looking and historical information. Judgments were likewise required in determining the standalone selling price of certain performance obligations and allocating the transaction price thereto. This is due to a lack of observable standalone selling prices for the Company’s products and services as well as the inclusion of non-standard offerings for which the standalone selling price must be estimated. Accordingly, performing audit procedures related to material long-term revenue contracts required a high degree of auditor judgment and an increased extent of effort, including the need to involve professionals in our firm having expertise in 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evaluation regarding identification of the performance obligation and the allocation of the transaction price included the following, among others: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material long-term revenue contracts with customers, we:</w:t>
      </w:r>
    </w:p>
    <w:p>
      <w:pPr>
        <w:spacing w:after="0" w:line="225"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contract, including master agreements, amendments, purchase and sales order agreements, and related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Consulted with revenue recognition specialist on complex technical accounting matters.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and obtained responses to confirmation requests regarding the completeness of contract terms directly from the Company’s customers. If a response was not received, we performed alternative procedures including obtaining sales certifications to ensure no additional agreements existed.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identification of performance obligations by performing the following:</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products and services identified in the contract to the performance obligations identified by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the Company’s products and services, including product roadmaps and other marketing materials.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purchase options, obtaining and evaluating management’s material right analysis.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needed, inquiring of the Company's operational personnel to understand the nature of the contract, its business purpose, and identified performance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allocation of the transaction price to performance obligations by performing the following:</w:t>
      </w:r>
    </w:p>
    <w:p>
      <w:pPr>
        <w:spacing w:after="0" w:line="11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reasonableness of the Company’s methodologies and inputs used to establish estimated standalone selling prices by obtaining an understanding of the nature of the products and services and testing the underlying data.</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 determined by management to the transaction price in the customer contracts.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Reperformed the allocation of the transaction price to each performance obligation to test the accuracy of management’s allocation of transaction price to performance obligations by:</w:t>
      </w:r>
    </w:p>
    <w:p>
      <w:pPr>
        <w:spacing w:after="0" w:line="5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Tracing and agreeing observable standalone selling prices to the supporting analyses, and</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Recalculating the allocation using a combination of methods when the residual approach is used.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amounts)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Disposal, restructuring and other operating expenses, net</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 (Note 5):</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from discontinued operations</w:t>
            </w:r>
          </w:p>
        </w:tc>
        <w:tc>
          <w:tcPr>
            <w:tcW w:w="3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ordinary shareholders – basic</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54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ordinary shareholders – diluted</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52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1,027,443,122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1,025,234,000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1,025,234,000</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1,044,497,032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1,027,505,008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1,025,234,000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ectPr>
          <w:pgSz w:w="11900" w:h="16838" w:orient="portrait"/>
          <w:cols w:equalWidth="0" w:num="1">
            <w:col w:w="10980"/>
          </w:cols>
          <w:pgMar w:left="460" w:top="36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360" w:right="45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vMerge w:val="continue"/>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change of the effective portion of designated cash flow hedges</w:t>
            </w:r>
          </w:p>
        </w:tc>
        <w:tc>
          <w:tcPr>
            <w:tcW w:w="1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vMerge w:val="continue"/>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and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(including receivables from related parties of $182 and $402 as of March 31,</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(including contract assets from related parties of $22 and $9 as of March 31, 2024 and</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(including investments held at fair value of $573 and $592 as of March 31, 2024 and</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contract assets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16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 and share-based compensation</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(including contract liabilities from related parties of $107 and $135 as of March 31,</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(including payables to related parties of $7 and $17 as of March 31, 2024 and</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accrued compensation and share-based compensation</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contract liabilities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1" w:right="339" w:bottom="4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 w:right="339" w:bottom="434"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and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$0.001 par value; 1,088,334,144 shares authorized and 1,040,330,497 shares issued and</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2024; and 1,025,234,000 shares authorized, issued and outstanding as of</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16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millions,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1,025,234,000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4,050</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ordinary shareholders related</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Treasure Data and Arm China</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1,025,234,000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3,548</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fair value of the effective</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 of designated cash flow hedges,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1,025,234,000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4,051</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fair value of the effective</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portion of designated cash flow hedges,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shares from share-based</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arrangements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17,861,916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on vested shares from</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payment arrangements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(2,765,419)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RSU awards previously</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liability-classified </w:t>
            </w:r>
            <w:r>
              <w:rPr>
                <w:rFonts w:ascii="Times New Roman" w:cs="Times New Roman" w:eastAsia="Times New Roman" w:hAnsi="Times New Roman"/>
                <w:sz w:val="23"/>
                <w:szCs w:val="23"/>
                <w:color w:val="auto"/>
                <w:vertAlign w:val="superscript"/>
              </w:rPr>
              <w:t>(1)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majority ordinary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related to Pelion IOT Limited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1,040,330,497</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line="229" w:lineRule="auto"/>
        <w:tabs>
          <w:tab w:leader="none" w:pos="406"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$212 million of share-based compensation cost recognized in the fiscal year ended March 31, 2024 for RSU awards previously liability-classified.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00"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2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for) operating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5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losses on long-lived assets and loans receivable</w:t>
            </w:r>
          </w:p>
        </w:tc>
        <w:tc>
          <w:tcPr>
            <w:tcW w:w="90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expense</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receivable, net (including receivables from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 assets, net (including contract assets from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compensation and benefits and share-based compensation</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 liabilities (including contract liabilities from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liabilities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liabilities (including payables to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for) operating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for) investing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4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equity investments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 net, including investments in convertible loans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for) investing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for) financing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4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transfers associated with distribution and sale of Treasure Data and IoTP,</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9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intangible asset obligations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debt borrowing</w:t>
            </w:r>
          </w:p>
        </w:tc>
        <w:tc>
          <w:tcPr>
            <w:tcW w:w="90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Payment of withholding tax on vested shares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for) financing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60" w:type="dxa"/>
            <w:vAlign w:val="bottom"/>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6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60" w:type="dxa"/>
            <w:vAlign w:val="bottom"/>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81" w:right="51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1" w:right="519" w:bottom="1122"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 income taxes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refunds from income taxes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8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operating, investing and financing activities:</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distributions associated with Arm China and Treasure Data</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property and equipment</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intangible assets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operating lease right-of-use assets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of operating lease liabilities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equity investments from conversion of certain receivables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distributions to shareholders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withholding tax on vested shares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reclassification of share-based compensation costs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1"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Description of Business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Arm Holdings plc and its wholly owned subsidiaries (the “Company” and also referred to as “we,” “our” or “us”) </w:t>
      </w:r>
      <w:r>
        <w:rPr>
          <w:rFonts w:ascii="Times New Roman" w:cs="Times New Roman" w:eastAsia="Times New Roman" w:hAnsi="Times New Roman"/>
          <w:sz w:val="18"/>
          <w:szCs w:val="18"/>
          <w:color w:val="231F20"/>
        </w:rPr>
        <w:t>are a global leader in the semiconductor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industry. The Company’s principal operations are the licensing, marketing, research and development of microprocessors, systems intellectual property (“IP”), graphics processing units, physical IP and associated systems IP, software, tools and other related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Reorganization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In September 2023, the Company completed a board approved corporate reorganization which involved (1) </w:t>
      </w:r>
      <w:r>
        <w:rPr>
          <w:rFonts w:ascii="Times New Roman" w:cs="Times New Roman" w:eastAsia="Times New Roman" w:hAnsi="Times New Roman"/>
          <w:sz w:val="18"/>
          <w:szCs w:val="18"/>
          <w:color w:val="000000"/>
        </w:rPr>
        <w:t>the shareholders of Arm Limited exchanging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each of the ordinary shares held by them in Arm Limited for newly issued ordinary shares of Arm Holdings Limited; and (2) the re-registration of Arm Holdings Limited as a public limited company under the laws of England and Wales at which time its name was changed to Arm Holdings plc. This </w:t>
      </w:r>
      <w:r>
        <w:rPr>
          <w:rFonts w:ascii="Times New Roman" w:cs="Times New Roman" w:eastAsia="Times New Roman" w:hAnsi="Times New Roman"/>
          <w:sz w:val="18"/>
          <w:szCs w:val="18"/>
          <w:color w:val="231F20"/>
        </w:rPr>
        <w:t>corporate reorganization was solely for the purpose of reorganizing the Company’s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Initial Public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registration statement on Form F-1 relating to the Company’s initial public offering (“IPO”) was declared effective on September 13, 2023 and the Company’s American depository shares (“ADSs”), each representing one ordinary share of the Company, began trading on the Nasdaq Global Select Market under the ticker symbol “ARM” on September 14, 2023. On September 18, 2023, the Company completed the closing of its IPO. The Company’s controlling shareholder sold an aggregate of 102,500,000 ADSs in the IPO at a price of $51 per ADS, including the underwriters’ full exercise of their option to purchase up to an additional 7,000,000 ADSs to cover over-allotments. The Company did not receive any proceeds from the sale of the ADSs in the IPO.</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Upon completion of the IPO, the Company recognized incremental and accelerated share-based compensation expense for which service-based vesting conditions were satisfied or partially satisfied as of September 13, 2023. See </w:t>
      </w:r>
      <w:r>
        <w:rPr>
          <w:rFonts w:ascii="Times New Roman" w:cs="Times New Roman" w:eastAsia="Times New Roman" w:hAnsi="Times New Roman"/>
          <w:sz w:val="18"/>
          <w:szCs w:val="18"/>
          <w:i w:val="1"/>
          <w:iCs w:val="1"/>
          <w:color w:val="auto"/>
        </w:rPr>
        <w:t>Note 16 - Share-based Compensation</w:t>
      </w:r>
      <w:r>
        <w:rPr>
          <w:rFonts w:ascii="Times New Roman" w:cs="Times New Roman" w:eastAsia="Times New Roman" w:hAnsi="Times New Roman"/>
          <w:sz w:val="18"/>
          <w:szCs w:val="18"/>
          <w:color w:val="auto"/>
        </w:rPr>
        <w:t xml:space="preserve">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and pursuant to the rules and regulations of the Securities and Exchange Commission (“SEC”). The Company’s fiscal year ends on March 31st.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include the accounts of the Company, its wholly owned subsidiaries and the Arm Employee Benefit Trust (the “EBT”). All intercompany balances and transactions have been eliminated in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accompanying consolidated financial statements are presented in U.S. dollar (“USD”), which is the Company’s functional and reporting currency. For most of the Company’s international operations, the local currency has been determined to be the functional currency of the respective entity.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For transactions entered into in a currency other than its functional currency, monetary assets and liabilities are remeasured into the functional currency at end-of-period exchange rates. Non-monetary assets and liabilities, along with equity are remeasured at historical exchange rates. Income and expenses are remeasured at exchange rates in effect during each period, except for those expenses related to non-monetary balance sheet amounts, which are remeasured at historical exchange rates. Gains or losses from foreign currency remeasurement are included in other non-operating income (loss), net in the Consolidated Income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translates functional currency assets and liabilities to their USD equivalents at exchange rates in effect as of the balance sheet date and income and expense amounts at average exchange rates for the period. The USD effects that arise from changing translation rates are recorded in foreign currency translation adjustments on the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Credit risk is the risk of an unexpected loss if a customer or third-party to a financial instrument fails to meet its contractual obligations. Financial instruments that potentially subject the Company to concentrations of credit risk consist principally of cash and cash equivalents, bank deposits, short-term investments, derivative financial instruments and accounts receivable. The Company’s maximum exposure to credit risk is limited to the carrying amount of these assets. The credit risk on liquid funds and derivative financial instruments is limited because the counterparties are banks with high credit ratings assigned by international credit rating agencies. The Company further manages its credit risk on liquid funds and derivative financial instruments through diversification of investment type and credit exposures. For accounts receivable, the credit risk is managed through the use of mitigating controls, including the use of credit checks and credit limits on customers. For financial assets (other than accounts receivable), the Company holds positions with an approved list of investment-grade rated counterparties and monitors the exposures and counterparty credit risk on a regular basis. The Company establishes reserves for potential credit losses and such losses have been within Management’s expectations. Credit losses are monitored on a regular basis and have not been material in any year presented.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Cash and cash equivalents include cash on hand, short-term deposits and money market funds with original maturities of three months or less that are readily convertible into known amounts of cash and are subject to insignificant risk of changes in value. Cash and cash equivalents are stated at cost, which approximates fair value because the short-term maturity of those instruments.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Short-term investments represent term deposits with banks with a maturity between three and 12 months. These investments are classified as held-to-maturity as the Company has the intent and ability to hold the investments to maturity. These investments are recorded at amortized cost, net of expected credit losses. Amortization of premiums or accretion of discounts are included in interest income, net in the Consolidated Income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The Company regularly invests in equity securities of public and private companies to promote business and strategic objectives. Equity investments are measured and recorded as follows:</w:t>
      </w:r>
    </w:p>
    <w:p>
      <w:pPr>
        <w:spacing w:after="0" w:line="162" w:lineRule="exact"/>
        <w:rPr>
          <w:sz w:val="20"/>
          <w:szCs w:val="20"/>
          <w:color w:val="auto"/>
        </w:rPr>
      </w:pPr>
    </w:p>
    <w:p>
      <w:pPr>
        <w:jc w:val="both"/>
        <w:ind w:left="660" w:hanging="328"/>
        <w:spacing w:after="0" w:line="261"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Non-marketable equity securities are equity securities without readily determinable fair values and for which the Company does not have the ability to exercise significant influence. Non-marketable equity securities are recorded on the income statement either at fair value on a recurring basis with changes in fair value, whether realized or unrealized; or by election, measured and recorded using a measurement alternative that measures the securities at cost minus impairment, if any, plus or minus changes resulting from qualifying observable price changes.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method investments are equity securities in investees in which the Company does not control but has the ability to exercise significant influence. Investments in limited partnerships or certain limited liability companies that maintain a specific ownership account for each investor are also accounted for using the equity method when the Company has more than virtually no influence (i.e., at least 3% to 5% ownership). The Company has elected to account for certain equity method investments under the fair value option. These investments are recorded at fair value with changes in fair value recorded on the income statement. Where the Company has not elected the fair value option, equity method investments are recorded at cost minus impairment, if any, plus or minus the Company’s share of the equity method investees’ income or loss recorded on the income statement.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non-marketable equity securities and equity method investments, the Company has elected to apply the net asset value (“NAV”) practical expedient, where NAV is the estimated fair value of the investments. For these securities estimated fair values are determined based on the indicated market values of the underlying assets or investment portfolios. Income statement activity for all equity investments is recorded in income from equity investments, net on the Consolidated Income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values of non-marketable equity securities under the measurement alternative are adjusted for qualifying observable price changes resulting from the issuance of similar or identical securities in an orderly transaction by the same issuer. Determining whether an observed transaction is similar to a security within the Company’s portfolio requires judgment based on the rights and preferences of the securities. Recording upward and downward adjustments to the carrying values of equity securities as a result of observable price changes requires quantitative assessments of the fair values of the Company’s equity securities using various valuation methodologies and involves the use of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Non-marketable equity securities under the measurement alternative and equity method investments not measured under the fair value option (collectively referred to as “non-marketable equity securities”) are also subject to periodic impairment analysis. The quarterly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the Company prepares quantitative assessments of the fair value of the non-marketable equity securities using both the market and income approaches, which require judgment and the use of estimates, including discount rates, investee revenue and costs, and comparable market data of private and public companies, among others.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Non-marketable equity securities under the measurement alternative are tested for impairment using a qualitative model similar to the model used to test goodwill and other long-lived assets for impairment. Upon determining an impairment may exist, the security’s fair value is calculated and compared to its carrying value and an impairment is recognized immediately if the carrying value exceeds fair value.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the Company’s ability and intent to hold the investment for a sufficient period of time to allow for recovery.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receivable consist of term loans to a related party and other entities. The term loans are recorded at amortized cost, net of allowances for loan losses. The Company maintains an allowance for current expected credit losses to reserve for potentially uncollectible loans receivable. The Company measures interest income for all loans receivable using the interest method, which is based on the effective yield of the loans rather than the stated coupon rate. The Company classifies loans receivable in other non-currents assets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Convertible loans receivable consist of convertible loans to certain entities. The Company has elected to apply the fair value option to account for such convertible loans receivable. Under the fair value option, such convertible loans receivable are measured initially and subsequently at fair value with changes in fair value recorded in other non-operating income (loss), net in the Consolidated Income Statements. Convertible loans receivable are included in other non-current assets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either upon initial recognition or for subsequent accounting or reporting. Fair value is defined as the price that would be received to sell an asset or be paid to transfer a liability in an orderly transaction between market participants at the measurement date (exit price). When determining fair value, the Company considers the principal or most advantageous market in which the Company would transact, as well as assumptions that market participants would use when pricing the asset or liability. When estimating fair value, depending on the nature and complexity of the asset or liability, the Company may use one or all of the following techniques:</w:t>
      </w:r>
    </w:p>
    <w:p>
      <w:pPr>
        <w:spacing w:after="0" w:line="18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 which is based on the present value of a future stream of net cash flows.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approach, which is based on market prices and other information from market transactions involving identical or comparable assets or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 which is based on the cost to acquire or construct comparable assets, less an allowance for functional and/or economic obsolescence.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disclosures are classified based on the fair value hierarchy, which prioritizes the inputs used in the valuation methodologies in measuring fair value:</w:t>
      </w:r>
    </w:p>
    <w:p>
      <w:pPr>
        <w:spacing w:after="0" w:line="162"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13 - Fair Value</w:t>
      </w:r>
      <w:r>
        <w:rPr>
          <w:rFonts w:ascii="Times New Roman" w:cs="Times New Roman" w:eastAsia="Times New Roman" w:hAnsi="Times New Roman"/>
          <w:sz w:val="18"/>
          <w:szCs w:val="18"/>
          <w:color w:val="auto"/>
        </w:rPr>
        <w:t>, for further discussion on the Company’s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include, but are not limited to, the amount and timing of projected future cash flows, discount rate used to determine the present value of these cash flows and the useful lives of the assets. Although the Company’s fair value estimates are based upon assumptions believed to be reasonable, these estimates and assumptions are inherently uncertain and subject to refinement.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in the Consolidated Income Statements. Acquisition-related expenses are recognized separately from the business combination and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in a business combination. Goodwill is tested for impairment annually during the fourth fiscal quarter or during interim periods whenever events and circumstances indicate an impairment may have occurred. The identification and measurement of goodwill impairment involves the estimation of fair value at the Company’s reporting unit level, which is the same or one level below the operating segment level. The Company determined it has one reporting unit.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option to assess qualitative factors first to determine whether it is necessary to perform the two-step test. If the Company believes, as a result of the qualitative assessment, that it is more-likely-than-not that the fair value of the reporting unit is less than its carrying amount, the two-step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goodwill impairment test in the fourth fiscal quarter of the fiscal year ended March 31, 2024. It was determined, after performing a qualitative review, it was not more-likely-than-not that the fair value of the Company’s single reporting unit was less than its carrying amount. Accordingly, there was no indication of impairment.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primarily represent acquired intangible assets including those acquired separately, such as computer software and purchased patents and licenses to use technology, as well as those acquired through business combination such as developed technology and customer relationship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initially records intangible assets acquired in a business combination at their estimated fair value. Intangible assets are reported net of accumulated amortization and any accumulated impairment losses, and are amortized over their estimated useful lives at amortization rates that are proportionate to each asset’s estimated economic benefit.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is recorded in either cost of sales, research &amp; development or selling, general and administrative expenses in the Consolidated Income Statements depending on the nature of the underlying asset and uses by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intangible assets is amortized and recorded on the income statement on a straight-line basis over the estimated useful lives of the underlying assets. Useful lives are reviewed each year and adjustments are made, where applicable, on a prospective basis. The estimated useful lives of the Company’s intangible assets are as follows: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licenses</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 11 years</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c>
          <w:tcPr>
            <w:tcW w:w="0" w:type="dxa"/>
            <w:vAlign w:val="bottom"/>
          </w:tcPr>
          <w:p>
            <w:pPr>
              <w:spacing w:after="0"/>
              <w:rPr>
                <w:sz w:val="1"/>
                <w:szCs w:val="1"/>
                <w:color w:val="auto"/>
              </w:rPr>
            </w:pPr>
          </w:p>
        </w:tc>
      </w:tr>
      <w:tr>
        <w:trPr>
          <w:trHeight w:val="270"/>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16"/>
        </w:trPr>
        <w:tc>
          <w:tcPr>
            <w:tcW w:w="23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 and Acquired Intangible Software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historically capitalized software development costs for software to be sold, leased or otherwise marketed as the time and cost incurred between technological feasibility and product release has been determined to be immaterial. As such, these development costs are generally recognized as incurred in research and development expenses in the Consolidated Income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development costs related to software acquired, developed or modified for internal use, along with certain costs incurred in connection with the implementation of internal use software. Costs related to certain application development activities are subject to capitalization. Costs related to preliminary project and post implementation activities are expensed as incurred. Amortization begins once the software is ready for its intended use, and amortization expense is generally recognized on a straight-line basis over the software’s estimated useful life between three and five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costs related to internal use software, net of accumulated amortization, are included in intangible assets, net on the Consolidated Balance Sheets and amortization expense is recognized in selling, general &amp; administrative expenses in the Consolidated Income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impairment losses. Cost comprises expenditures directly attributable to the purchase of the asset. Assets are depreciated to their estimated residual value, on a straight-line basis, over the estimated useful life of the underlying asset. Estimated useful lives and residual values are reviewed at each reporting date. Depreciation on property and equipment is recorded in cost of sales, research and development or selling, general &amp; administrative expenses in the Consolidated Income Statements depending on the nature of the underlying asset and uses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lives of the Company’s property and equipment are as follows:</w:t>
      </w: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Buildings</w:t>
            </w:r>
          </w:p>
        </w:tc>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Shorter of 5 – 10 years or the remaining lease term</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 – 6 years</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Fixtures and motor vehicles</w:t>
            </w:r>
          </w:p>
        </w:tc>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 – 5 years</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item of property or equipment is written off either upon disposal or when there is no expected future economic benefit from its continued use. Gain or loss on derecognition of the asset (calculated as the difference between the net disposal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and the carrying value of the asset) is included in the Consolidated Income Statements in the year the asset is derecognized.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other than goodwill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 is determined based on quoted market values, discounted cash flows, or external appraisals, as applicable. Impairment losses are recorded in impairment of long-lived assets in the Consolidated Income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 The Company recognizes right-of-use assets and operating lease liabilities for lessee operating leases other than those with a term of 12 months or less as the Company has elected to apply the short-term lease recognition exemption. Right-of-use assets represent the right to use an underlying asset for the lease term and lease liabilities represent an obligation to make lease payments over the lease term.</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measured at the lease commencement date based on the present value of the remaining lease payments over the lease term, discounted using the Company’s incremental borrowing rate, which approximates the interest rate at which the Company could borrow on a collateralized basis with similar terms and payments and in similar economic environments. Operating lease right-of-use assets also include initial direct costs incurred and prepaid lease payments, minus any lease incentives. Lease terms include options to extend or terminate the lease when it is reasonably certain that the option will be exercised. All lease and non-lease components, principally common area maintenance costs, are combined in determining operating lease right-of-use assets and lease liabilities. For operating leases, lease expense is recognized on a straight-line basis over the lease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asset retirement obligation (“ARO”) is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 cash flows underlying the obligation, if any. Over time, the liability is accreted to its present value and the capitalized cost is depreciated over the estimated useful life of the asset. The Company has recognized AROs for contractually mandated removal of leasehold improvements.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Hedge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specifically foreign currency forward contracts, to mitigate exposure from certain foreign currency risk. Certain forecasted transactions, specifically British Pound Sterling (“GBP”) denominated cash flows in the form of payroll and selling, general and administrative expenses are exposed to foreign currency risk. The Company monitors foreign currency exposures on a monthly basis to maximize the economic effectiveness of foreign currency hedge positions.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in the Consolidated Income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2022, all foreign currency forward contracts were designated as cash flow hedges in designated hedging relationships with the forecasted foreign denominated cash flows as the hedged transactions. The maximum length of time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which the Company is hedging its exposure to the variability in future foreign denominated cash flows is one year. For cash flow hedges that qualify and are designated for hedge accounting, the change in fair value of the derivative is recorded in the net change in fair value of the effective portion of designated cash flow hedges on the Consolidated Statements of Comprehensive Income, and subsequently recognized in research and development and selling, general and administrative expenses in the Consolidated Income Statements when the hedged transaction affects earnings.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all derivative assets and liabilities for designated and non-designated derivatives in prepaid expenses and other current assets and other current liabilities on the Consolidated Balance Sheets. The Company classifies cash flows from the settlement of effective cash flow hedges for designated and non-designated derivatives in the same category as the cash flows from the related hedged items in operating activities on the Consolidated Statements of Cash Flows. The foreign currency forward contracts are classified under Level 2 of the fair value hierarchy. See </w:t>
      </w:r>
      <w:r>
        <w:rPr>
          <w:rFonts w:ascii="Times New Roman" w:cs="Times New Roman" w:eastAsia="Times New Roman" w:hAnsi="Times New Roman"/>
          <w:sz w:val="18"/>
          <w:szCs w:val="18"/>
          <w:i w:val="1"/>
          <w:iCs w:val="1"/>
          <w:color w:val="auto"/>
        </w:rPr>
        <w:t>Note 13 -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revenues for the transfer of products or services to customers in an amount that reflects the consideration to which the Company expects to be entitled in exchange for those products or services. The principle is achieved through the following five-step approach:</w:t>
      </w:r>
    </w:p>
    <w:p>
      <w:pPr>
        <w:spacing w:after="0" w:line="162"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the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Company’s major product offerings consists of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Revenue</w:t>
      </w:r>
    </w:p>
    <w:p>
      <w:pPr>
        <w:spacing w:after="0" w:line="225" w:lineRule="exact"/>
        <w:rPr>
          <w:sz w:val="20"/>
          <w:szCs w:val="20"/>
          <w:color w:val="auto"/>
        </w:rPr>
      </w:pPr>
    </w:p>
    <w:p>
      <w:pPr>
        <w:jc w:val="both"/>
        <w:ind w:left="660" w:hanging="328"/>
        <w:spacing w:after="0" w:line="25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license </w:t>
      </w:r>
      <w:r>
        <w:rPr>
          <w:rFonts w:ascii="Times New Roman" w:cs="Times New Roman" w:eastAsia="Times New Roman" w:hAnsi="Times New Roman"/>
          <w:sz w:val="18"/>
          <w:szCs w:val="18"/>
          <w:color w:val="auto"/>
        </w:rPr>
        <w:t>— The Company generally licenses IP under non-exclusive license agreements that provide usage rights for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IP, excluding when-and-if-available minor updates over the support term, are recognized at a point in time upon the delivery or beginning of license term, whichever is later.</w:t>
      </w:r>
    </w:p>
    <w:p>
      <w:pPr>
        <w:spacing w:after="0" w:line="76"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sales, including development systems </w:t>
      </w:r>
      <w:r>
        <w:rPr>
          <w:rFonts w:ascii="Times New Roman" w:cs="Times New Roman" w:eastAsia="Times New Roman" w:hAnsi="Times New Roman"/>
          <w:sz w:val="18"/>
          <w:szCs w:val="18"/>
          <w:color w:val="auto"/>
        </w:rPr>
        <w:t>— Sales of software, including development systems, which are not specifically designed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license (such as off-the-shelf software), are recognized upon delivery when control has been transferred and customer can begin to use and benefit from the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 Services (such as training and professional and design services) that the Company provides, which are not essential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w:t>
      </w:r>
    </w:p>
    <w:p>
      <w:pPr>
        <w:spacing w:after="0" w:line="66" w:lineRule="exact"/>
        <w:rPr>
          <w:sz w:val="20"/>
          <w:szCs w:val="20"/>
          <w:color w:val="auto"/>
        </w:rPr>
      </w:pPr>
    </w:p>
    <w:p>
      <w:pPr>
        <w:jc w:val="both"/>
        <w:ind w:left="660" w:hanging="328"/>
        <w:spacing w:after="0" w:line="267"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and maintenance </w:t>
      </w:r>
      <w:r>
        <w:rPr>
          <w:rFonts w:ascii="Times New Roman" w:cs="Times New Roman" w:eastAsia="Times New Roman" w:hAnsi="Times New Roman"/>
          <w:sz w:val="18"/>
          <w:szCs w:val="18"/>
          <w:color w:val="auto"/>
        </w:rPr>
        <w:t>— Support and maintenance is a stand-ready obligation to the customer that is both provided and consumed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simultaneously. Revenue is recognized on a straight-line basis over the period for which support and maintenance is contractually agreed pursuant to the license.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certain IP license agreements, royalties are collected on products that incorporate the Company’s IP. Royalties are recognized on an accrual basis in the quarter in which the customer ships their products, based on the Company’s technology that it contains. </w:t>
      </w:r>
      <w:r>
        <w:rPr>
          <w:rFonts w:ascii="Times New Roman" w:cs="Times New Roman" w:eastAsia="Times New Roman" w:hAnsi="Times New Roman"/>
          <w:sz w:val="18"/>
          <w:szCs w:val="18"/>
          <w:color w:val="231F20"/>
        </w:rPr>
        <w:t>This estimation process for the royalty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w:t>
      </w:r>
      <w:r>
        <w:rPr>
          <w:rFonts w:ascii="Times New Roman" w:cs="Times New Roman" w:eastAsia="Times New Roman" w:hAnsi="Times New Roman"/>
          <w:sz w:val="18"/>
          <w:szCs w:val="18"/>
          <w:color w:val="000000"/>
        </w:rPr>
        <w:t>Adjustments to revenues are required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subsequent periods to reflect changes in estimates as new information becomes available, primarily resulting from actual amounts subsequently reported by the licensees in the period following the accrual.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 with the Customer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a contract as a revenue contract when all of the following criteria are met:</w:t>
      </w:r>
    </w:p>
    <w:p>
      <w:pPr>
        <w:spacing w:after="0" w:line="225" w:lineRule="exact"/>
        <w:rPr>
          <w:sz w:val="20"/>
          <w:szCs w:val="20"/>
          <w:color w:val="auto"/>
        </w:rPr>
      </w:pPr>
    </w:p>
    <w:p>
      <w:pPr>
        <w:ind w:left="660" w:right="2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has been approved (either in writing, orally or in accordance with other customary business practices) by the parties to the contract, and the parties are committed to perform their respective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can identify each party’s rights regarding goods or services to be transferred.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can identify the payment terms for the goods or services to be transferred;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have commercial substance;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Company will collect the consideration to which it will be entitled to, in exchange for the goods or services to be transferred to the customer.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sometimes enters into multiple contracts with the same customer that are treated, for accounting purposes, as one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whether the amount of consideration on one contract is dependent on the performance of the other contract, or if some, or all, obligations in the contracts constitute a single performance obligation.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arrangements with existing customers can be based on either a new contract or the modification of prior contracts. The Company’s judgment in making this determination considers whether there is a connection between the new arrangement and the pre-existing contracts, whether the services under the new arrangement are highly interrelated with the products and services provided under prior contracts, and how the products and services under the new arrangement are priced.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sometimes enters into non-cancellable and non-refundable committed funds arrangement from customers, where the parties have ongoing negotiations. Judgment is required in evaluating whether all rights and obligations of the arrangement are determined and enforceable.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Judgment is also required in determining whether collectability of substantially all of the consideration is probable. The Company assesses this through credit checks, past payment history or based on upfront payment prior to performance of the obligation(s).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contracts often include various products and services as outlined in the summary of major product groups above. Typically, these products and services qualify as separate performance obligations, and a portion of the contractual value is allocated to them. Judgment is required, however, in determining whether a good or service is considered a separate performance obligation.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selling licenses or services, the Company frequently grants customers the choice to acquire additional rights, goods or services (for example, renewals of offerings, version extensions through term renewals, additional future products, or additional volumes of purchased license). The Company also utilizes forward looking information such as product roadmaps and other marketing materials in identifying performance obligations for IPs or version extensions of architecture IP under development or future products, and in determining if implicit promises or material right exist in certain long-term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typical licensing arrangement, the Company either licenses implementation IP or architecture IP. When implementation IP is licensed, the Company promises to provide all developed and undeveloped IP over the license term based on the subscription package selected by the customer. Products are delivered to the customer based on the Company’s product roadmap and each IP is generally identified as a separate performance obligation. The undeveloped IP in the contract also includes an implied promise to deliver implementation IP that will be developed and become available during the contract term but is not on the product roadmap at contract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architecture IP is licensed, the Company promises to provide the available architecture IPs as well as all future version extensions of the architecture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 over the contract term which could range from 3 to 20 years. These version extensions may take one of two forms:</w:t>
      </w:r>
    </w:p>
    <w:p>
      <w:pPr>
        <w:spacing w:after="0" w:line="207"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version extensions that are expected to be released over the next 2-3 years and are identified in the Company’s product roadmap,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Implicit version extensions that the Company believes, based on historical data, will be developed in the period beyond the years covered by the product roadmap and will be delivered to the customer as and when released.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version extensions represent promises to deliver distinct products and have a discernable release pattern, based on the Company’s established practice every year over the license term. When version extensions of architecture IP are promised along with a license to available architecture IP, a portion of the overall transaction price is allocated to the available architecture license while the remaining portion relating to future extensions is deferred until those extensions are delivered and become available for 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allocated to the IP license including version extensions of an architecture license or releases of an implementation license are each recognized at a point in time upon the delivery or beginning of license term, whichever is later.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judgment when determining the amount of consideration it expects to be entitled to in exchange for transferring promised goods or services to a customer. This includes estimates as to whether, and to what extent, subsequent concessions or payments may be granted to customers, which release customers from their obligations to pay contractual fees. In this judgment, historical trends are considered with respect to both the specific customer and broader Company trends. The Company estimates the transaction price based on the amount expected to be received for transferring the promised goods or services in the contract. Consideration payable to a customer is accounted for as a reduction of the transaction price and, therefore, of revenue unless the payment to the customer is in exchange for a distinct good or service that the customer transfers to the Company. The transaction price also excludes amounts collected on behalf of third parties such as sales taxes. The Company’s revenue arrangements may include variable consideration,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including royalties. Where minimum royalties are agreed with customers and there is no uncertainty of their receipt, the amount is allocated to performance obligations as a part of the transaction price.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relevant facts and circumstances in assessing whether a contract contains a significant financing component. The Company has not identified significant financing components in its material revenue arrangements executed during the financial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Judgment is required when estimating standalone selling prices (“SSPs”). There is also judgment involved in determining whether the pricing of certain performance obligations is highly variable or uncertain.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support and maintenance, SSPs are usually not directly observable for the Company’s products and services. because the Company generally does not sell its products or services on a standalone basis. When separately stated, contractual pricing is highly variable. The Company estimates the SSPs so that the Company allocates the transaction price to each performance obligation in an amount that depicts the amount of consideration to which the Company expects to be entitled in exchange for transferring the promised goods or services to the customer. The Company allocates royalties entirely to the licenses that give rise to them. When estimating a SSP, the Company considers available information and maximizes the use of observable inputs such as renewal pricing history for the Company’s standardized support and professional service offerings.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offerings that have highly variable or uncertain pricing and lack substantial direct costs to estimate based on a cost-plus margin approach, the transaction price is allocated by applying a residual approach. This is on the basis that the Company has identified SSP for other performance obligations in the same arrangement. If two or more goods or services in a contract have highly variable or uncertain pricing, then the Company applies a combination of methods to allocate transaction price, including utilizing list prices, contract prices, and engineering effort estimates to develop future IP, for initial allocation of residual amount of transaction price within such products.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Arm Total Access arrangements, the Company establishes a separate performance obligation for implicit rights of future products upon contract execution and allocates the total transaction price to each performance obligation based on the price roadmap.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customer agreements related to long-term licensing of architecture IP, the Company allocates the contract value to each of the performance obligations based on an estimate of the engineering efforts required to deliver the initial version of the IP as well as related future versions, including enhancements and upgrades.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SSPs of material rights depends on the probability of option exercise. In estimating these probabilities, judgment is utilized when considering historical exercise patterns. The SSPs are reviewed annually or whenever facts and circumstances significantly change. These changes are applied prospectively.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Arm China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Arm Technology (China) Co. Limited (“Arm China”) acts as the Company’s exclusive IP distributor in the People’s Republic of China, which, for the purposes of these financial statements, includes the Hong Kong Special Administrative Region and the Macau Special Administrative Region, but excludes Taiwan (collectively referred to as the “PRC”), under the intellectual property licensing arrangement (“IPLA”) and subsequent amendments. Arm China directly contracts with end customers with discretion in establishing pricing to sublicense specified IP and Arm Total Access Packages. The Company’s responsibility under the IPLA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The Company applies the royalty exception, under which revenue is recognized when the subsequent sale or usage occurs, assuming control of the license to which the royalty relates has transferred to the end customer. Where the revenue is derived as a percentage of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 fee of Arm China, the Company categorizes that portion as license revenue while the other portion, which represents the Company’s share of Arm China’s royalties, is categorized as royalties.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 and Receivables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accounts receivable in full when it has the contractual right to invoice the customer and begins satisfying the performance obligation over the term of the contract. Judgment is required to determine whether a right to consideration is unconditional and thus qualifies as a receivable. Contract assets are recognized as the performance obligations are satisfied and the Company does not have the contractual right to invoice. Typically, the Company invoices a portion of the fees for IP licenses up front on the effective date of the contract and satisfies a considerable portion of performance obligations. Accrued royalties are included in accounts receivable, net on the Consolidated Balance Sheets. Contract liabilities primarily reflect invoices due, or payments received, in advance of revenue recognition. Periodic fixed fees for software support services, and other multi-period agreements are typically invoiced in advance.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deposits primarily relate to payments received from customers which could be refundable pursuant to the terms of the contract and are in other current liabilities on the Consolidated Balance Sheets.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within 60 days. In instances where the timing of revenue recognition differs from the timing of invoicing, the Company has determined that its contracts generally do not include a significant financing component. The primary purpose of the Company’s invoicing terms is to provide customers with simplified and predictable ways of purchasing products and services, such as invoicing at the beginning of a license term with revenue recognized over the contract period, and not to receive financing from customers. All potential financing fees were considered insignificant in the context of the Company’s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Current Expected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Trade receivables are stated at their net realizable value. The allowance for credit losses reflects the Company’s best estimate of expected credit losses of the receivable portfolio determined on the basis of historical experience, current information, and forecasts of future economic conditions. In developing the estimate for expected credit losses, accounts receivable is segmented into pools of assets depending on market (China versus international) and delinquency status, and fixed reserve percentages are established for each pool of accounts receivables. To determine the reserve percentages for each pool of accounts receivables, the Company considers its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are any changes in the economic environment that would indicate the established reserve percentages should be adjusted and are considered on a regional basis to reflect more geographic-specific metrics. Please refer to </w:t>
      </w:r>
      <w:r>
        <w:rPr>
          <w:rFonts w:ascii="Times New Roman" w:cs="Times New Roman" w:eastAsia="Times New Roman" w:hAnsi="Times New Roman"/>
          <w:sz w:val="18"/>
          <w:szCs w:val="18"/>
          <w:i w:val="1"/>
          <w:iCs w:val="1"/>
          <w:color w:val="auto"/>
        </w:rPr>
        <w:t>Note 4 - Revenue</w:t>
      </w:r>
      <w:r>
        <w:rPr>
          <w:rFonts w:ascii="Times New Roman" w:cs="Times New Roman" w:eastAsia="Times New Roman" w:hAnsi="Times New Roman"/>
          <w:sz w:val="18"/>
          <w:szCs w:val="18"/>
          <w:color w:val="auto"/>
        </w:rPr>
        <w:t>, for the summary of the movement in the allowance for current expected credit losses.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write-offs and recoveries of customer receivables are tracked against collections on a quarterly basis to determine whether the reserve percentages remain appropriate. When management becomes aware of certain customer-specific factors that impact credit risk, specific allowances for these known troubled accounts are recorded. Accounts receivables are written off after all reasonable means to collect the full amount (including litigation, where appropriate) are exhausted. For the fiscal years ended March 31, 2024, 2023, and 2022, write-offs and recoveries of customer receivables were immaterial to the consolidated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an allowance for losses on contract assets based on a similar approach used for receivables under the current expected credit loss model. As of March 31, 2024 and 2023, the loss allowance for contract assets was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share units (“RSU”) were granted to employees, certain of our executive officers, and non-executive directors of the Company and require continuous service through the vesting date. Phantom shares (“Phantom Shares”) were only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granted to certain of our executive officers. In connection with the IPO on September 14, 2023, all RSUs previously issued under the Arm Limited All Employee Plan 2019 (“2019 AEP”), except for those 2019 AEP awards granted to employees of Arm Technology Israel Ltd., the Company’s Israeli subsidiary (“Arm Israel”), Executive IPO Plan (“2019 EIP”), and Executive Awards previously issued under the 2022 Arm Limited RSU Award Plan (“2022 RSU Plan”) were no longer expected to be settled in cash but rather expected to be settled in ordinary shares. This resulted in a change in classification of the RSUs from liability to equity which was accounted for as a modification. The number of RSUs that vest is determined by the achievement of market, performance and service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share-based compensation over the requisite service period of the awards, which is generally equivalent to the vesting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 is recorded only for those awards expected to vest.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on the date of grant for equity-classified awards, and at the end of each reporting period for liability-classified awards, using Monte Carlo simulations or the discounted cash flow approach. The fair value of Phantom Shares, which are subject to continuous service and vest upon meeting certain strategic performance conditions of the Company and are liability-classified, is determined on the date of grant and at the end of each reporting period based on the share price of the Company’s ultimate parent, SoftBank Group.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classifies those awards in which the Company has the option, pursuant to the plan terms, and intends to settle in cash or equity, as liability-classified or equity-classified awards, respectively. Phantom Shares and certain RSUs are liability-classified and are remeasured at the end of each reporting period through the date of settlement so that the expense recognized for each award is equivalent to the amount to be paid in cash. Changes in the fair value of liability-classified RSUs are recorded in the Consolidated Income Statements over the vesting period of the award. Expense associated with equity-classified RSUs are recognized using the straight-line method over the service period adjusted for estimated forfeitures.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IPO, an initial public offering was not considered probable until it has occurred. Accordingly, as of March 31, 2023, those RSUs that were subject to vesting on the earliest of (1) change of control, (2) initial public offering, or (3) passage of time, were expected to vest and be settled in cash upon the passage of time. For liability-classified awards, the weighted average fair value of the RSUs was measured at each reporting date using the Monte Carlo simulation model or a discounted cash flow approach. Similarly, the fair value for equity-classified awards was measured at the grant date using the discounted cash flow approach.</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fiscal years ended March 31, 2023 and 2022, the Company used the Monte Carlo simulation model, the income approach and/or market-calibration approach based on comparable publicly traded companies in similar lines of businesses to measure the RSUs. The Monte Carlo simulation model simulates the Company’s equity value at an assumed listing exit event in order to determine the RSU vesting percentage. The model simulates the RSU vesting percentage over numerous iterations, and the average of all iterations is determined to be the fair value of an RSU. The model then discounts the future value of the RSU at the assumed listing exit event date back to the valuation date based on the relevant risk-free interest rate. The Monte Carlo simulation model incorporates various assumptions such as expected stock price volatility until a liquidity event, expected dividend yield, risk-free interest rate, and expected time to complete an initial public offering.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IPO, at the grant date of the RSUs, the Company was private and its ordinary shares were not listed on a public stock exchange. Therefore, the Company’s Board of Directors exercised its reasonable judgment and considered numerous objective and subjective factors to determine the best estimate of fair value of the Company’s ordinary shares underlying share-based compensation awards, including:</w:t>
      </w:r>
    </w:p>
    <w:p>
      <w:pPr>
        <w:spacing w:after="0" w:line="176"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independent third-party valuations of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results of operations, and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timing of achieving a liquidity event, such as an initial public offering or sale of the company, given prevailing market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ordinary shares;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performance and valuations of comparable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loss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the Company’s development, product introduction, and sales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outlook and other information, such as market growth and volume and macro-economic events;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objective and subjective factors relating to the Company’s business.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fair value of ordinary shares, the Company first estimated the enterprise value and then allocated that enterprise value to ordinary shares and ordinary share equivalents. The Company’s enterprise value was estimated using the income and market-calibration approaches.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the Company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Monte Carlo simulations incorporate highly subjective assumptions, such as stock price volatility and expected volatility until a liquidity event. Changes in highly subjective assumptions could significantly impact share-based compensation cost. Since the Company’s ordinary shares were not publicly traded, the computation of expected volatility was based on the average of historical and implied volatilities over the expected term of the awards of a representative peer group of publicly traded entities. Other assumptions included expected term, risk-free interest rate and dividend yield. The risk-free interest rate was based on zero-coupon U.S. Treasury bond rates corresponding to the expected term of the awards. Dividend assumptions were based on historical experience.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forfeitures based on employee level, economic conditions, time remaining to vest and historical forfeiture experience.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expenses consist primarily of employee-related expenses and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associated benefits, and employer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including salaries, bonuses, share-based compensation, associated benefits, and employer taxes associated with employees in research and development functions, along with project materials costs, third-party fees paid to consultants, depreciation and amortization, allocated overhead, and other development expenses.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expenses, including salaries, bonuses, share-based compensation, associated benefits, and employer taxes associated with employees in sales and marketing, along with corporate and administrative functions, including accounting and legal professional services fees, depreciation and amortization, advertising expenses, allocated overhead, and other corporate-related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Restructuring and Other Operating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expenses consist primarily of transaction costs, such as legal and professional fees, relating to various disposal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receives government grants to compensate for its research activities. GAAP does not contain authoritative guidance for incentives and grants provided by governmental entities to a for-profit entity. Absent authoritative guidance, interpretative guidance issued and commonly applied by financial statement preparers allows for the selection of accounting policies amongst acceptable alternatives. Based on facts and circumstances, the Company determined it most appropriate to account for the government grants received by analogy to International Accounting Standards 20,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Grants and Disclosure of Government Assistance </w:t>
      </w:r>
      <w:r>
        <w:rPr>
          <w:rFonts w:ascii="Times New Roman" w:cs="Times New Roman" w:eastAsia="Times New Roman" w:hAnsi="Times New Roman"/>
          <w:sz w:val="18"/>
          <w:szCs w:val="18"/>
          <w:color w:val="auto"/>
        </w:rPr>
        <w:t>(“IAS 20”).</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provisions of IAS 20, a government grant is recognized when there is reasonable assurance the Company will meet the terms for receiving and realizing the benefit of the grant. IAS 20 does not define “reasonable assurance,” however, based on certain interpretations, it is analogous to “probable” as defined under GAAP, which is the definition the Company has applied to its government grants received. Under IAS 20, government grants are recognized in earnings on a systematic basis over the periods in which the Company recognizes costs for which the grant is intended to compensate (i.e. qualified expenses). Further, IAS 20 permits for the recognition in earnings either separately under a general heading such as other income, or as a reduction of the related expenses. The Company has elected to recognize the benefit as a reduction of the related expenses included in either research and development expenses or income tax expense in the Consolidated Income Statements. For the fiscal years ended March 31, 2024, 2023 and 2022, the government grant benefit recognized was $138.2 million, $83.0 million, and $84.3 million, respectively.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government grant benefit received includes a grant from Innovate U.K. for work connected to the creation of a new centrally secured technology platform prototype. For the fiscal years ended March 31, 2024, 2023 and 2022, the Company recorded a reduction to research and development expenses from this grant of $0.0 million, $2.6 million, and $15.3 million, respectively. The maximum total value of the Innovate U.K. contract is $41.0 million. As of March 31, 2024, the grant term has expired and is no longer available.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benefits in the U.K. from His Majesty’s Revenue &amp; Customs (“HMRC”) research and development expenditure credit (“RDEC”), which provides relief against U.K. corporation tax. Based on criteria established by HMRC a portion of the Company’s expenditures incurred on research and development activities are eligible for RDEC relief. For the fiscal years ended March 31, 2024, 2023 and 2022, the Company recorded a relief of $121.2 million, $64.0 million, and $54.4 million,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currently enacted tax rates that apply to taxable income in effect for the years in which those tax assets are expected to be realized or settled.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determines it is more likely than not that it will not generate sufficient taxable income to realize the value of some or all deferred tax assets (net of deferred tax liabilities), the Company will establish a valuation allowance offsetting the amount it does not expect to realize. The Company performs this analysis each reporting period and reduces the measurement of deferred taxes if the likelihood the Company will realize them becomes uncertain.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the Company records each period depend primarily on the ability to generate future taxable income. Each period, the Company evaluates the need for a valuation allowance against the deferred tax assets and, if necessary, adjusts the valuation allowance so that net deferred tax assets are recorded only to the extent the Company concludes it is more likely than not that these deferred tax assets will be realized. If the outlook for future taxable income changes significantly, the Company’s assessment of the need for, and the amount of, a valuation allowance may also change.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required to evaluate and quantify other sources of taxable income, such as the possible reversal of future deferred tax liabilities and the implementation of tax planning strategies. Evaluating and quantifying these amounts is difficult and involves significant judgment, based on all of the available evidence and assumptions about future activities.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Interest and penalties related to unrecognized tax benefits are recognized within income tax (expense) benefit in the Consolidated Income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Ordinary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income (loss) per ordinary share is computed by dividing net income attributable to ordinary shareholders by the weighted average number of ordinary shares outstanding during the period. Diluted earnings per share is computed by dividing net income (loss) attributable to ordinary shareholders by the weighted average number of ordinary shares and potentially dilutive ordinary shares outstanding during the period. Potentially dilutive ordinary shares whose effect would have been antidilutive are excluded from the computation of diluted earnings per ordinary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such as a distribution to shareholders of the Company, results of operations of a business would not be recorded as a discontinued operation until the period in which the business is actually disposed of other than by sale.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 strategic decision to place greater focus on the Company’s core technology licensing business, a decision was made to distribute or sell certain components of the Company’s Internet of Things business. As a result, in June 2021, the Company completed a pro rata distribution of its controlling stake in Treasure Data, Inc. and its subsidiaries (“Treasure Data”) to the immediate shareholders of the Company. In November 2021, the Company sold 100% of its ownership in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Pelion IOT Limited and its subsidiaries (“IoTP”) to SoftBank Group Capital Limited in exchange for $12.0 million in cash consideration. The distribution of Treasure Data and sale of IoTP were accounted for as discontinued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IoTP and Treasure Data reported in loss on discontinued operations before income taxes in the Consolidated Income Statements relates to certain IP available through cloud-based infrastructure where the customer does not have the right to terminate the hosting contract. Under such arrangements, customers do not have the right to take possession of the software to run on their own IT infrastructure, nor do they have the right to engage a third-party provider to host and manage the software. Revenue for these arrangements is recognized over time as the services are performed.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specified otherwise, the accompanying notes to the consolidated financial statements exclude financial results of discontinued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 Recent Accounting and Disclosure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Segment Reporting (Topic 280), Improvements to Reportable Segment Disclosures: </w:t>
      </w:r>
      <w:r>
        <w:rPr>
          <w:rFonts w:ascii="Times New Roman" w:cs="Times New Roman" w:eastAsia="Times New Roman" w:hAnsi="Times New Roman"/>
          <w:sz w:val="18"/>
          <w:szCs w:val="18"/>
          <w:color w:val="auto"/>
        </w:rPr>
        <w:t>In November 2023, the Financial Accounting Standards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(“FASB”) issued Accounting Standards Update (“ASU”) 2023-07 which requires incremental reportable segment disclosures. The new standard requires that a public entity disclose significant segment expenses, the title and position of the CODM, and how the CODM uses the reported measures in assessing performance and deciding how to allocate resources. ASU 2023-07 is effective for annual periods beginning after December 15, 2023, and interim periods within fiscal years beginning after December 15, 2024. Early adoption is permitted. Adoption of the ASU should be applied retrospectively to all prior periods presented in the financial statements. This ASU will result in additional required disclosures being included in our consolidated financial statements when adopted. The Company will adopt this standard for the fiscal year beginning April 1,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(Topic 740), Improvements to Income Tax Disclosures: </w:t>
      </w:r>
      <w:r>
        <w:rPr>
          <w:rFonts w:ascii="Times New Roman" w:cs="Times New Roman" w:eastAsia="Times New Roman" w:hAnsi="Times New Roman"/>
          <w:sz w:val="18"/>
          <w:szCs w:val="18"/>
          <w:color w:val="auto"/>
        </w:rPr>
        <w:t>In December 2023, the FASB issued ASU 2023-09, which requires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reporting entity’s effective tax rate reconciliation as well as additional information on income taxes paid. The ASU is effective on a prospective basis for annual periods beginning after December 15, 2024. Early adoption is permitted for annual financial statements that have not yet been issued or made available for issuance. This ASU will likely result in additional required disclosures being included in our consolidated financial statements when adopted. The Company is currently evaluating the provisions of this ASU.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Securities and Exchange Commission (“SEC”) final rules not yet adopted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requires registrants to disclose climate-related risks that are reasonably likely to have a material impact on a its business strategy,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financial condition. The rules include disclosures relating to climate-related risks and risk managements, registrant's governance of such risks, financial impact on the audited financial statements, and greenhouse gas emissions. The disclosures will be required prospectively, with information for prior periods required only to the extent it was previously disclosed in an SEC filing. The earliest adoption date starts from the registrant's fiscal year beginning calendar 2025, which is the Company's fiscal year ending March 31, 2026. On April 4, 2024, the SEC determined to voluntarily stay the final rules pending certain legal challenges. The Company is currently evaluating the impact of adoption of these final rules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 Balance Sheet Components</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balance sheet components are as follows:</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 and share-based compensation consist of:</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r>
      <w:tr>
        <w:trPr>
          <w:trHeight w:val="27"/>
        </w:trPr>
        <w:tc>
          <w:tcPr>
            <w:tcW w:w="6620" w:type="dxa"/>
            <w:vAlign w:val="bottom"/>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bonus, commissions, and cash awards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vacation and sabbatical</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salaries and fringe benefits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9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Share-based payment liabilities </w:t>
            </w:r>
            <w:r>
              <w:rPr>
                <w:rFonts w:ascii="Times New Roman" w:cs="Times New Roman" w:eastAsia="Times New Roman" w:hAnsi="Times New Roman"/>
                <w:sz w:val="23"/>
                <w:szCs w:val="23"/>
                <w:color w:val="auto"/>
                <w:vertAlign w:val="superscript"/>
              </w:rPr>
              <w:t>(1)</w:t>
            </w:r>
          </w:p>
        </w:tc>
        <w:tc>
          <w:tcPr>
            <w:tcW w:w="540" w:type="dxa"/>
            <w:vAlign w:val="bottom"/>
          </w:tcPr>
          <w:p>
            <w:pPr>
              <w:spacing w:after="0"/>
              <w:rPr>
                <w:sz w:val="24"/>
                <w:szCs w:val="24"/>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6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compensation and benefits and share-based compensation</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1"/>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340" w:hanging="332"/>
        <w:spacing w:after="0" w:line="230" w:lineRule="auto"/>
        <w:tabs>
          <w:tab w:leader="none" w:pos="371"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As of March 31, 2024, all liability-classified share-based awards had been vested and settled. See </w:t>
      </w:r>
      <w:r>
        <w:rPr>
          <w:rFonts w:ascii="Times New Roman" w:cs="Times New Roman" w:eastAsia="Times New Roman" w:hAnsi="Times New Roman"/>
          <w:sz w:val="18"/>
          <w:szCs w:val="18"/>
          <w:i w:val="1"/>
          <w:iCs w:val="1"/>
          <w:color w:val="auto"/>
        </w:rPr>
        <w:t>Note 16 - Share-based Compensation</w:t>
      </w:r>
      <w:r>
        <w:rPr>
          <w:rFonts w:ascii="Times New Roman" w:cs="Times New Roman" w:eastAsia="Times New Roman" w:hAnsi="Times New Roman"/>
          <w:sz w:val="18"/>
          <w:szCs w:val="18"/>
          <w:color w:val="auto"/>
        </w:rPr>
        <w:t xml:space="preserve"> in the Notes to the Consolidated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 consist of:</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Employee related payroll taxes and payables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3"/>
                <w:szCs w:val="23"/>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fees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Electronic design automation liabilities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payables including payables to related parties of $7 and $17 as of March 31, 2024</w:t>
            </w:r>
          </w:p>
        </w:tc>
        <w:tc>
          <w:tcPr>
            <w:tcW w:w="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2023, respectively</w:t>
            </w:r>
          </w:p>
        </w:tc>
        <w:tc>
          <w:tcPr>
            <w:tcW w:w="540" w:type="dxa"/>
            <w:vAlign w:val="bottom"/>
          </w:tcPr>
          <w:p>
            <w:pPr>
              <w:spacing w:after="0"/>
              <w:rPr>
                <w:sz w:val="20"/>
                <w:szCs w:val="20"/>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2024, employee related payroll taxes and payables primarily relate to vested RSU to be paid in the subsequent quarter.</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91"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Company’s disaggregated revenue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6"/>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6"/>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3"/>
                <w:szCs w:val="23"/>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2"/>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License and Other Revenue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0" w:hanging="332"/>
        <w:spacing w:after="0" w:line="229" w:lineRule="auto"/>
        <w:tabs>
          <w:tab w:leader="none" w:pos="482" w:val="left"/>
        </w:tabs>
        <w:numPr>
          <w:ilvl w:val="0"/>
          <w:numId w:val="83"/>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Includes over-time revenue of $121 million, $100 million, and $102 million and point-in-time revenue of $1,310 million, $904 million, and $1,039 million for the fiscal years ended March 31, 2024, 2023, and 2022, respectively.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headquarters address by geographic regions: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2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30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PRC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4"/>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Republic of Korea</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hanging="332"/>
        <w:spacing w:after="0" w:line="229" w:lineRule="auto"/>
        <w:tabs>
          <w:tab w:leader="none" w:pos="282"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means the People’s Republic of China, including the Hong Kong Special Administrative Region and the Macau Special Administrative Region, but excluding Taiwan.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For the fiscal year ended March 31, 2024, the Company had three customers that collectively represented 42% of total revenue, with the single largest customer accounting for 21% of total revenue, the second largest customer accounting for 11% of total revenue and the third largest customer accounting for 10% of total revenue. For the fiscal year ended March 31, 2023, the Company had three customers that collectively represented 44% of total revenue, with the single largest customer accounting for 24% of total revenue, the second largest customer accounting for 11% of total revenue and the third largest customer accounting for </w:t>
      </w:r>
      <w:r>
        <w:rPr>
          <w:rFonts w:ascii="Times New Roman" w:cs="Times New Roman" w:eastAsia="Times New Roman" w:hAnsi="Times New Roman"/>
          <w:sz w:val="18"/>
          <w:szCs w:val="18"/>
          <w:color w:val="000000"/>
        </w:rPr>
        <w:t>9%</w:t>
      </w:r>
      <w:r>
        <w:rPr>
          <w:rFonts w:ascii="Times New Roman" w:cs="Times New Roman" w:eastAsia="Times New Roman" w:hAnsi="Times New Roman"/>
          <w:sz w:val="18"/>
          <w:szCs w:val="18"/>
          <w:color w:val="231F20"/>
        </w:rPr>
        <w:t xml:space="preserve"> of total revenue. For the </w:t>
      </w:r>
      <w:r>
        <w:rPr>
          <w:rFonts w:ascii="Times New Roman" w:cs="Times New Roman" w:eastAsia="Times New Roman" w:hAnsi="Times New Roman"/>
          <w:sz w:val="18"/>
          <w:szCs w:val="18"/>
          <w:color w:val="000000"/>
        </w:rPr>
        <w:t>fiscal year ended March 31, 2022</w:t>
      </w:r>
      <w:r>
        <w:rPr>
          <w:rFonts w:ascii="Times New Roman" w:cs="Times New Roman" w:eastAsia="Times New Roman" w:hAnsi="Times New Roman"/>
          <w:sz w:val="18"/>
          <w:szCs w:val="18"/>
          <w:color w:val="231F20"/>
        </w:rPr>
        <w:t xml:space="preserve">, the Company had three customers that collectively represented </w:t>
      </w:r>
      <w:r>
        <w:rPr>
          <w:rFonts w:ascii="Times New Roman" w:cs="Times New Roman" w:eastAsia="Times New Roman" w:hAnsi="Times New Roman"/>
          <w:sz w:val="18"/>
          <w:szCs w:val="18"/>
          <w:color w:val="000000"/>
        </w:rPr>
        <w:t xml:space="preserve">42% </w:t>
      </w:r>
      <w:r>
        <w:rPr>
          <w:rFonts w:ascii="Times New Roman" w:cs="Times New Roman" w:eastAsia="Times New Roman" w:hAnsi="Times New Roman"/>
          <w:sz w:val="18"/>
          <w:szCs w:val="18"/>
          <w:color w:val="231F20"/>
        </w:rPr>
        <w:t>of total revenue, with the single largest customer accounting for</w:t>
      </w:r>
      <w:r>
        <w:rPr>
          <w:rFonts w:ascii="Times New Roman" w:cs="Times New Roman" w:eastAsia="Times New Roman" w:hAnsi="Times New Roman"/>
          <w:sz w:val="18"/>
          <w:szCs w:val="18"/>
          <w:color w:val="000000"/>
        </w:rPr>
        <w:t xml:space="preserve"> 18% </w:t>
      </w:r>
      <w:r>
        <w:rPr>
          <w:rFonts w:ascii="Times New Roman" w:cs="Times New Roman" w:eastAsia="Times New Roman" w:hAnsi="Times New Roman"/>
          <w:sz w:val="18"/>
          <w:szCs w:val="18"/>
          <w:color w:val="231F20"/>
        </w:rPr>
        <w:t>of total revenue, the second largest customer accounting for</w:t>
      </w:r>
      <w:r>
        <w:rPr>
          <w:rFonts w:ascii="Times New Roman" w:cs="Times New Roman" w:eastAsia="Times New Roman" w:hAnsi="Times New Roman"/>
          <w:sz w:val="18"/>
          <w:szCs w:val="18"/>
          <w:color w:val="000000"/>
        </w:rPr>
        <w:t xml:space="preserve"> 12% </w:t>
      </w:r>
      <w:r>
        <w:rPr>
          <w:rFonts w:ascii="Times New Roman" w:cs="Times New Roman" w:eastAsia="Times New Roman" w:hAnsi="Times New Roman"/>
          <w:sz w:val="18"/>
          <w:szCs w:val="18"/>
          <w:color w:val="231F20"/>
        </w:rPr>
        <w:t>of total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revenue and the third largest customer accounting for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of total revenue. No other customer represented 10% or more of total revenue for the fiscal years ended March 31, 2024,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components of accounts receivable, net is as follows:</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86"/>
        </w:trPr>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r>
      <w:tr>
        <w:trPr>
          <w:trHeight w:val="27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3"/>
                <w:szCs w:val="23"/>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7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receivables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gross receivables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7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current expected credit losses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accounts receivables, net</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0"/>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2024, the customer with the largest total receivables balance represented 23% of total receivables, the customer with the second largest total receivables balance represented 13% of total receivables, the customer with the third largest total receivables balance represented 11% of total receivables, and the customer with the fourth largest total receivables balance represented 10% of total receivables. As of March 31, 2023, the customer with the largest total receivables balance represented 40% of total receivables. </w:t>
      </w:r>
      <w:r>
        <w:rPr>
          <w:rFonts w:ascii="Times New Roman" w:cs="Times New Roman" w:eastAsia="Times New Roman" w:hAnsi="Times New Roman"/>
          <w:sz w:val="18"/>
          <w:szCs w:val="18"/>
          <w:color w:val="231F20"/>
        </w:rPr>
        <w:t>No</w:t>
      </w:r>
      <w:r>
        <w:rPr>
          <w:rFonts w:ascii="Times New Roman" w:cs="Times New Roman" w:eastAsia="Times New Roman" w:hAnsi="Times New Roman"/>
          <w:sz w:val="18"/>
          <w:szCs w:val="18"/>
          <w:color w:val="auto"/>
        </w:rPr>
        <w:t xml:space="preserve"> other customer represented 10% or more of receivables as of March 31, 2024 </w:t>
      </w:r>
      <w:r>
        <w:rPr>
          <w:rFonts w:ascii="Times New Roman" w:cs="Times New Roman" w:eastAsia="Times New Roman" w:hAnsi="Times New Roman"/>
          <w:sz w:val="18"/>
          <w:szCs w:val="18"/>
          <w:color w:val="231F20"/>
        </w:rPr>
        <w:t>or March 31, 2023</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movement in the allowance for current expected credit losses is as follows:</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8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1, 2021</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Reversal of provision</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 written off during the year as uncollectible</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Contract </w:t>
      </w:r>
      <w:r>
        <w:rPr>
          <w:rFonts w:ascii="Times New Roman" w:cs="Times New Roman" w:eastAsia="Times New Roman" w:hAnsi="Times New Roman"/>
          <w:sz w:val="18"/>
          <w:szCs w:val="18"/>
          <w:b w:val="1"/>
          <w:bCs w:val="1"/>
          <w:i w:val="1"/>
          <w:iCs w:val="1"/>
          <w:color w:val="231F20"/>
        </w:rPr>
        <w:t>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timing of revenue recognition may differ from the timing of invoicing to customers. Contract assets are created when invoicing occurs subsequent to revenue recognition. Contract assets are transferred to accounts receivable when the right to invoice becomes unconditional. Contract assets increased by $663.9 million and $254.1 million due to the timing of billings to customers, which fell into subsequent periods, as of March 31, 2024 and 2023, respectively, offset by $357.4 million and $250.7 million of contract assets transferred to accounts receivable, as of March 31, 2024 and 2023, respectively. The balance and activity for loss allowances related to contract assets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reconciliation of the movement in contract liabilities is as follows: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8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prepayment and billing in advance of performance</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at the beginning of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during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disposal (</w:t>
            </w:r>
            <w:r>
              <w:rPr>
                <w:rFonts w:ascii="Times New Roman" w:cs="Times New Roman" w:eastAsia="Times New Roman" w:hAnsi="Times New Roman"/>
                <w:sz w:val="18"/>
                <w:szCs w:val="18"/>
                <w:i w:val="1"/>
                <w:iCs w:val="1"/>
                <w:color w:val="auto"/>
              </w:rPr>
              <w:t>Note 21 - Related Party Transactions</w:t>
            </w: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980" w:type="dxa"/>
            <w:vAlign w:val="bottom"/>
            <w:gridSpan w:val="2"/>
            <w:vMerge w:val="continue"/>
          </w:tcPr>
          <w:p>
            <w:pPr>
              <w:spacing w:after="0"/>
              <w:rPr>
                <w:sz w:val="19"/>
                <w:szCs w:val="19"/>
                <w:color w:val="auto"/>
              </w:rPr>
            </w:pPr>
          </w:p>
        </w:tc>
        <w:tc>
          <w:tcPr>
            <w:tcW w:w="5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prepayment and billing in advance of performance</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at the beginning of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during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Satisfied Performance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For the fiscal years ended March 31, 2024,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revenue recognized from previously satisfied performance obligations in prior reporting periods was $1,866.6 million, $1,705.0 million, and $1,562.0 million, respectively. These amounts primarily represent royalties earned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Company has elected to exclude potential future royalty receipts from the disclosure of remaining performance obligations. In certain arrangements, the Company’s right to consideration may not correspond directly with the performance of obligations. Revenue recognition occurs upon delivery or beginning of license term, whichever is later.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of March 31, 2024, the aggregate transaction price allocated to remaining performance obligations was $2,484.4 million, which includes $0.8 million of non-cancellable and non-refundable committed funds received from certain customers, where the parties are in negotiations regarding the enforceable rights and obligations of the arrangement.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expects to recognize approximately 28% of remaining performance obligations as revenue over the next 12 months, 14% over the subsequent 13-to 24-month period, and the remainder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During the fiscal year ended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xml:space="preserve"> the Company decided to distribute Treasure Data to the immediate shareholders of the Company and sell IoTP to SoftBank Group Capital Limited. The distribution and sale of Treasure Data and IoTP, respectively represented a strategic shift that has or will have a major effect on the Company’s operations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financial results. In the course of the Company’s evaluation, it considered examples provided in ASC 205-20 of what may constitute a strategic shift that will have a major effect on operations and financial results. The following metrics were analyzed among others: total revenues of Treasure Data and IoTP when compared to those of the Company, total assets, losses and profits before and after taxes, respectively. As a result of this analysis, the Company determined the distribution and sale of the businesses qualified for classification as discontinued operations because Treasure Data was distributed to the immediate shareholders of the Company and IoTP was sold to SoftBank Group Capital Limited, the results of operations were not recorded as discontinued operations until the period in which the businesses were actually disposed of other than by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Treasure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June 2021, the Company completed a pro rata distribution of its controlling stake in Treasure Data to SoftBank Group Capital Limited. The distribution was recorded as a reduction to retained earnings at the carrying amount of Treasure Data’s net assets of $44.2 million and did not result in the recognition of gain or losses.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Upon the distribution, the Company and Treasure Data entered into a transition services agreement pursuant to which the Company provided enabling functions support services to the owners of Treasure Data on an interim transitional basis for up to three months after disposition. The revenue and cash flows associated with this transition services agreement were not significant to the operations of the Company. The Company completed its transition services for Treasure Data during the fiscal year ended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xml:space="preserve">. The Company provided no transition services in the </w:t>
      </w:r>
      <w:r>
        <w:rPr>
          <w:rFonts w:ascii="Times New Roman" w:cs="Times New Roman" w:eastAsia="Times New Roman" w:hAnsi="Times New Roman"/>
          <w:sz w:val="18"/>
          <w:szCs w:val="18"/>
          <w:color w:val="000000"/>
        </w:rPr>
        <w:t>fiscal years ended 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2024 and </w:t>
      </w:r>
      <w:r>
        <w:rPr>
          <w:rFonts w:ascii="Times New Roman" w:cs="Times New Roman" w:eastAsia="Times New Roman" w:hAnsi="Times New Roman"/>
          <w:sz w:val="18"/>
          <w:szCs w:val="18"/>
          <w:color w:val="231F20"/>
        </w:rPr>
        <w:t>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IoTP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In November 2021, the Company sold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31F20"/>
        </w:rPr>
        <w:t xml:space="preserve"> of its ownership in IoTP. The IoTP business was sold to the Company’s immediate shareholders for $12.0 million in cash consideration. In the </w:t>
      </w:r>
      <w:r>
        <w:rPr>
          <w:rFonts w:ascii="Times New Roman" w:cs="Times New Roman" w:eastAsia="Times New Roman" w:hAnsi="Times New Roman"/>
          <w:sz w:val="18"/>
          <w:szCs w:val="18"/>
          <w:color w:val="000000"/>
        </w:rPr>
        <w:t>fiscal year ended March 31, 2024</w:t>
      </w:r>
      <w:r>
        <w:rPr>
          <w:rFonts w:ascii="Times New Roman" w:cs="Times New Roman" w:eastAsia="Times New Roman" w:hAnsi="Times New Roman"/>
          <w:sz w:val="18"/>
          <w:szCs w:val="18"/>
          <w:color w:val="231F20"/>
        </w:rPr>
        <w:t xml:space="preserve">, the Company distributed its receivable related to the Company’s sale of IoTP to the majority shareholder of the Company, which represented a non-cash distribution of $12.0 million. Consideration with respect to the sale was unpaid as of March 31, 2023 and recorded as an other receivable in prepaid expenses and other current assets on the Consolidated Balance Sheets. Upon the sale, the carrying value of the net assets of IoTP equaled total consideration and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231F20"/>
        </w:rPr>
        <w:t xml:space="preserve"> gain or loss was recognized. The Company provided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231F20"/>
        </w:rPr>
        <w:t xml:space="preserve"> transition services to IoTP post-distribution in the </w:t>
      </w:r>
      <w:r>
        <w:rPr>
          <w:rFonts w:ascii="Times New Roman" w:cs="Times New Roman" w:eastAsia="Times New Roman" w:hAnsi="Times New Roman"/>
          <w:sz w:val="18"/>
          <w:szCs w:val="18"/>
          <w:color w:val="000000"/>
        </w:rPr>
        <w:t>fiscal years ended March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Summarized Financial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Operating results of Treasure Data and IoTP are reflected in discontinued operations in the consolidated financial statements for all periods presented through the dates of distribution and sale,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major components of revenues and expenses from discontinued operations is as follows:</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9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 March</w:t>
            </w:r>
          </w:p>
        </w:tc>
        <w:tc>
          <w:tcPr>
            <w:tcW w:w="0" w:type="dxa"/>
            <w:vAlign w:val="bottom"/>
          </w:tcPr>
          <w:p>
            <w:pPr>
              <w:spacing w:after="0"/>
              <w:rPr>
                <w:sz w:val="1"/>
                <w:szCs w:val="1"/>
                <w:color w:val="auto"/>
              </w:rPr>
            </w:pPr>
          </w:p>
        </w:tc>
      </w:tr>
      <w:tr>
        <w:trPr>
          <w:trHeight w:val="238"/>
        </w:trPr>
        <w:tc>
          <w:tcPr>
            <w:tcW w:w="9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7"/>
        </w:trPr>
        <w:tc>
          <w:tcPr>
            <w:tcW w:w="914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0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9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related costs</w:t>
            </w:r>
          </w:p>
        </w:tc>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9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discontinued operations before income taxes</w:t>
            </w: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14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Prior to the sale of IoTP, in November 2021, an impairment loss of $23.5 million was recognized on long-lived intangible and property and equipment assets of IoTP. The impairment was primarily a result of lower than anticipated operating results and a deterioration in projected results. For purposes of determining the impairment, the Company relied on the income approach utilizing discounted cash flows to arrive at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significant non-cash items and capital expenditures from discontinued operations is as follows:</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9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 March</w:t>
            </w:r>
          </w:p>
        </w:tc>
        <w:tc>
          <w:tcPr>
            <w:tcW w:w="0" w:type="dxa"/>
            <w:vAlign w:val="bottom"/>
          </w:tcPr>
          <w:p>
            <w:pPr>
              <w:spacing w:after="0"/>
              <w:rPr>
                <w:sz w:val="1"/>
                <w:szCs w:val="1"/>
                <w:color w:val="auto"/>
              </w:rPr>
            </w:pPr>
          </w:p>
        </w:tc>
      </w:tr>
      <w:tr>
        <w:trPr>
          <w:trHeight w:val="238"/>
        </w:trPr>
        <w:tc>
          <w:tcPr>
            <w:tcW w:w="9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7"/>
        </w:trPr>
        <w:tc>
          <w:tcPr>
            <w:tcW w:w="9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9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and depreciation expense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items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Other non-cash items include operating lease expense, share-based compensation cost and purchase of property and equipment for the fiscal years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 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March 31, 2024 and 2023, the Company had a goodwill balance of $1,625 million and $1,620 million, respectively. The period-over-period change in goodwill for the fiscal year ended March 31, 2024 was due to foreign currency translation adjustments. The Company did not record any goodwill impairment for the </w:t>
      </w:r>
      <w:r>
        <w:rPr>
          <w:rFonts w:ascii="Times New Roman" w:cs="Times New Roman" w:eastAsia="Times New Roman" w:hAnsi="Times New Roman"/>
          <w:sz w:val="18"/>
          <w:szCs w:val="18"/>
          <w:color w:val="000000"/>
        </w:rPr>
        <w:t>fiscal years ended March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 Intangible Assets, Net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Information related to intangible assets is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231F20"/>
              </w:rPr>
              <w:t>As of March 31,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r>
      <w:tr>
        <w:trPr>
          <w:trHeight w:val="214"/>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231F20"/>
                <w:w w:val="99"/>
              </w:rPr>
              <w:t>Gross Carrying</w:t>
            </w:r>
          </w:p>
        </w:tc>
        <w:tc>
          <w:tcPr>
            <w:tcW w:w="160" w:type="dxa"/>
            <w:vAlign w:val="bottom"/>
          </w:tcPr>
          <w:p>
            <w:pPr>
              <w:spacing w:after="0"/>
              <w:rPr>
                <w:sz w:val="18"/>
                <w:szCs w:val="18"/>
                <w:color w:val="auto"/>
              </w:rPr>
            </w:pPr>
          </w:p>
        </w:tc>
        <w:tc>
          <w:tcPr>
            <w:tcW w:w="15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231F20"/>
              </w:rPr>
              <w:t>Accumulated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8"/>
              </w:rPr>
              <w:t>Weighted Average</w:t>
            </w:r>
          </w:p>
        </w:tc>
      </w:tr>
      <w:tr>
        <w:trPr>
          <w:trHeight w:val="238"/>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231F20"/>
              </w:rPr>
              <w:t>Amount</w:t>
            </w:r>
          </w:p>
        </w:tc>
        <w:tc>
          <w:tcPr>
            <w:tcW w:w="160" w:type="dxa"/>
            <w:vAlign w:val="bottom"/>
          </w:tcPr>
          <w:p>
            <w:pPr>
              <w:spacing w:after="0"/>
              <w:rPr>
                <w:sz w:val="20"/>
                <w:szCs w:val="20"/>
                <w:color w:val="auto"/>
              </w:rPr>
            </w:pPr>
          </w:p>
        </w:tc>
        <w:tc>
          <w:tcPr>
            <w:tcW w:w="15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231F20"/>
              </w:rPr>
              <w:t>Amortization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8"/>
              </w:rPr>
              <w:t>Net Carrying Value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rPr>
              <w:t>Remaining Life</w:t>
            </w:r>
          </w:p>
        </w:tc>
      </w:tr>
      <w:tr>
        <w:trPr>
          <w:trHeight w:val="27"/>
        </w:trPr>
        <w:tc>
          <w:tcPr>
            <w:tcW w:w="42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for years)</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 &amp; licenses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under development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07"/>
        </w:trPr>
        <w:tc>
          <w:tcPr>
            <w:tcW w:w="5980" w:type="dxa"/>
            <w:vAlign w:val="bottom"/>
            <w:gridSpan w:val="10"/>
          </w:tcPr>
          <w:p>
            <w:pPr>
              <w:spacing w:after="0"/>
              <w:rPr>
                <w:sz w:val="20"/>
                <w:szCs w:val="20"/>
                <w:color w:val="auto"/>
              </w:rPr>
            </w:pPr>
            <w:r>
              <w:rPr>
                <w:rFonts w:ascii="Times New Roman" w:cs="Times New Roman" w:eastAsia="Times New Roman" w:hAnsi="Times New Roman"/>
                <w:sz w:val="18"/>
                <w:szCs w:val="18"/>
                <w:color w:val="231F20"/>
              </w:rPr>
              <w:t>Information regarding amortization expense for intangible assets is as follows: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1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Fiscal Years Ended March 31,</w:t>
            </w:r>
          </w:p>
        </w:tc>
        <w:tc>
          <w:tcPr>
            <w:tcW w:w="620" w:type="dxa"/>
            <w:vAlign w:val="bottom"/>
          </w:tcPr>
          <w:p>
            <w:pPr>
              <w:spacing w:after="0"/>
              <w:rPr>
                <w:sz w:val="24"/>
                <w:szCs w:val="24"/>
                <w:color w:val="auto"/>
              </w:rPr>
            </w:pPr>
          </w:p>
        </w:tc>
      </w:tr>
      <w:tr>
        <w:trPr>
          <w:trHeight w:val="27"/>
        </w:trPr>
        <w:tc>
          <w:tcPr>
            <w:tcW w:w="4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20" w:type="dxa"/>
            <w:vAlign w:val="bottom"/>
          </w:tcPr>
          <w:p>
            <w:pPr>
              <w:spacing w:after="0"/>
              <w:rPr>
                <w:sz w:val="20"/>
                <w:szCs w:val="20"/>
                <w:color w:val="auto"/>
              </w:rPr>
            </w:pPr>
          </w:p>
        </w:tc>
      </w:tr>
      <w:tr>
        <w:trPr>
          <w:trHeight w:val="27"/>
        </w:trPr>
        <w:tc>
          <w:tcPr>
            <w:tcW w:w="4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2"/>
                <w:szCs w:val="22"/>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The Company capitalized $0.0 million, $35.1 million and $11.0 million, and amortized $14.5 million, $22.5 million, and $26.5 million in development costs associated with internal use software in the fiscal years ended March 31, 2024,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respectively. There was no impairment of intangible assets for the fiscal years ended March 31, 2024 and 2023. Impairment of intangible assets for the </w:t>
      </w:r>
      <w:r>
        <w:rPr>
          <w:rFonts w:ascii="Times New Roman" w:cs="Times New Roman" w:eastAsia="Times New Roman" w:hAnsi="Times New Roman"/>
          <w:sz w:val="18"/>
          <w:szCs w:val="18"/>
          <w:color w:val="000000"/>
        </w:rPr>
        <w:t>fiscal year ended March 31, 2022</w:t>
      </w:r>
      <w:r>
        <w:rPr>
          <w:rFonts w:ascii="Times New Roman" w:cs="Times New Roman" w:eastAsia="Times New Roman" w:hAnsi="Times New Roman"/>
          <w:sz w:val="18"/>
          <w:szCs w:val="18"/>
          <w:color w:val="231F20"/>
        </w:rPr>
        <w:t xml:space="preserve"> was $5.0 million. The balance of capitalized costs related to internal use software, net of accumulated amortization was $32.3 million and $46.8 million, as of March 31, 2024 and 2023,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Estimated future amortization of intangible assets subject to amortization is as follows:</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 Property and Equipment, Net</w:t>
            </w: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2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Information regarding property and equipment, net is as follows:</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4"/>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17"/>
                <w:szCs w:val="17"/>
                <w:color w:val="auto"/>
              </w:rPr>
            </w:pPr>
          </w:p>
        </w:tc>
        <w:tc>
          <w:tcPr>
            <w:tcW w:w="1720" w:type="dxa"/>
            <w:vAlign w:val="bottom"/>
          </w:tcPr>
          <w:p>
            <w:pPr>
              <w:jc w:val="right"/>
              <w:ind w:right="85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57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Fixtures and motor vehicles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Depreciation expense for the fiscal years ended March 31, 2024,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was $76.0 million, $77.2 million, and $82.5 million, respectively. There was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231F20"/>
        </w:rPr>
        <w:t xml:space="preserve"> impairment of property and equipment for the fiscal years ended March 31, 2024 and 2023. Impairment of property and equipment for the </w:t>
      </w:r>
      <w:r>
        <w:rPr>
          <w:rFonts w:ascii="Times New Roman" w:cs="Times New Roman" w:eastAsia="Times New Roman" w:hAnsi="Times New Roman"/>
          <w:sz w:val="18"/>
          <w:szCs w:val="18"/>
          <w:color w:val="000000"/>
        </w:rPr>
        <w:t>fiscal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year ended March 31, 2022 </w:t>
      </w:r>
      <w:r>
        <w:rPr>
          <w:rFonts w:ascii="Times New Roman" w:cs="Times New Roman" w:eastAsia="Times New Roman" w:hAnsi="Times New Roman"/>
          <w:sz w:val="18"/>
          <w:szCs w:val="18"/>
          <w:color w:val="231F20"/>
        </w:rPr>
        <w:t>was $13.6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March 31, 2024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2023, the Company had ARO liabilities of $10.3 million and $10.0 million related to leasehold improvements, recorded in other current and other non-current liabilities on the Consolidated Balance Sheets. There was immaterial change in ARO liabilities in the </w:t>
      </w:r>
      <w:r>
        <w:rPr>
          <w:rFonts w:ascii="Times New Roman" w:cs="Times New Roman" w:eastAsia="Times New Roman" w:hAnsi="Times New Roman"/>
          <w:sz w:val="18"/>
          <w:szCs w:val="18"/>
          <w:color w:val="000000"/>
        </w:rPr>
        <w:t>fiscal years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March 31, 2024 and </w:t>
      </w:r>
      <w:r>
        <w:rPr>
          <w:rFonts w:ascii="Times New Roman" w:cs="Times New Roman" w:eastAsia="Times New Roman" w:hAnsi="Times New Roman"/>
          <w:sz w:val="18"/>
          <w:szCs w:val="18"/>
          <w:color w:val="231F20"/>
        </w:rPr>
        <w:t>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March 31,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the Company had $5.2 million and $5.4 million, respectively, of retirement assets recorded in property and equipment,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The Company’s lease obligations primarily consist of operating leases for property, IT and automobiles with lease terms expiring between calendar years </w:t>
      </w:r>
      <w:r>
        <w:rPr>
          <w:rFonts w:ascii="Times New Roman" w:cs="Times New Roman" w:eastAsia="Times New Roman" w:hAnsi="Times New Roman"/>
          <w:sz w:val="18"/>
          <w:szCs w:val="18"/>
          <w:color w:val="000000"/>
        </w:rPr>
        <w:t xml:space="preserve">2024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2044</w:t>
      </w:r>
      <w:r>
        <w:rPr>
          <w:rFonts w:ascii="Times New Roman" w:cs="Times New Roman" w:eastAsia="Times New Roman" w:hAnsi="Times New Roman"/>
          <w:sz w:val="18"/>
          <w:szCs w:val="18"/>
          <w:color w:val="231F20"/>
        </w:rPr>
        <w:t>. The Company’s lease agreements do not contain residual value guarantees, material variable payment provisions or material restrictive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covenants.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Company did not have material finance or short-term leases and did not incur any material variable lease expenses for all periods presented. For the fiscal years ended March 31, 2024,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operating lease expense was $33.7 million, $34.3 million, and $40.0 million, respectively. For the fiscal year ended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xml:space="preserve"> the Company recognized a loss on early termination of certain operating leases of $4.4 million. No material gains or losses were recognized on lease terminations in other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Supplemental disclosures of cash flow information related to operating leases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3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used for operating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weighted average remaining lease term and discount rate for operating leases are as follows:</w:t>
      </w:r>
    </w:p>
    <w:p>
      <w:pPr>
        <w:spacing w:after="0" w:line="27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36830</wp:posOffset>
            </wp:positionV>
            <wp:extent cx="33089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ind w:left="66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20"/>
                <w:szCs w:val="20"/>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3"/>
                <w:szCs w:val="23"/>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54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Maturity of total operating lease liabilities as of March 31, 2024 is as follows (in millions):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8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 of operating lease liabilities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operating lease liabilities</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March 31, 2024, the Company had one lease signed but not yet commenced, with a lease value of approximately $15 million and a lease term expiring in 2036. Subsequent to March 31, 2024, the Company </w:t>
      </w:r>
      <w:r>
        <w:rPr>
          <w:rFonts w:ascii="Times New Roman" w:cs="Times New Roman" w:eastAsia="Times New Roman" w:hAnsi="Times New Roman"/>
          <w:sz w:val="18"/>
          <w:szCs w:val="18"/>
          <w:color w:val="000000"/>
        </w:rPr>
        <w:t>renewed two of the leases for its global headquarters with an approximate value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$19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 Equity Investments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components of equity investments is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method investments under fair value option</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method investments under equity method</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investments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Income (loss) from equity investments, net is as follows:</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9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9"/>
          </w:tcPr>
          <w:p>
            <w:pPr>
              <w:ind w:left="8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Equity method investments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 (includes NAV)</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loss from equity investments, net</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right="20" w:hanging="332"/>
        <w:spacing w:after="0" w:line="229" w:lineRule="auto"/>
        <w:tabs>
          <w:tab w:leader="none" w:pos="328"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231F20"/>
        </w:rPr>
        <w:t>Includes equity method investments where the Company elected the fair value option, including those under the net asset value (“NAV”) practical expedient, along with investments accounted for under the equity method.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tc>
        <w:tc>
          <w:tcPr>
            <w:tcW w:w="2380" w:type="dxa"/>
            <w:vAlign w:val="bottom"/>
          </w:tcPr>
          <w:p>
            <w:pPr>
              <w:spacing w:after="0"/>
              <w:rPr>
                <w:sz w:val="20"/>
                <w:szCs w:val="20"/>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the Company’s equity method investments as of March 31, 2024 are as follows:</w:t>
            </w:r>
          </w:p>
        </w:tc>
        <w:tc>
          <w:tcPr>
            <w:tcW w:w="2380" w:type="dxa"/>
            <w:vAlign w:val="bottom"/>
          </w:tcPr>
          <w:p>
            <w:pPr>
              <w:spacing w:after="0"/>
              <w:rPr>
                <w:sz w:val="24"/>
                <w:szCs w:val="24"/>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Investments under equity method of accounting:</w:t>
            </w:r>
          </w:p>
        </w:tc>
        <w:tc>
          <w:tcPr>
            <w:tcW w:w="2380" w:type="dxa"/>
            <w:vAlign w:val="bottom"/>
          </w:tcPr>
          <w:p>
            <w:pPr>
              <w:spacing w:after="0"/>
              <w:rPr>
                <w:sz w:val="24"/>
                <w:szCs w:val="24"/>
                <w:color w:val="auto"/>
              </w:rPr>
            </w:pPr>
          </w:p>
        </w:tc>
      </w:tr>
      <w:tr>
        <w:trPr>
          <w:trHeight w:val="48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Interest %</w:t>
            </w:r>
          </w:p>
        </w:tc>
      </w:tr>
      <w:tr>
        <w:trPr>
          <w:trHeight w:val="27"/>
        </w:trPr>
        <w:tc>
          <w:tcPr>
            <w:tcW w:w="8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IOT Fund LP (Taiwan)</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25.8%</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Accelerator Advisory Limited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HOPU-ARM Holding Company Limited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DeepTech Labs Fund 1 LP</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r>
    </w:tbl>
    <w:p>
      <w:pPr>
        <w:spacing w:after="0" w:line="319" w:lineRule="exact"/>
        <w:rPr>
          <w:sz w:val="20"/>
          <w:szCs w:val="20"/>
          <w:color w:val="auto"/>
        </w:rPr>
      </w:pPr>
    </w:p>
    <w:p>
      <w:pPr>
        <w:jc w:val="both"/>
        <w:ind w:left="340" w:hanging="332"/>
        <w:spacing w:after="0" w:line="239" w:lineRule="auto"/>
        <w:tabs>
          <w:tab w:leader="none" w:pos="377"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231F20"/>
        </w:rPr>
        <w:t>The Company’s investment in HOPU-ARM Holding Company Limited entitles the Company to a 10% equity interest in HOPU-ARM Holding Company Limited and representation on the board of directors by virtue of the right to appoint one of three members of the board of directors. Accordingly, the Company has the ability to exercise significant influence over the operating and financial policies of HOPU-ARM Holding Company Limited</w:t>
      </w:r>
      <w:r>
        <w:rPr>
          <w:rFonts w:ascii="Times New Roman" w:cs="Times New Roman" w:eastAsia="Times New Roman" w:hAnsi="Times New Roman"/>
          <w:sz w:val="18"/>
          <w:szCs w:val="18"/>
          <w:i w:val="1"/>
          <w:iCs w:val="1"/>
          <w:color w:val="231F20"/>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Investments where fair value option elected (including those under the NAV practical expedient):</w:t>
            </w:r>
          </w:p>
        </w:tc>
        <w:tc>
          <w:tcPr>
            <w:tcW w:w="2380" w:type="dxa"/>
            <w:vAlign w:val="bottom"/>
          </w:tcPr>
          <w:p>
            <w:pPr>
              <w:spacing w:after="0"/>
              <w:rPr>
                <w:sz w:val="20"/>
                <w:szCs w:val="20"/>
                <w:color w:val="auto"/>
              </w:rPr>
            </w:pPr>
          </w:p>
        </w:tc>
      </w:tr>
      <w:tr>
        <w:trPr>
          <w:trHeight w:val="48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Interest %</w:t>
            </w:r>
          </w:p>
        </w:tc>
      </w:tr>
      <w:tr>
        <w:trPr>
          <w:trHeight w:val="27"/>
        </w:trPr>
        <w:tc>
          <w:tcPr>
            <w:tcW w:w="8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Acetone Limited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Ampere Computing Holdings LLC (“Ampere”)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 Walden Ventures Investments II,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 Walden Ventures Investments III,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HOPU-ARM Innovation Fund,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Catapult Ventures I,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bl>
    <w:p>
      <w:pPr>
        <w:spacing w:after="0" w:line="200" w:lineRule="exact"/>
        <w:rPr>
          <w:sz w:val="20"/>
          <w:szCs w:val="20"/>
          <w:color w:val="auto"/>
        </w:rPr>
      </w:pPr>
    </w:p>
    <w:p>
      <w:pPr>
        <w:sectPr>
          <w:pgSz w:w="11900" w:h="16838" w:orient="portrait"/>
          <w:cols w:equalWidth="0" w:num="1">
            <w:col w:w="11240"/>
          </w:cols>
          <w:pgMar w:left="320" w:top="121" w:right="33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09"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a limited liability company that maintains a specific ownership or limited partnerships which the Company has more than virtually no influence (i.e., at least 3% to 5% ownership) over the investee are accounted for using the equity method.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certain equity method investments in Acetone Limited and Ampere. See discussion below, along with </w:t>
      </w:r>
      <w:r>
        <w:rPr>
          <w:rFonts w:ascii="Times New Roman" w:cs="Times New Roman" w:eastAsia="Times New Roman" w:hAnsi="Times New Roman"/>
          <w:sz w:val="18"/>
          <w:szCs w:val="18"/>
          <w:i w:val="1"/>
          <w:iCs w:val="1"/>
          <w:color w:val="auto"/>
        </w:rPr>
        <w:t>Note 13 - Fair Value</w:t>
      </w:r>
      <w:r>
        <w:rPr>
          <w:rFonts w:ascii="Times New Roman" w:cs="Times New Roman" w:eastAsia="Times New Roman" w:hAnsi="Times New Roman"/>
          <w:sz w:val="18"/>
          <w:szCs w:val="18"/>
          <w:color w:val="auto"/>
        </w:rPr>
        <w:t>, for further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fiscal years ended March 31, 2024,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2022</w:t>
      </w:r>
      <w:r>
        <w:rPr>
          <w:rFonts w:ascii="Times New Roman" w:cs="Times New Roman" w:eastAsia="Times New Roman" w:hAnsi="Times New Roman"/>
          <w:sz w:val="18"/>
          <w:szCs w:val="18"/>
          <w:color w:val="auto"/>
        </w:rPr>
        <w:t>, income (loss) from equity method investments not accounted under the fair value option or the NAV practical expedient was immaterial.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March 31, 2024 and 2023, the carrying value of equity method investments under the fair value option measured at NAV was $106.2 million and $109.4 million, respectively.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For the fiscal years ended March 31, 2024,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2022,</w:t>
      </w:r>
      <w:r>
        <w:rPr>
          <w:rFonts w:ascii="Times New Roman" w:cs="Times New Roman" w:eastAsia="Times New Roman" w:hAnsi="Times New Roman"/>
          <w:sz w:val="18"/>
          <w:szCs w:val="18"/>
          <w:color w:val="auto"/>
        </w:rPr>
        <w:t xml:space="preserve"> the Company recognized losses from changes in fair value of $2.8 million, $1.7 million, and $40.0 million, respectively, for equity method investments accounted for under the NAV practical expedient. Changes in fair value are recorded through income (loss) from equity investments, net in the Consolidated Income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Acetone Limited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As </w:t>
      </w:r>
      <w:r>
        <w:rPr>
          <w:rFonts w:ascii="Times New Roman" w:cs="Times New Roman" w:eastAsia="Times New Roman" w:hAnsi="Times New Roman"/>
          <w:sz w:val="18"/>
          <w:szCs w:val="18"/>
          <w:color w:val="000000"/>
        </w:rPr>
        <w:t>of March 31, 2024 and</w:t>
      </w:r>
      <w:r>
        <w:rPr>
          <w:rFonts w:ascii="Times New Roman" w:cs="Times New Roman" w:eastAsia="Times New Roman" w:hAnsi="Times New Roman"/>
          <w:sz w:val="18"/>
          <w:szCs w:val="18"/>
          <w:color w:val="231F20"/>
        </w:rPr>
        <w:t xml:space="preserve"> 2023, the carrying value of </w:t>
      </w:r>
      <w:r>
        <w:rPr>
          <w:rFonts w:ascii="Times New Roman" w:cs="Times New Roman" w:eastAsia="Times New Roman" w:hAnsi="Times New Roman"/>
          <w:sz w:val="18"/>
          <w:szCs w:val="18"/>
          <w:color w:val="000000"/>
        </w:rPr>
        <w:t>the Company’s</w:t>
      </w:r>
      <w:r>
        <w:rPr>
          <w:rFonts w:ascii="Times New Roman" w:cs="Times New Roman" w:eastAsia="Times New Roman" w:hAnsi="Times New Roman"/>
          <w:sz w:val="18"/>
          <w:szCs w:val="18"/>
          <w:color w:val="231F20"/>
        </w:rPr>
        <w:t xml:space="preserve"> equity </w:t>
      </w:r>
      <w:r>
        <w:rPr>
          <w:rFonts w:ascii="Times New Roman" w:cs="Times New Roman" w:eastAsia="Times New Roman" w:hAnsi="Times New Roman"/>
          <w:sz w:val="18"/>
          <w:szCs w:val="18"/>
          <w:color w:val="000000"/>
        </w:rPr>
        <w:t>method investment in Acetone Limited was</w:t>
      </w:r>
      <w:r>
        <w:rPr>
          <w:rFonts w:ascii="Times New Roman" w:cs="Times New Roman" w:eastAsia="Times New Roman" w:hAnsi="Times New Roman"/>
          <w:sz w:val="18"/>
          <w:szCs w:val="18"/>
          <w:color w:val="231F20"/>
        </w:rPr>
        <w:t xml:space="preserve"> $76.5 million and $92.4 million, respectively. For the fiscal years ended March 31, 2024 and 2023, the Company recognized fair value losses of $15.9 million and $16.0 million, respectively, in </w:t>
      </w:r>
      <w:r>
        <w:rPr>
          <w:rFonts w:ascii="Times New Roman" w:cs="Times New Roman" w:eastAsia="Times New Roman" w:hAnsi="Times New Roman"/>
          <w:sz w:val="18"/>
          <w:szCs w:val="18"/>
          <w:color w:val="000000"/>
        </w:rPr>
        <w:t>income (loss) from equity investments, net in the Consolidated Income Statements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Fair value gains and losses for its retained interest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Acetone Limited were immaterial for the fiscal year ended March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Ampere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the carrying value of the Company’s equity method investment in Ampere was $389.8 million. For the fiscal year ended March 31, 2024</w:t>
      </w:r>
      <w:r>
        <w:rPr>
          <w:rFonts w:ascii="Times New Roman" w:cs="Times New Roman" w:eastAsia="Times New Roman" w:hAnsi="Times New Roman"/>
          <w:sz w:val="18"/>
          <w:szCs w:val="18"/>
          <w:color w:val="231F20"/>
        </w:rPr>
        <w:t>, the Company did not recognize any changes in fair value in Ampere.</w:t>
      </w:r>
      <w:r>
        <w:rPr>
          <w:rFonts w:ascii="Times New Roman" w:cs="Times New Roman" w:eastAsia="Times New Roman" w:hAnsi="Times New Roman"/>
          <w:sz w:val="18"/>
          <w:szCs w:val="18"/>
          <w:color w:val="auto"/>
        </w:rPr>
        <w:t xml:space="preserve"> For the fiscal year ended March 31, 2023, the Company recognized fair value losses of $26.3 million in income (loss) from equity investments, net in the Consolidated Income Statements. Fair value gains and losses for this investment were immaterial for the fiscal year ended March 31,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the outstanding balance of the convertible promissory note with Ampere was $32.4 million and $30.9 million, respectively, in other non-current assets on the Consolidated Balance Sheets. The Company’s maximum exposure to loss is the amounts invested in, and advanced to, Ampere as of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March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000000"/>
        </w:rPr>
        <w:t>, the carrying value of assets measured at NAV was $17.8 million and $18.0 million, respectively. For the fiscal years ended March 31, 2024,</w:t>
      </w:r>
      <w:r>
        <w:rPr>
          <w:rFonts w:ascii="Times New Roman" w:cs="Times New Roman" w:eastAsia="Times New Roman" w:hAnsi="Times New Roman"/>
          <w:sz w:val="18"/>
          <w:szCs w:val="18"/>
          <w:color w:val="231F20"/>
        </w:rPr>
        <w:t xml:space="preserve"> 2023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2022</w:t>
      </w:r>
      <w:r>
        <w:rPr>
          <w:rFonts w:ascii="Times New Roman" w:cs="Times New Roman" w:eastAsia="Times New Roman" w:hAnsi="Times New Roman"/>
          <w:sz w:val="18"/>
          <w:szCs w:val="18"/>
          <w:color w:val="000000"/>
        </w:rPr>
        <w:t>, the Company recognized gains of $0.5 million, losses of $10.5 million, and gains of $7.9 million, respectively, from changes in fair value for non-marketable securities accounted for under the NAV practical expedient.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the Company had an unrecognized trade receivable with a customer given the collectability of substantially all of the consideration was not probable. In the fiscal years ended March 31, 2024 and 2023, the Company invested in non-marketable preferred stock from the customer in exchange for the conversion of the trade receivables for $4.6 million and $12.7 million, respectively. In the fiscal year ended March 31, 2023, the Company also acquired additional non-marketable preferred stock in exchange for a cash payment of $10.7 million. Currently, the Company does not recognize any revenue and receivables due to not meeting the collectability criterion under ASC 606, Revenue from Contracts with Customers. The Company does not have significant influence or control over the customer and elected to apply the measurement alternative for this investment.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2023, the Company entered into a subscription letter with a subsidiary of SoftBank Vision Fund L.P (“SoftBank Vision Fund”) and Kigen (UK) Limited (“Kigen”), an entity of which SoftBank Vision Fund indirectly owned 85% of the share capital on a fully diluted basis with the remainder comprising management incentives. Pursuant to the subscription letter, the Company and this subsidiary of SoftBank Vision Fund each invested $10.0 million paid in cash in exchange for preference shares of Kigen.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components of gains and (losses) which primarily include unrealized gains and losses on non-marketable securities inclusive of those measured under the NAV practical expedient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Observable price adjustments on non-marketable equity securities (includes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non-marketable equity securities</w:t>
            </w:r>
          </w:p>
        </w:tc>
        <w:tc>
          <w:tcPr>
            <w:tcW w:w="400" w:type="dxa"/>
            <w:vAlign w:val="bottom"/>
          </w:tcPr>
          <w:p>
            <w:pPr>
              <w:spacing w:after="0"/>
              <w:rPr>
                <w:sz w:val="23"/>
                <w:szCs w:val="23"/>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of non-marketable equity securities</w:t>
            </w:r>
          </w:p>
        </w:tc>
        <w:tc>
          <w:tcPr>
            <w:tcW w:w="400" w:type="dxa"/>
            <w:vAlign w:val="bottom"/>
          </w:tcPr>
          <w:p>
            <w:pPr>
              <w:spacing w:after="0"/>
              <w:rPr>
                <w:sz w:val="23"/>
                <w:szCs w:val="23"/>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(loss) from equity investments in non-marketable securities,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80" w:type="dxa"/>
            <w:vAlign w:val="bottom"/>
            <w:gridSpan w:val="2"/>
            <w:vMerge w:val="continue"/>
          </w:tcPr>
          <w:p>
            <w:pPr>
              <w:spacing w:after="0"/>
              <w:rPr>
                <w:sz w:val="17"/>
                <w:szCs w:val="17"/>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7"/>
                <w:szCs w:val="17"/>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7"/>
                <w:szCs w:val="17"/>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t>
            </w:r>
          </w:p>
        </w:tc>
        <w:tc>
          <w:tcPr>
            <w:tcW w:w="4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equity method investments held by the Company are considered long-term to enable ecosystem growth and are non-current assets. For the fiscal years ended March 31, 2024, 2023 and 2022, the Company recognized $5.2 million, $1.0 million, and $2.4 million, respectively, in dividends from equity investments measured using the NAV practical expedient. The total amount of financial commitments to existing investees of the Company not provided for in the consolidated financial statements was </w:t>
      </w:r>
      <w:r>
        <w:rPr>
          <w:rFonts w:ascii="Times New Roman" w:cs="Times New Roman" w:eastAsia="Times New Roman" w:hAnsi="Times New Roman"/>
          <w:sz w:val="18"/>
          <w:szCs w:val="18"/>
          <w:color w:val="231F20"/>
        </w:rPr>
        <w:t>$19.9 million and $22.1 million</w:t>
      </w:r>
      <w:r>
        <w:rPr>
          <w:rFonts w:ascii="Times New Roman" w:cs="Times New Roman" w:eastAsia="Times New Roman" w:hAnsi="Times New Roman"/>
          <w:sz w:val="18"/>
          <w:szCs w:val="18"/>
          <w:color w:val="auto"/>
        </w:rPr>
        <w:t xml:space="preserve"> as of </w:t>
      </w:r>
      <w:r>
        <w:rPr>
          <w:rFonts w:ascii="Times New Roman" w:cs="Times New Roman" w:eastAsia="Times New Roman" w:hAnsi="Times New Roman"/>
          <w:sz w:val="18"/>
          <w:szCs w:val="18"/>
          <w:color w:val="231F20"/>
        </w:rPr>
        <w:t>March 31, 2024</w:t>
      </w:r>
      <w:r>
        <w:rPr>
          <w:rFonts w:ascii="Times New Roman" w:cs="Times New Roman" w:eastAsia="Times New Roman" w:hAnsi="Times New Roman"/>
          <w:sz w:val="18"/>
          <w:szCs w:val="18"/>
          <w:color w:val="auto"/>
        </w:rPr>
        <w:t xml:space="preserve"> and 2023, respectively</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 Financial Instruments</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Loans and Other Receivables</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Loans and other receivables carried at amortized cost is as follows:</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r>
      <w:tr>
        <w:trPr>
          <w:trHeight w:val="27"/>
        </w:trPr>
        <w:tc>
          <w:tcPr>
            <w:tcW w:w="6620" w:type="dxa"/>
            <w:vAlign w:val="bottom"/>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Loans and other receivables carried at amortized cost</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receivable</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23"/>
                <w:szCs w:val="23"/>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25</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540" w:type="dxa"/>
            <w:vAlign w:val="bottom"/>
          </w:tcPr>
          <w:p>
            <w:pPr>
              <w:spacing w:after="0"/>
              <w:rPr>
                <w:sz w:val="23"/>
                <w:szCs w:val="23"/>
                <w:color w:val="auto"/>
              </w:rPr>
            </w:pPr>
          </w:p>
        </w:tc>
        <w:tc>
          <w:tcPr>
            <w:tcW w:w="1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current expected credit losses</w:t>
            </w:r>
          </w:p>
        </w:tc>
        <w:tc>
          <w:tcPr>
            <w:tcW w:w="540" w:type="dxa"/>
            <w:vAlign w:val="bottom"/>
          </w:tcPr>
          <w:p>
            <w:pPr>
              <w:spacing w:after="0"/>
              <w:rPr>
                <w:sz w:val="23"/>
                <w:szCs w:val="23"/>
                <w:color w:val="auto"/>
              </w:rPr>
            </w:pPr>
          </w:p>
        </w:tc>
        <w:tc>
          <w:tcPr>
            <w:tcW w:w="1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Loans and other receivables carried at amortized cost, net</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allowance for current expected credit losses reflects the Company’s best estimate of expected credit losses of the receivables portfolio determined on the basis of historical experience, current information, and forecasts of future economic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2024 and 2023, the Company had a loan receivable of $16.2 million and $19.2 million, respectively, with Arduino SA (“Arduino”), a related party, which was subject to impairment considerations and was fully impaired in prior periods. For the fiscal years ended March 31, 2024 and 2023, the Company reduced the allowance for expected credit losses given the change in collectability with a corresponding reversal of expense for the portion of the loan receivable that was repaid in exchange for Series B preferred stock in Arduino. As of </w:t>
      </w:r>
      <w:r>
        <w:rPr>
          <w:rFonts w:ascii="Times New Roman" w:cs="Times New Roman" w:eastAsia="Times New Roman" w:hAnsi="Times New Roman"/>
          <w:sz w:val="18"/>
          <w:szCs w:val="18"/>
          <w:color w:val="231F20"/>
        </w:rPr>
        <w:t>March 31, 2024, the loan receivable from Arduino remained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fully impaired.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2024 and 2023, the Company had a </w:t>
      </w:r>
      <w:r>
        <w:rPr>
          <w:rFonts w:ascii="Times New Roman" w:cs="Times New Roman" w:eastAsia="Times New Roman" w:hAnsi="Times New Roman"/>
          <w:sz w:val="18"/>
          <w:szCs w:val="18"/>
          <w:color w:val="231F20"/>
        </w:rPr>
        <w:t>four-year loan of $3.1 million and $3.0 million, respectively, issued to Cerfe Labs, Inc, a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that remained fully impaired for the periods presented.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remaining balance of loans receivables as of March 31, 2024 comprised two five-year loans totaling $6.9 million and as of March 31, 2023 comprised a five-year loan of $3.1 million issued to Allia Limited</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As of March 31, 2023, balances included in other receivables comprised mainly of the $12.0 million receivable from the Company’s majority shareholder recorded in prepaid and other current assets on the Consolidated Balance Sheets related to the Company’s November 2021 sale of IoTP. </w:t>
      </w:r>
      <w:r>
        <w:rPr>
          <w:rFonts w:ascii="Times New Roman" w:cs="Times New Roman" w:eastAsia="Times New Roman" w:hAnsi="Times New Roman"/>
          <w:sz w:val="18"/>
          <w:szCs w:val="18"/>
          <w:color w:val="000000"/>
        </w:rPr>
        <w:t>In August 2023,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Company distributed its </w:t>
      </w:r>
      <w:r>
        <w:rPr>
          <w:rFonts w:ascii="Times New Roman" w:cs="Times New Roman" w:eastAsia="Times New Roman" w:hAnsi="Times New Roman"/>
          <w:sz w:val="18"/>
          <w:szCs w:val="18"/>
          <w:color w:val="231F20"/>
        </w:rPr>
        <w:t>receivable related to the Company’s sale of IoTP to the majority shareholder of the Company, which represented a non-cash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distribution of $12.0 million. See </w:t>
      </w:r>
      <w:r>
        <w:rPr>
          <w:rFonts w:ascii="Times New Roman" w:cs="Times New Roman" w:eastAsia="Times New Roman" w:hAnsi="Times New Roman"/>
          <w:sz w:val="18"/>
          <w:szCs w:val="18"/>
          <w:i w:val="1"/>
          <w:iCs w:val="1"/>
          <w:color w:val="231F20"/>
        </w:rPr>
        <w:t>Note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5 - Discontinued Operations</w:t>
      </w:r>
      <w:r>
        <w:rPr>
          <w:rFonts w:ascii="Times New Roman" w:cs="Times New Roman" w:eastAsia="Times New Roman" w:hAnsi="Times New Roman"/>
          <w:sz w:val="18"/>
          <w:szCs w:val="18"/>
          <w:color w:val="000000"/>
        </w:rPr>
        <w:t>, for further details</w:t>
      </w:r>
      <w:r>
        <w:rPr>
          <w:rFonts w:ascii="Times New Roman" w:cs="Times New Roman" w:eastAsia="Times New Roman" w:hAnsi="Times New Roman"/>
          <w:sz w:val="18"/>
          <w:szCs w:val="18"/>
          <w:color w:val="231F20"/>
        </w:rPr>
        <w:t>. The remaining balance as of March 31, 2024 and 2023, pertains to lease deposits and other receivables.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In December 2021, the Company acquired a $29.0 million principal balance convertible loan in Ampere. The Company elected the fair value option to measure this convertible loan receivable for which changes in fair value are recorded in other non-operating income (loss), net in the Consolidated Income Statements. For the </w:t>
      </w:r>
      <w:r>
        <w:rPr>
          <w:rFonts w:ascii="Times New Roman" w:cs="Times New Roman" w:eastAsia="Times New Roman" w:hAnsi="Times New Roman"/>
          <w:sz w:val="18"/>
          <w:szCs w:val="18"/>
          <w:color w:val="000000"/>
        </w:rPr>
        <w:t>fiscal years ended March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 the Company recognized gains on this convertible loan receivable of $1.0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 million, and $0.0 million,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Derivatives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March 31, 2024</w:t>
      </w:r>
      <w:r>
        <w:rPr>
          <w:rFonts w:ascii="Times New Roman" w:cs="Times New Roman" w:eastAsia="Times New Roman" w:hAnsi="Times New Roman"/>
          <w:sz w:val="18"/>
          <w:szCs w:val="18"/>
          <w:color w:val="auto"/>
        </w:rPr>
        <w:t>, the notional value of outstanding foreign currency forward contracts was £728.0 million and the fair value was $0.1 million. As of March 31, 2023, the notional value of outstanding foreign currency forward contracts was £340.0 million and the fair value was $9.3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notional amounts of the Company’s outstanding derivative instruments: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0"/>
                <w:szCs w:val="20"/>
                <w:color w:val="auto"/>
              </w:rPr>
            </w:pPr>
          </w:p>
        </w:tc>
      </w:tr>
      <w:tr>
        <w:trPr>
          <w:trHeight w:val="27"/>
        </w:trPr>
        <w:tc>
          <w:tcPr>
            <w:tcW w:w="6620" w:type="dxa"/>
            <w:vAlign w:val="bottom"/>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5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3"/>
                <w:szCs w:val="23"/>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outstanding derivative instruments: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r>
      <w:tr>
        <w:trPr>
          <w:trHeight w:val="270"/>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7"/>
        </w:trPr>
        <w:tc>
          <w:tcPr>
            <w:tcW w:w="540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 Gains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gains (losses) on foreign currency forward contracts designated as cash flow hedges: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Fiscal Year Ended March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reclassified in Accumulated other comprehensive income on cash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flow hedge derivatives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reclassified from Accumulated other comprehensive income into</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 on cash flow hedges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Net change in fair value of the effective portion of designated cash flow</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9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98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hedges, net of tax </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Income Statements, before tax:</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29" w:lineRule="auto"/>
        <w:tabs>
          <w:tab w:leader="none" w:pos="28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amounts reported in accumulated other comprehensive income at the reporting date are expected to be reclassified into earnings within the next 12 months.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For the fiscal years ended March 31, 2024 and </w:t>
      </w:r>
      <w:r>
        <w:rPr>
          <w:rFonts w:ascii="Times New Roman" w:cs="Times New Roman" w:eastAsia="Times New Roman" w:hAnsi="Times New Roman"/>
          <w:sz w:val="18"/>
          <w:szCs w:val="18"/>
          <w:color w:val="000000"/>
        </w:rPr>
        <w:t>2023, the Company’s cash flow hedges were highly effective with immaterial amounts of ineffectiveness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recorded in the Consolidated Income Statements for these designated cash flow hedges and all components of each derivative’s gain or loss were included in the assessment of hedge effectiveness.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Non-designated Hedging Instrument Gains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gains (losses) on derivatives not designated as hedging instruments recorded in other non-operating income (loss), net in the Consolidated Income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classifies foreign currency forward contracts as Level 2 fair value measurements pursuant to the fair value hierarchy. See </w:t>
      </w:r>
      <w:r>
        <w:rPr>
          <w:rFonts w:ascii="Times New Roman" w:cs="Times New Roman" w:eastAsia="Times New Roman" w:hAnsi="Times New Roman"/>
          <w:sz w:val="18"/>
          <w:szCs w:val="18"/>
          <w:i w:val="1"/>
          <w:iCs w:val="1"/>
          <w:color w:val="auto"/>
        </w:rPr>
        <w:t>Note 13 -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w:t>
      </w:r>
      <w:r>
        <w:rPr>
          <w:rFonts w:ascii="Times New Roman" w:cs="Times New Roman" w:eastAsia="Times New Roman" w:hAnsi="Times New Roman"/>
          <w:sz w:val="18"/>
          <w:szCs w:val="18"/>
          <w:color w:val="auto"/>
        </w:rPr>
        <w:t>, for further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value measurement levels for any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the Company’s fair value hierarchy for the liability measured and recognized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38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following table presents the Company’s fair value hierarchy for assets measured and recognized at fair value, excluding investments where the NAV practical expedient has been elected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38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30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loans receivable</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1"/>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investments represent term deposits with banks with a maturity between 3 and 12 months.</w:t>
      </w:r>
    </w:p>
    <w:p>
      <w:pPr>
        <w:spacing w:after="0" w:line="87" w:lineRule="exact"/>
        <w:rPr>
          <w:rFonts w:ascii="Times New Roman" w:cs="Times New Roman" w:eastAsia="Times New Roman" w:hAnsi="Times New Roman"/>
          <w:sz w:val="23"/>
          <w:szCs w:val="23"/>
          <w:color w:val="auto"/>
          <w:vertAlign w:val="superscript"/>
        </w:rPr>
      </w:pPr>
    </w:p>
    <w:p>
      <w:pPr>
        <w:ind w:left="340" w:hanging="332"/>
        <w:spacing w:after="0" w:line="230" w:lineRule="auto"/>
        <w:tabs>
          <w:tab w:leader="none" w:pos="328"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 accordance with Accounting Standards Codification (“ASC”) Subtopic 820-10,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investments that are measured at fair value using the NAV practical expedient are not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tables summarize changes in the fair value, along with other activity associated with the Company’s Level 3 financial assets and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financial assets at the beginning of the period</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0"/>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Additions, net of contributions from shareholders of the Company</w:t>
            </w:r>
          </w:p>
        </w:tc>
        <w:tc>
          <w:tcPr>
            <w:tcW w:w="520" w:type="dxa"/>
            <w:vAlign w:val="bottom"/>
          </w:tcPr>
          <w:p>
            <w:pPr>
              <w:spacing w:after="0"/>
              <w:rPr>
                <w:sz w:val="23"/>
                <w:szCs w:val="23"/>
                <w:color w:val="auto"/>
              </w:rPr>
            </w:pP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Fair value losses recognized in the Consolidated Income Statements</w:t>
            </w:r>
          </w:p>
        </w:tc>
        <w:tc>
          <w:tcPr>
            <w:tcW w:w="5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0"/>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Distributions to shareholders of the Company</w:t>
            </w:r>
          </w:p>
        </w:tc>
        <w:tc>
          <w:tcPr>
            <w:tcW w:w="520" w:type="dxa"/>
            <w:vAlign w:val="bottom"/>
          </w:tcPr>
          <w:p>
            <w:pPr>
              <w:spacing w:after="0"/>
              <w:rPr>
                <w:sz w:val="23"/>
                <w:szCs w:val="23"/>
                <w:color w:val="auto"/>
              </w:rPr>
            </w:pP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the end of the period</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
        </w:trPr>
        <w:tc>
          <w:tcPr>
            <w:tcW w:w="6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4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financial assets at the beginning of the period</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20" w:type="dxa"/>
            <w:vAlign w:val="bottom"/>
          </w:tcPr>
          <w:p>
            <w:pPr>
              <w:spacing w:after="0"/>
              <w:rPr>
                <w:sz w:val="23"/>
                <w:szCs w:val="23"/>
                <w:color w:val="auto"/>
              </w:rPr>
            </w:pP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Converted into equity</w:t>
            </w:r>
          </w:p>
        </w:tc>
        <w:tc>
          <w:tcPr>
            <w:tcW w:w="520" w:type="dxa"/>
            <w:vAlign w:val="bottom"/>
          </w:tcPr>
          <w:p>
            <w:pPr>
              <w:spacing w:after="0"/>
              <w:rPr>
                <w:sz w:val="23"/>
                <w:szCs w:val="23"/>
                <w:color w:val="auto"/>
              </w:rPr>
            </w:pP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Fair value gains recognized in the income statement</w:t>
            </w:r>
          </w:p>
        </w:tc>
        <w:tc>
          <w:tcPr>
            <w:tcW w:w="5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the end of the period</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See below for a description of the valuation techniques and inputs used in the fair value measurement of Level 3 investments including equity method investments, convertible loans receivable, and currency exchange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in accordance with the guidance in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(ii) subject to availability of sufficient information, the income approach based on the discounted cash flow method, or (iii) the probability-weighted, expected return (“PWER”) approach.</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market-calibration approach considers valuation multiples that are calibrated to the valuation as of the prior valuation date (i.e., quarterly) based on: (a) 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tables provide quantitative information related to certain key assumptions utilized in the valuation of equity method investments accounted for under the fair value option:</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062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millions)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of Estimates</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Acetone – Market-Calibration or</w:t>
            </w:r>
          </w:p>
        </w:tc>
        <w:tc>
          <w:tcPr>
            <w:tcW w:w="2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LTM Revenue Multiple</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1.3x - 1.5x</w:t>
            </w:r>
          </w:p>
        </w:tc>
        <w:tc>
          <w:tcPr>
            <w:tcW w:w="0" w:type="dxa"/>
            <w:vAlign w:val="bottom"/>
          </w:tcPr>
          <w:p>
            <w:pPr>
              <w:spacing w:after="0"/>
              <w:rPr>
                <w:sz w:val="1"/>
                <w:szCs w:val="1"/>
                <w:color w:val="auto"/>
              </w:rPr>
            </w:pPr>
          </w:p>
        </w:tc>
      </w:tr>
      <w:tr>
        <w:trPr>
          <w:trHeight w:val="140"/>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720" w:type="dxa"/>
            <w:vAlign w:val="bottom"/>
            <w:gridSpan w:val="2"/>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 Method</w:t>
            </w: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gridSpan w:val="2"/>
            <w:vMerge w:val="continue"/>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560" w:type="dxa"/>
            <w:vAlign w:val="bottom"/>
            <w:gridSpan w:val="2"/>
            <w:vMerge w:val="continue"/>
          </w:tcPr>
          <w:p>
            <w:pPr>
              <w:spacing w:after="0"/>
              <w:rPr>
                <w:sz w:val="18"/>
                <w:szCs w:val="18"/>
                <w:color w:val="auto"/>
              </w:rPr>
            </w:pPr>
          </w:p>
        </w:tc>
        <w:tc>
          <w:tcPr>
            <w:tcW w:w="14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Probability of initial public</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Probability weighted – 100%, Time</w:t>
            </w:r>
          </w:p>
        </w:tc>
        <w:tc>
          <w:tcPr>
            <w:tcW w:w="0" w:type="dxa"/>
            <w:vAlign w:val="bottom"/>
          </w:tcPr>
          <w:p>
            <w:pPr>
              <w:spacing w:after="0"/>
              <w:rPr>
                <w:sz w:val="1"/>
                <w:szCs w:val="1"/>
                <w:color w:val="auto"/>
              </w:rPr>
            </w:pPr>
          </w:p>
        </w:tc>
      </w:tr>
      <w:tr>
        <w:trPr>
          <w:trHeight w:val="90"/>
        </w:trPr>
        <w:tc>
          <w:tcPr>
            <w:tcW w:w="156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2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Ampere – PWER</w:t>
            </w:r>
          </w:p>
        </w:tc>
        <w:tc>
          <w:tcPr>
            <w:tcW w:w="27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offering, time to future exit</w:t>
            </w:r>
          </w:p>
        </w:tc>
        <w:tc>
          <w:tcPr>
            <w:tcW w:w="2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to future exit scenario - 1.5 years,</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scenario, discount rate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 rate – 17.64%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062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millions)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of Estimates</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Acetone – Market-Calibration or</w:t>
            </w:r>
          </w:p>
        </w:tc>
        <w:tc>
          <w:tcPr>
            <w:tcW w:w="2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LTM Revenue Multiple</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2.1x - 2.3x</w:t>
            </w:r>
          </w:p>
        </w:tc>
        <w:tc>
          <w:tcPr>
            <w:tcW w:w="0" w:type="dxa"/>
            <w:vAlign w:val="bottom"/>
          </w:tcPr>
          <w:p>
            <w:pPr>
              <w:spacing w:after="0"/>
              <w:rPr>
                <w:sz w:val="1"/>
                <w:szCs w:val="1"/>
                <w:color w:val="auto"/>
              </w:rPr>
            </w:pPr>
          </w:p>
        </w:tc>
      </w:tr>
      <w:tr>
        <w:trPr>
          <w:trHeight w:val="140"/>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720" w:type="dxa"/>
            <w:vAlign w:val="bottom"/>
            <w:gridSpan w:val="2"/>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 Method</w:t>
            </w: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gridSpan w:val="2"/>
            <w:vMerge w:val="continue"/>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560" w:type="dxa"/>
            <w:vAlign w:val="bottom"/>
            <w:gridSpan w:val="2"/>
            <w:vMerge w:val="continue"/>
          </w:tcPr>
          <w:p>
            <w:pPr>
              <w:spacing w:after="0"/>
              <w:rPr>
                <w:sz w:val="18"/>
                <w:szCs w:val="18"/>
                <w:color w:val="auto"/>
              </w:rPr>
            </w:pPr>
          </w:p>
        </w:tc>
        <w:tc>
          <w:tcPr>
            <w:tcW w:w="14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Probability of initial public</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Probability weighted – 100%, Time</w:t>
            </w:r>
          </w:p>
        </w:tc>
        <w:tc>
          <w:tcPr>
            <w:tcW w:w="0" w:type="dxa"/>
            <w:vAlign w:val="bottom"/>
          </w:tcPr>
          <w:p>
            <w:pPr>
              <w:spacing w:after="0"/>
              <w:rPr>
                <w:sz w:val="1"/>
                <w:szCs w:val="1"/>
                <w:color w:val="auto"/>
              </w:rPr>
            </w:pPr>
          </w:p>
        </w:tc>
      </w:tr>
      <w:tr>
        <w:trPr>
          <w:trHeight w:val="90"/>
        </w:trPr>
        <w:tc>
          <w:tcPr>
            <w:tcW w:w="156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2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Ampere – PWER</w:t>
            </w:r>
          </w:p>
        </w:tc>
        <w:tc>
          <w:tcPr>
            <w:tcW w:w="27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offering, time to future exit</w:t>
            </w:r>
          </w:p>
        </w:tc>
        <w:tc>
          <w:tcPr>
            <w:tcW w:w="2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to future exit scenario - 1.3 years,</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scenario, discount rate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 rate – 18.61%</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Receivable—Ampere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Company acquired a $29.0 million convertible promissory note in Ampere, which is included in other non-current assets on the Consolidated Balance Sheets. As of March 31, 2024 and 2023, the Company’s maximum exposure to loss is the amounts invested in, and advanced to, Ampere. As of March 31, 2024 and 2023, the Company has not converted any of its convertible promissory note into equity.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March 31, 2024 and 2023, the Company has not recognized any credit losses related to this convertible loan.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calculated using significant unobservable inputs did not differ materially from the amortized cost basis as of March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currency exchange contracts, these contracts are valued at the present value of future cash flows based on forward exchange rates at the balance sheet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Trust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ADSs at a nominal value or the trustee of the EBT has the power to acquire ordinary shares or ADSs of the Company in the open market, which purchases may be funded by one or more loans from the Company to the EBT or non-repayable gifts made by the Company to the EBT. As of March 31, 2024, the EBT held 603,450 of ADSs purchased from the Company at par value. The market value of ADSs held by EBT on March 31, 2024 is $75.4 million. These ADSs were expected to be transferred out of the EBT, in order to settle future vesting of share-based compensation for employees. As the EBT is consolidated by the Company, ordinary shares or ADSs held by the EBT are considered authorized and issued but not outstanding for the computation of earnings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Shareholder Distributions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June 2021, the Company distributed its ownership in Treasure Data to the immediate shareholders of the Company at a value of $44.2 million.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5 - Discontinued Operations </w:t>
      </w:r>
      <w:r>
        <w:rPr>
          <w:rFonts w:ascii="Times New Roman" w:cs="Times New Roman" w:eastAsia="Times New Roman" w:hAnsi="Times New Roman"/>
          <w:sz w:val="18"/>
          <w:szCs w:val="18"/>
          <w:color w:val="auto"/>
        </w:rPr>
        <w:t>for further details.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the Company distributed its ownership in Arm China to the immediate shareholders of the Company, which represented a non-cash distribution of $975.7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In the </w:t>
      </w:r>
      <w:r>
        <w:rPr>
          <w:rFonts w:ascii="Times New Roman" w:cs="Times New Roman" w:eastAsia="Times New Roman" w:hAnsi="Times New Roman"/>
          <w:sz w:val="18"/>
          <w:szCs w:val="18"/>
          <w:color w:val="000000"/>
        </w:rPr>
        <w:t>fiscal year ended March 31, 2024</w:t>
      </w:r>
      <w:r>
        <w:rPr>
          <w:rFonts w:ascii="Times New Roman" w:cs="Times New Roman" w:eastAsia="Times New Roman" w:hAnsi="Times New Roman"/>
          <w:sz w:val="18"/>
          <w:szCs w:val="18"/>
          <w:color w:val="231F20"/>
        </w:rPr>
        <w:t xml:space="preserve">, the Company distributed its receivable related to the Company’s sale of IoTP to the majority shareholder of the Company, which represented a non-cash distribution of $12.0 million. </w:t>
      </w:r>
      <w:r>
        <w:rPr>
          <w:rFonts w:ascii="Times New Roman" w:cs="Times New Roman" w:eastAsia="Times New Roman" w:hAnsi="Times New Roman"/>
          <w:sz w:val="18"/>
          <w:szCs w:val="18"/>
          <w:color w:val="000000"/>
        </w:rPr>
        <w:t>See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Note 5 - Discontinued Operations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Restructuring and Other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In March 2022, the Company announced a restructuring plan to align its workforce with strategic business activities and to improve efficiencies in its operations. </w:t>
      </w:r>
      <w:r>
        <w:rPr>
          <w:rFonts w:ascii="Times New Roman" w:cs="Times New Roman" w:eastAsia="Times New Roman" w:hAnsi="Times New Roman"/>
          <w:sz w:val="18"/>
          <w:szCs w:val="18"/>
          <w:color w:val="000000"/>
        </w:rPr>
        <w:t>For the fiscal years ended March 31, 2023 and 2022, the Company recognized restructuring expenses of $1.5 million and $25.8 million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restructuring and related costs in the Consolidated Income Statements in connection with these activities. Restructuring activities were completed and the restructuring liability was settled in the fiscal year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 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share-based payment arrangements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Units—The Arm Limited All Employee Plan 2019 (“2019 AEP”)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an RSU plan was established for all employees of the Company. Vesting of these RSUs under the 2019 AEP requires the continuous service of the employees through the vesting date, is subject to the achievement of a market condition target, and vesting occurs on the earliest of the following: (1) the occurrence of one of various events comprising a change in control of the Company, (2) an initial public offering, or (3) the passage of time with the date being March 9, 2026. The Company also maintains a subplan for employees of its subsidiary, Arm Israel, in which RSUs will be settled in cash at the vesting. Employees may elect not to participate in the 2019 AEP. For all periods presented prior to IPO, a change in control or an initial public offering is generally not considered probable until it has occurred. These awards were expected to be cash settled and therefore were liability-classified. Post-IPO, the 2019 AEP vested on the occurrence of an “exit event” to the extent that the relevant vesting hurdle was met or exceeded. As of October 25, 2023, the Company had determined that the market condition for the 2019 AEP had been met and, therefore, all awards under the 2019 AEP Plan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vested at 100% in March 2024. The equity-classified awards were settled in ordinary shares of the Company at the vesting date and neither carry rights to dividends nor voting rights. The liability-classified awards for Arm Israel were settled in cash. The awards were forfeited if an employee left the Company before the RSUs vested. For all periods presented, the aggregate nominal amount of shares over which the Company’s Remuneration Committee may grant awards under the 2019 AEP was limited so that it does not exceed at any time an amount equal to 2.2 percent of the aggregate nominal amount of the Company’s fully diluted equity share capital. We did not grant further awards under this plan after IPO. As of March 31, 2024, all RSUs under this plan vested and were settled. As of March 31, 2023 and 2022, 11,601,185 and 13,507,360 RSUs were outstanding,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years ended March 31, 2024, 2023 and 2022, the Company recognized $515.7 million, $56.0 million and $30.8 million of share-based compensation cost, respectively, and $114.1 million, $11.6 million and $5.4 million of tax benefit associated with these awards, respectively. As of March 31, 2023, $114.2 million was recognized as a liability for the liability-classified RSUs under the 2019 AEP in the non-current portion of accrued compensation and share-based compensation on the Consolidated Balance Sheets related to awards that were liability-classified pre-IPO.</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fiscal year ended March 31, 2024, the Company had $18.2 million payments arising from normal course vesting events for liability-classified share-based awards, representing the fair value of the vested RSUs. For the fiscal year ended March 31, 2023, liability-classified share-based awards paid were $15.9 million related to the RSUs that had vesting conditions accelerated pursuant to restructuring activities, of which $11.8 million of share-based compensation cost was recognized in the fiscal year ended March 31, 2023. The Company did not have any payments arising from normal course vesting events for liability-classified share-based awards for the fiscal years ended March 31, 2023 and 2022. The fair value of RSUs vested for the fiscal year ended March 31, 2023 was $16.2 million.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IPO, all RSUs previously issued under the 2019 AEP were modified to be settled in ordinary shares of the Company except for those awards granted to employees of Arm Israel. For those RSUs to be settled in ordinary shares, the Company accounted for this change as a modification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and changed the classification of the awards from liability-classified to equity-classified. During the fiscal year ended March 31, 2024, as a result of the modification, the Company reclassified $306.6 million from the non-current portion of accrued compensation and share-based compensation to additional paid-in capital on the Consolidated Balance Sheets. The modification resulted in the incremental and accelerated share-based compensation cost of $217.2 million at the modification date which affected 5,251 employees. For the remaining RSUs granted to employees of Arm Israel, these awards remain liability-classified and the Company remeasured the RSUs at fair value at each reporting period through the date of settlement.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starting from May 2022 through June 2022, the Company’s remuneration committee modified the terms of the 2019 AEP to accelerate the vesting for approximately 435 employees affected by restructuring activities initiated in the fiscal year ended March 31, 2022. The affected participants of the plan were provided the option to i) settle all unvested RSUs for a cash payment equivalent to the product of (a) a fixed amount as determined by the Company’s Remuneration Committee (b) 50% of the number of RSUs held by the participant, or ii) retain the RSUs until they become vested pursuant to the original vesting terms. The Company accounted for this acceleration as a modification of vesting in connection with a settlement which resulted in the recognition of incremental share-based compensation cost. For the fiscal year ended March 31, 2023, the Company recognized incremental share-based compensation cost of $11.8 million related to the cash receipt option and $2.2 million related to the RSUs retention option.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identifies the award activity under the 2019 AEP:</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2"/>
        </w:trPr>
        <w:tc>
          <w:tcPr>
            <w:tcW w:w="6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 Fair</w:t>
            </w:r>
          </w:p>
        </w:tc>
        <w:tc>
          <w:tcPr>
            <w:tcW w:w="0" w:type="dxa"/>
            <w:vAlign w:val="bottom"/>
          </w:tcPr>
          <w:p>
            <w:pPr>
              <w:spacing w:after="0"/>
              <w:rPr>
                <w:sz w:val="1"/>
                <w:szCs w:val="1"/>
                <w:color w:val="auto"/>
              </w:rPr>
            </w:pPr>
          </w:p>
        </w:tc>
      </w:tr>
      <w:tr>
        <w:trPr>
          <w:trHeight w:val="308"/>
        </w:trPr>
        <w:tc>
          <w:tcPr>
            <w:tcW w:w="6600" w:type="dxa"/>
            <w:vAlign w:val="bottom"/>
          </w:tcPr>
          <w:p>
            <w:pPr>
              <w:spacing w:after="0"/>
              <w:rPr>
                <w:sz w:val="24"/>
                <w:szCs w:val="24"/>
                <w:color w:val="auto"/>
              </w:rPr>
            </w:pPr>
          </w:p>
        </w:tc>
        <w:tc>
          <w:tcPr>
            <w:tcW w:w="22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xml:space="preserve">Value Per Award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2023</w:t>
            </w: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11,601,185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(11,358,553)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0" w:type="dxa"/>
            <w:vAlign w:val="bottom"/>
          </w:tcPr>
          <w:p>
            <w:pPr>
              <w:spacing w:after="0"/>
              <w:rPr>
                <w:sz w:val="1"/>
                <w:szCs w:val="1"/>
                <w:color w:val="auto"/>
              </w:rPr>
            </w:pPr>
          </w:p>
        </w:tc>
      </w:tr>
      <w:tr>
        <w:trPr>
          <w:trHeight w:val="27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Cancelled and forfeited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expected to vest as of March 31, 2024</w:t>
            </w:r>
          </w:p>
        </w:tc>
        <w:tc>
          <w:tcPr>
            <w:tcW w:w="2280" w:type="dxa"/>
            <w:vAlign w:val="bottom"/>
            <w:tcBorders>
              <w:bottom w:val="single" w:sz="8" w:color="auto"/>
            </w:tcBorders>
          </w:tcPr>
          <w:p>
            <w:pPr>
              <w:spacing w:after="0"/>
              <w:rPr>
                <w:sz w:val="2"/>
                <w:szCs w:val="2"/>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continue"/>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hanging="332"/>
        <w:spacing w:after="0" w:line="266" w:lineRule="auto"/>
        <w:tabs>
          <w:tab w:leader="none" w:pos="3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2019 AEP outstanding awards were liability-classified with a weighted average fair value per RSU of $23.33, representing total fair value of $270.7 million. For periods presented prior to the IPO, the average grant date fair value per award represents the modification fair value at IPO.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periods prior to IPO,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the Company’s best estimate for the effects of non-transferability and exercise restrictions (including the probability of meeting market conditions attached to the RSUs).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for the RSUs under the 2019 AEP for the relevant periods: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15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56.10</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39.27</w:t>
            </w:r>
          </w:p>
        </w:tc>
      </w:tr>
      <w:tr>
        <w:trPr>
          <w:trHeight w:val="27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 until liquidity event</w:t>
            </w:r>
          </w:p>
        </w:tc>
        <w:tc>
          <w:tcPr>
            <w:tcW w:w="1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7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to liquidity event</w:t>
            </w:r>
          </w:p>
        </w:tc>
        <w:tc>
          <w:tcPr>
            <w:tcW w:w="1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7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Units—Executive IPO Plan (“2019 EIP”)</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2020, a RSU plan was put in place for certain of our executive officers. The vesting of these RSUs under the 2019 EIP requires the continuous service of the employees through the vesting date, was originally subjected to the achievement of a market-condition target, and vesting occurs on the earliest of the following: (1) the occurrence of one of various events comprising a change in control of the Company, (2) an initial public offering, or (3) the passage of time with the date being March 9, 2026. At inception of the plan, the market condition target was tied to the valuation of the Company upon vesting. In September 2022, the Company modified the 2019 EIP to remove the market conditions. Employees may elect not to participate in the 2019 EIP. For all periods presented prior to IPO, a change in control or an initial public offering is generally not considered probable until it has occurred. These awards were expected to be cash settled and therefore were liability-classified. In connection with the IPO, the 2019 EIP awards vested and were settled in ordinary shares of the Company and neither carry rights to dividends nor voting rights. The awards were forfeited if an employee left the Company before the RSUs vested. For all periods presented, the aggregate nominal amount of shares over which the Company’s Remuneration Committee may grant awards under the 2019 EIP was limited so that it does not exceed at any time an amount equal to 0.3 percent of the aggregate nominal amount of the Company’s fully diluted equity share capital. We did not grant further awards under this plan after IPO. As of March 31, 2024, all RSUs under this plan vested and were settled. As of March 31, 2023 and 2022, 192,999 and 903,925 RSUs were outstanding, respectively.</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2024, 2023 and 2022, the Company recognized $6.2 million, $0.1 million and $(0.5) million, respectively, of share-based compensation cost (credit) associated with these awards. The share-based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compensation cost decrease in the fiscal year ended March 31, 2023 was attributable to the replacement awards issued in December 2022 and executive departures. The share-based compensation credit for the fiscal year ended March 31, 2022 was attributable to executive departures. For the fiscal year ended March 31, 2024, the income tax benefit recorded in connection with awards under the 2019 EIP Plan was $1.6 million. For the fiscal year ended March 31, 2023, the income tax expense recorded in connection with awards under the 2019 EIP Plan was $0.4 million. For the fiscal year ended March 31, 2022, the Company did not record any income tax benefit or expense in connection with awards under the 2019 EIP. As of March 31, 2023, $3.6 million was recognized as a liability for the liability-classified RSUs under the 2019 EIP in the non-current portion of accrued compensation and share-based compensation on the Consolidated Balance Sheets related to awards that were liability-classified pre-IPO. The Company did not have any payments for liability-classified share-based awards under the 2019 EIP Plan for the fiscal years ended March 31, 2024, 2023 and 2022.</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modified the 2019 EIP to remove the market conditions which were tied to the valuation of the Company upon the vesting of the RSUs. All other terms under the 2019 EIP remained unchanged as a result of this modification and the RSUs remained as liability-classified awards. The incremental share-based compensation cost was measured as the excess of the fair value of the modified RSUs over the fair value of the original RSUs immediately before their terms were modified at modification. As of the modification date, incremental share-based compensation cost recognized was $4.5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Company’s Remuneration Committee approved the cancellation of 355,463 outstanding RSUs issued to an executive participant under the 2019 EIP in exchange for a fixed monetary $20.0 million special RSU award (“Special RSU Award”) issued under the 2022 Arm Limited RSU Award Plan. The incremental compensation cost of both the 2019 EIP and the Special RSU Award combined was measured by comparing the fair value of the award immediately before and after the modification. The Company accounted for this acceleration for the modification as a cumulative adjustment to the liability. As of the modification date, the net incremental compensation cost for the modified award was $4.1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IPO, all RSUs previously issued under the 2019 EIP were modified to be settled in ordinary shares of the Company. The Company accounted for this change as a modification in accordance with ASC 718 and changed the classification of the awards from liability-classified to equity-classified. During the fiscal year ended March 31, 2024, as a result of the modification, the Company reclassified $5.7 million from non-current portion of accrued compensation and share-based compensation to additional paid-in capital on the Consolidated Balance Sheets. Upon the IPO, the awards under the 2019 EIP vested and the Company recognized accelerated share-based compensation cost of $4.1 million for awards outstanding prior to the IPO.</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identifies the award activity under the 2019 EIP:</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 Fair</w:t>
            </w:r>
          </w:p>
        </w:tc>
        <w:tc>
          <w:tcPr>
            <w:tcW w:w="0" w:type="dxa"/>
            <w:vAlign w:val="bottom"/>
          </w:tcPr>
          <w:p>
            <w:pPr>
              <w:spacing w:after="0"/>
              <w:rPr>
                <w:sz w:val="1"/>
                <w:szCs w:val="1"/>
                <w:color w:val="auto"/>
              </w:rPr>
            </w:pPr>
          </w:p>
        </w:tc>
      </w:tr>
      <w:tr>
        <w:trPr>
          <w:trHeight w:val="308"/>
        </w:trPr>
        <w:tc>
          <w:tcPr>
            <w:tcW w:w="6620" w:type="dxa"/>
            <w:vAlign w:val="bottom"/>
          </w:tcPr>
          <w:p>
            <w:pPr>
              <w:spacing w:after="0"/>
              <w:rPr>
                <w:sz w:val="24"/>
                <w:szCs w:val="24"/>
                <w:color w:val="auto"/>
              </w:rPr>
            </w:pPr>
          </w:p>
        </w:tc>
        <w:tc>
          <w:tcPr>
            <w:tcW w:w="22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xml:space="preserve">Value Per Award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2023</w:t>
            </w:r>
          </w:p>
        </w:tc>
        <w:tc>
          <w:tcPr>
            <w:tcW w:w="2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vMerge w:val="continue"/>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7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7"/>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expected to vest as of March 31, 2024</w:t>
            </w:r>
          </w:p>
        </w:tc>
        <w:tc>
          <w:tcPr>
            <w:tcW w:w="2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20" w:type="dxa"/>
            <w:vAlign w:val="bottom"/>
            <w:vMerge w:val="continue"/>
          </w:tcPr>
          <w:p>
            <w:pPr>
              <w:spacing w:after="0"/>
              <w:rPr>
                <w:sz w:val="22"/>
                <w:szCs w:val="22"/>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hanging="332"/>
        <w:spacing w:after="0" w:line="266" w:lineRule="auto"/>
        <w:tabs>
          <w:tab w:leader="none" w:pos="33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2019 EIP outstanding awards were liability-classified with a weighted average fair value per RSU of $37.43, representing total fair value of $7.2 million. For periods presented prior to the IPO, the average grant date fair value per award represents the modification fair value at IPO.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March 31, 2022,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Company’s best estimate for the effects of non-transferability and exercise restrictions (including the probability of meeting market conditions attached to the RSUs).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for the RSUs under the 2019 EIP for the fiscal year ended March 31, 2022:</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39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until liquidity event</w:t>
            </w:r>
          </w:p>
        </w:tc>
        <w:tc>
          <w:tcPr>
            <w:tcW w:w="39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Time to liquidity event</w:t>
            </w:r>
          </w:p>
        </w:tc>
        <w:tc>
          <w:tcPr>
            <w:tcW w:w="39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9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9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inputs used for both the discounted cash flow approach and the Monte Carlo simulation model are the same as those used for the 2019 AEP for the fiscal year ended March 31, 2022. The fair value of the RSUs is adjusted for the different market conditions for each share-based plan for the fiscal year ended March 31,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March 31, 2023 and prior to the IPO in fiscal year ended March 31, 2024, the Company used the income approach and market-calibration approach based on comparable publicly traded companies in similar lines of businesses. Cash flow assumptions used in income approach considers historical and forecasted revenue, earnings before interest, taxes, depreciation and amortization (EBITDA) and other relevant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for the RSUs under the 2019 EIP for the fiscal year ended March 31, 2023:</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Average share price</w:t>
            </w:r>
          </w:p>
        </w:tc>
        <w:tc>
          <w:tcPr>
            <w:tcW w:w="41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41.51</w:t>
            </w: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Time to liquidity event (in years)</w:t>
            </w:r>
          </w:p>
        </w:tc>
        <w:tc>
          <w:tcPr>
            <w:tcW w:w="4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4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Share Scheme (Cash-Settled)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2017, a cash-settled share-based payment plan was put in place for certain of our executive officers. Under this plan, the employees are granted a cash award annually on April 1, which vests over a three-year service period subject to continuous service and satisfaction of certain Company performance conditions. The cash amount which the employee is entitled to receive if employed at the end of the three-year period is directly linked to the share price of the Company’s ultimate parent, SoftBank Group. The number of Phantom Shares that vest is also linked to certain Company strategic performance conditions. The strategic performance conditions are non-market based vesting conditions and, as a result, the conditions do not affect the fair value of Phantom Shares at each reporting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strategic performance conditions are operational in nature and measure performance in areas such as product development, customer design wins and market share across different technologies and markets. The conditions are linked directly to the Company’s strategic objectives, rather than any financial or other measures.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and 2023, there were no Phantom Shares outstanding. As of March 31, 2022, 64,862 Phantom Shares were outstanding. The Company recognized share-based compensation credit of $0.5 million and $3.1 million in connection with Phantom Shares for the fiscal years ended March 31, 2023 and 2022, respectively. The share-based compensation credit for the fiscal years ended March 31, 2023 and 2022 was attributable to executive departures. There was no tax expense or benefit recorded for the fiscal year ended March 31, 2023. The tax expense recorded for the Phantom Shares was $0.5 million for the fiscal year ended March 31,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Phantom Shares are required to be settled in cash and therefore are recorded on the Consolidated Balance Sheets as a liability until settled. For the fiscal years ended March 31, 2023 and 2022, liability-classified share-based awards paid totaled $1.5 million and $7.1 million, respectively. For the fiscal years ended March 31, 2023 and 2022, the total number of Phantom Shares vested were 27,503 and 32,198, respectively. The fair value of Phantom Shares measured at each reporting date was $38.84 and $39.83 for the fiscal years ended March 31, 2023 and 2022, respectively. The fair value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Phantom Shares vested were $1.1 million and $1.5 million for the fiscal years ended March 31, 2023 and 2022, respectively. As of March 31, 2023, $1.1 million was recognized as a liability for the Phantom Shares in accrued compensation and benefits and share-based compensation on the Consolidated Balance Sheets. For the fiscal year ended March 31, 2024, the Company paid $0.9 million for vested Phantom Shares. The variance between the amount paid and accrued as of March 31, 2023 was driven by foreign exchange differences as participants were paid in foreign denominated currencies. As of March 31, 2024, the Company did not have any unpaid amounts in relation to vested Phantom Share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 2022 Arm Limited RSU Award Plan (“2022 RSU Plan”)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2022, the 2022 RSU Plan was established to grant RSUs to all employees of the Company (“All Employee Awards”) and to grant two types of executive awards to certain of the Company’s executive officers (such awards, the “Annual Awards” and “Launch Awards” and collectively, the “Executive Awards”). The All Employee Awards and Executive Awards were historically disclosed separately due to pre-IPO presentation differences related to classification, but are now disclosed together as post-IPO all are equity-classified, as discussed in more detail below. The All Employee Awards vest in tranches, require continuous service through the vesting date, and are subject to graded vesting over time. At the time of issuance, the Company intended to settle the All Employee Awards in ordinary shares at the vesting date, and such RSU awards were accounted for as equity-classified awards. Launch Awards vest in tranches and require continuous service through the vesting dates and are subject to graded vesting over a period of three years. Annual Awards include a portion that vests over a three-year continuous service period and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the original fixed monetary amount of the award depending on the achievement of annual performance metrics. The 2022 RSU Plan allows for either cash or share settlement of the RSU awards by tranche at the discretion of the remuneration committee of the Company’s Board of Directors (the “Remuneration Committee”). For all periods presented, the aggregate nominal amount of shares over which the Company’s Remuneration Committee may grant awards under the 2022 RSU Plan will be limited so that it does not exceed at any time an amount equal to 4.0 percent of the aggregate nominal amount of the Company’s fully diluted equity share capital. We did not grant further awards under this plan after IPO.</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the Company issued Executive Awards under the 2022 RSU Plan. These entitled participants to a fixed amount of cash or, upon the occurrence of a change in control or an initial public offering, a variable number of ordinary shares of the Company equal to a fixed amount of cash, at the discretion of the Remuneration Committee. Executive Awards granted were originally accounted for as liability-classified awards and upon the IPO, each Executive Award was converted into a variable number of shares based on the closing ADS price of the Company at the IPO date. The table below shows the Company’s commitment for potential payments and the liability recognized as of March 31,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4"/>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80" w:type="dxa"/>
            <w:vAlign w:val="bottom"/>
            <w:gridSpan w:val="4"/>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Potential Fixed Monetary</w:t>
            </w:r>
          </w:p>
        </w:tc>
        <w:tc>
          <w:tcPr>
            <w:tcW w:w="240" w:type="dxa"/>
            <w:vAlign w:val="bottom"/>
          </w:tcPr>
          <w:p>
            <w:pPr>
              <w:spacing w:after="0"/>
              <w:rPr>
                <w:sz w:val="16"/>
                <w:szCs w:val="16"/>
                <w:color w:val="auto"/>
              </w:rPr>
            </w:pPr>
          </w:p>
        </w:tc>
        <w:tc>
          <w:tcPr>
            <w:tcW w:w="2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xml:space="preserve">Accrued Liability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65"/>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 of Executive Award (in millions)</w:t>
            </w:r>
          </w:p>
        </w:tc>
        <w:tc>
          <w:tcPr>
            <w:tcW w:w="140" w:type="dxa"/>
            <w:vAlign w:val="bottom"/>
          </w:tcPr>
          <w:p>
            <w:pPr>
              <w:spacing w:after="0"/>
              <w:rPr>
                <w:sz w:val="23"/>
                <w:szCs w:val="23"/>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3"/>
                <w:szCs w:val="23"/>
                <w:color w:val="auto"/>
              </w:rPr>
            </w:pPr>
          </w:p>
        </w:tc>
        <w:tc>
          <w:tcPr>
            <w:tcW w:w="2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Launch Awards</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Awards</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6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60" w:hanging="252"/>
        <w:spacing w:after="0"/>
        <w:tabs>
          <w:tab w:leader="none" w:pos="260"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amount recorded for performance-based awards that were probable of achievement.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the Company determined that it would settle the first tranche of the All Employee Awards outstanding that vested in March and May 2023 by paying cash instead of issuing shares. Other than the change in intent regarding form of settlement, no other terms or conditions regarding the RSUs were changed. The Company accounted for this change as a modification in accordance with ASC 718 and reclassified the affected portion of the award from equity to liability and remeasured the award at fair value at each reporting period through the date of settlement with consideration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total compensation cost cannot be less than the grant-date fair-value-based measure of the original award. As a result of the modification, the Company recognized $2.1 million of incremental share-based compensation cost at the time of the modification and recorded $31.7 million as a reclassification from equity to liability upon modification. 5,539 of employees were affected by this modification.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RSU Plan provides vesting schedules applicable prior to and after an IPO. Upon the IPO, the All Employee Awards under the 2022 RSU Plan were accounted for using the vesting schedules applicable after an IPO which resulted in an acceleration of compensation cost. The Company accounted for the changes as a modification in accordance with ASC 718 and recorded $17.7 million of accelerated share-based compensation cost at the modification date which affected 5,041 employees.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IPO, all Executive Awards previously issued under the 2022 RSU Plan were modified to be settled in ordinary shares of the Company. Given the awards were no longer expected to be settled in cash but rather expected to be settled in ordinary shares based on the IPO price of $51.00 per ADS, the modification resulted in a change to the classification of the Executive Awards from liability-classified to equity-classified. The Company accounted for this change as a modification in accordance with ASC 718. As a result of the modification, the Company reclassified $9.1 million and $20.2 million in current portion of accrued compensation and benefits and share-based compensation and non-current portion of accrued compensation and share-based compensation, respectively, to additional paid-in capital on the Consolidated Balance Sheets. The modification resulted in an issuance of 1,875,202 RSUs equal to the fixed monetary amount of all Executive Awards outstanding under the 2022 RSU Plan. Upon the occurrence of the IPO, the Company recognized accelerated share-based compensation cost of $9.8 million, for which the service-based vesting condition was satisfied or partially satisfied, at the modification date which affected 14 employees. As of March 31, 2024, all the 2022 RSU Plan awards were expected to be settled in ordinary shares at the vesting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identifies the award activity under the 2022 RSU Plan:</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2"/>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w:t>
            </w:r>
          </w:p>
        </w:tc>
        <w:tc>
          <w:tcPr>
            <w:tcW w:w="0" w:type="dxa"/>
            <w:vAlign w:val="bottom"/>
          </w:tcPr>
          <w:p>
            <w:pPr>
              <w:spacing w:after="0"/>
              <w:rPr>
                <w:sz w:val="1"/>
                <w:szCs w:val="1"/>
                <w:color w:val="auto"/>
              </w:rPr>
            </w:pPr>
          </w:p>
        </w:tc>
      </w:tr>
      <w:tr>
        <w:trPr>
          <w:trHeight w:val="308"/>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 Per Award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74"/>
        </w:trPr>
        <w:tc>
          <w:tcPr>
            <w:tcW w:w="6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11,129,734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7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Awards converted from liability awards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48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17,134,484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33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(6,751,502)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417"/>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7"/>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expected to vest as of March 31, 2024</w:t>
            </w:r>
          </w:p>
        </w:tc>
        <w:tc>
          <w:tcPr>
            <w:tcW w:w="1860" w:type="dxa"/>
            <w:vAlign w:val="bottom"/>
            <w:tcBorders>
              <w:bottom w:val="single" w:sz="8" w:color="auto"/>
            </w:tcBorders>
          </w:tcPr>
          <w:p>
            <w:pPr>
              <w:spacing w:after="0"/>
              <w:rPr>
                <w:sz w:val="2"/>
                <w:szCs w:val="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37"/>
        </w:trPr>
        <w:tc>
          <w:tcPr>
            <w:tcW w:w="6700" w:type="dxa"/>
            <w:vAlign w:val="bottom"/>
            <w:gridSpan w:val="2"/>
            <w:vMerge w:val="continue"/>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22,756,418</w:t>
            </w:r>
          </w:p>
        </w:tc>
        <w:tc>
          <w:tcPr>
            <w:tcW w:w="200" w:type="dxa"/>
            <w:vAlign w:val="bottom"/>
            <w:gridSpan w:val="2"/>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hanging="332"/>
        <w:spacing w:after="0" w:line="235" w:lineRule="auto"/>
        <w:tabs>
          <w:tab w:leader="none" w:pos="282" w:val="left"/>
        </w:tabs>
        <w:numPr>
          <w:ilvl w:val="0"/>
          <w:numId w:val="9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Awards and weighted average grant date per share exclude shares related to Annual Awards that currently have no grant date as the future performance objectives have not yet been defined and/or communicated to participants of the plan. For periods presented prior to the IPO, the average grant date fair value per award represents the modification fair value at IPO.</w:t>
      </w:r>
    </w:p>
    <w:p>
      <w:pPr>
        <w:spacing w:after="0" w:line="169"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9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351,022 liability-classified awards vested and settled in cash in the fiscal year ended March 31, 2024.</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2023, the total liability-classified RSUs that are expected to vest were 284,036 with a weighted average fair value per RSU of $40.47. For the fiscal year ended March 31, 2024, the Company paid $269.0 million arising from the normal vesting of liability-classified share-based awards under the 2022 RSU Plan. All liability-classified awards under the 2022 RSU Plan were vested as of August 15, 2023 and were paid as of September 30, 2023. For the fiscal years ended March 31, 2024 and 2023, share-based compensation cost of $521.6 million and $267.0 million, respectively, was recognized in connection with all awards issued under the 2022 RSU Plan. Tax benefits recorded in connection with the 2022 RSU Plan for the fiscal years ended March 31, 2024 and 2023 were $89.2 million and $36.6 million, respectively. As of March 31, 2023, the Company recognized $1.9 million, $253.1 million, and $13.8 million in additional paid-in capital, accrued compensation and benefits and share-based compensation and non-current portion of accrued compensation and share-based compensation, respectively, on the Consolidated Balance Sheets. As of March 31, 2024, there was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$693.9 million total unrecognized compensation expense related to all awards issued under the 2022 RSU Plan expected to be recognized over a weighted-average period of 0.8 years and there were no liability-classified RSUs under the 2022 RSU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March 31, 2023 and prior to the IPO in fiscal year ended March 31, 2024, the Company used the income approach and market-calibration approach based on comparable publicly traded companies in similar lines of businesses. Cash flow assumptions used in the income approach considers historical and forecasted revenue, earnings before interest, taxes, depreciation and amortization (EBITDA) and other relevant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for the RSUs under the 2022 RSU Plan for the relevant periods: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8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7"/>
        </w:trPr>
        <w:tc>
          <w:tcPr>
            <w:tcW w:w="64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3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3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4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Average share price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$44.52 - $48.18</w:t>
            </w:r>
          </w:p>
        </w:tc>
        <w:tc>
          <w:tcPr>
            <w:tcW w:w="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$35.16 - $39.67</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per RSU</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$43.40 - $46.98</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$33.13 - $39.67</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Time to liquidity event (in years)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0.5 - 1.0</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0.5 - 0.9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- 7.50%</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- 7.50%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Arm Non-Executive Directors RSU Award Plan (“NED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established the NED Plan for non-executive directors. The RSU awards issued under the NED Plan (the “NED Awards”) are subject to time-based vesting and continued service of the non-executive directors. The NED Plan allows for either cash or share settlement of the awards at the discretion of the Company’s Remuneration Committee. As of March 31, 2024, the Company accounted for the NED Awards as equity-classified awards. As of March 31, 2023, the Company accounted for the NED awards as liability-classified awards.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RSUs granted and outstanding for the fiscal years ended March 31, 2024 and 2023 was 31,806 and 13,340. For the fiscal year ended March 31, 2023, the share-based compensation cost and liability recognized was immaterial to the Consolidated Income Statements and Consolidated Balance Sheets, respectively. For the fiscal year ended March 31, 2024, the share-based compensation cost was immaterial to the Consolidated Income Statements and no liability was recognized on the Consolidated Balance Sheets as the awards are now equity-classified.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2023, the Company’s board of directors adopted the Omnibus Incentive Plan (the “Omnibus Incentive Plan”) which became effective in September 2023. The Omnibus Incentive Plan allows for the grant of incentive awards to employees, executive directors, and non-employees, including non-employee directors and consultants of the Company and its subsidiaries. Participants may elect not to participate in the plan. The types of incentive awards granted under the Omnibus Incentive Plan is determined by the Company’s board of directors and the Remuneration Committee, and the Omnibus Incentive Plan allows for the grant of stock options, share appreciation rights (“SARs”), restricted shares, RSUs, performance stock units (“PSUs”), other awards of cash, shares or other property (which may include a specified cash amount that is payable in cash or shares, or awards tied to the appreciation in the value of shares), dividends and dividend equivalents. Vesting conditions applicable to awards may be based on continued service, achievement of company, business unit or other performance objectives, or such other criteria as the Remuneration Committee may establish. 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our Remuneration Committee. No more than 20,500,000 ordinary shares may be issued under the Omnibus Incentive Plan upon the exercise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Israel and Arm France SAS and vest in tranches, require continuous service through the vesting date and are subject to graded vesting over a period of three years. RSUs granted to employees and new hires of subsidiaries in Israel and France substantially share the same terms as the existing RSUs under the 2022 RSU Plan with differences limited to the vesting schedules. PSUs were awarded to executives of the Company and include a portion that vests over a three-year continuous service period and another portion that is subject to continuous service and satisfaction of certain Company performance conditions. The time-based portion of the PSUs vest over a three-year period.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annual performance metrics.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performance awards with specific performance criteria, the Company recognizes share based compensation cost using the straight-line method over the requisite service period of the award, net of estimated forfeitures. Awards are forfeited if an employee leaves the Company before the awards vest. For all periods presented, the maximum number of ordinary shares that may be issued under the Omnibus Incentive Plan is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the Company’s board of directors or the Remuneration Committee. No more than 20,500,000 ordinary shares may be issued under the Omnibus Incentive Plan upon the exercise of incentive stock options.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identifies all award activity under the Omnibus Incentive Plan:</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2"/>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w:t>
            </w:r>
          </w:p>
        </w:tc>
        <w:tc>
          <w:tcPr>
            <w:tcW w:w="0" w:type="dxa"/>
            <w:vAlign w:val="bottom"/>
          </w:tcPr>
          <w:p>
            <w:pPr>
              <w:spacing w:after="0"/>
              <w:rPr>
                <w:sz w:val="1"/>
                <w:szCs w:val="1"/>
                <w:color w:val="auto"/>
              </w:rPr>
            </w:pPr>
          </w:p>
        </w:tc>
      </w:tr>
      <w:tr>
        <w:trPr>
          <w:trHeight w:val="308"/>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 Per Award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74"/>
        </w:trPr>
        <w:tc>
          <w:tcPr>
            <w:tcW w:w="6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0" w:type="dxa"/>
            <w:vAlign w:val="bottom"/>
          </w:tcPr>
          <w:p>
            <w:pPr>
              <w:spacing w:after="0"/>
              <w:rPr>
                <w:sz w:val="1"/>
                <w:szCs w:val="1"/>
                <w:color w:val="auto"/>
              </w:rPr>
            </w:pPr>
          </w:p>
        </w:tc>
      </w:tr>
      <w:tr>
        <w:trPr>
          <w:trHeight w:val="270"/>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27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0" w:type="dxa"/>
            <w:vAlign w:val="bottom"/>
          </w:tcPr>
          <w:p>
            <w:pPr>
              <w:spacing w:after="0"/>
              <w:rPr>
                <w:sz w:val="1"/>
                <w:szCs w:val="1"/>
                <w:color w:val="auto"/>
              </w:rPr>
            </w:pPr>
          </w:p>
        </w:tc>
      </w:tr>
      <w:tr>
        <w:trPr>
          <w:trHeight w:val="263"/>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March 31, 2024</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1,879,276</w:t>
            </w:r>
          </w:p>
        </w:tc>
        <w:tc>
          <w:tcPr>
            <w:tcW w:w="220" w:type="dxa"/>
            <w:vAlign w:val="bottom"/>
            <w:gridSpan w:val="2"/>
            <w:vMerge w:val="continue"/>
          </w:tcPr>
          <w:p>
            <w:pPr>
              <w:spacing w:after="0"/>
              <w:rPr>
                <w:sz w:val="22"/>
                <w:szCs w:val="22"/>
                <w:color w:val="auto"/>
              </w:rPr>
            </w:pP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269" w:val="left"/>
        </w:tabs>
        <w:numPr>
          <w:ilvl w:val="0"/>
          <w:numId w:val="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Awards and weighted average grant date per share exclude shares related to PSUs that currently have no grant date as the future performance objectives have not yet been defined and/or communicated to participants of the plan.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closing ADS price of the Company on the date of grant as the fair value of awards. For the fiscal year ended March 31, 2024, $25.2 million of share-based compensation cost and $4.7 million of tax benefit was recognized in connection with the equity-classified awards issued under the Omnibus Incentive Plan. As of March 31, 2024, there was $106.7 million of total unrecognized compensation cost expected to be recognized over a weighted-average period of 1.1 years.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Cost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summary of share-based compensation cost recognized in the Consolidated Income Statements is as follows: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8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48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share-based compensation cost was capitalized for the fiscal years ended March 31, 2024,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17 - Income Taxes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The components of income before provision for income taxes are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10"/>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7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231F20"/>
              </w:rPr>
              <w:t>United Kingdom</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0"/>
                <w:szCs w:val="20"/>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tcPr>
          <w:p>
            <w:pPr>
              <w:spacing w:after="0"/>
              <w:rPr>
                <w:sz w:val="20"/>
                <w:szCs w:val="20"/>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231F20"/>
              </w:rPr>
              <w:t>Foreign</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231F20"/>
              </w:rPr>
              <w:t>Income from continuing operations before income taxes</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40" w:type="dxa"/>
            <w:vAlign w:val="bottom"/>
          </w:tcPr>
          <w:p>
            <w:pPr>
              <w:spacing w:after="0"/>
              <w:rPr>
                <w:sz w:val="22"/>
                <w:szCs w:val="22"/>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spacing w:after="0"/>
              <w:rPr>
                <w:sz w:val="22"/>
                <w:szCs w:val="2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231F20"/>
              </w:rPr>
              <w:t>The (expense) benefit for income taxes consists of the following:</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82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10"/>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3"/>
                <w:szCs w:val="23"/>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23"/>
                <w:szCs w:val="23"/>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tax (expense) benefit</w:t>
            </w: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vMerge w:val="continue"/>
          </w:tcPr>
          <w:p>
            <w:pPr>
              <w:spacing w:after="0"/>
              <w:rPr>
                <w:sz w:val="20"/>
                <w:szCs w:val="20"/>
                <w:color w:val="auto"/>
              </w:rPr>
            </w:pP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0"/>
                <w:szCs w:val="20"/>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20"/>
                <w:szCs w:val="20"/>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23"/>
                <w:szCs w:val="23"/>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3"/>
                <w:szCs w:val="23"/>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Pr>
          <w:p>
            <w:pPr>
              <w:spacing w:after="0"/>
              <w:rPr>
                <w:sz w:val="20"/>
                <w:szCs w:val="20"/>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0"/>
                <w:szCs w:val="20"/>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2"/>
                <w:szCs w:val="22"/>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22"/>
                <w:szCs w:val="22"/>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reconciliation of the tax (expense) benefit at the United Kingdom statutory income tax rate to the actual tax (expense) benefit is as follows:</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statutory rate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 box benefit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U.K. rate change</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exempt from U.K. tax</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Windfall tax benefit associated with share-based compensation</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gridSpan w:val="2"/>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 reported in the Consolidated Income Statements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 attributable to discontinued operations</w:t>
            </w:r>
          </w:p>
        </w:tc>
        <w:tc>
          <w:tcPr>
            <w:tcW w:w="30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March 31, 2024, 2023, and 2022, income tax (expense) benefit was $93.8 million, $(146.8) million, and $(109.7) million, respectively. For the fiscal years ended March 31, 2024, 2023, and 2022, the income tax (expense) benefit as a percentage of income before taxes was 44%, (22)%, and (14)%,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rate decreased compared to the same period last year primarily due to windfall tax benefits associated with share-based compensation arising in the last quarter of the fiscal year ended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The significant components of deferred tax assets and liabilities is as follows:</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losses and R&amp;D tax credits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Reserves and other liabilities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 net of valuation allowance</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Acquired intangibles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basis differences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Hedging reserve</w:t>
            </w:r>
          </w:p>
        </w:tc>
        <w:tc>
          <w:tcPr>
            <w:tcW w:w="540" w:type="dxa"/>
            <w:vAlign w:val="bottom"/>
          </w:tcPr>
          <w:p>
            <w:pPr>
              <w:spacing w:after="0"/>
              <w:rPr>
                <w:sz w:val="23"/>
                <w:szCs w:val="23"/>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642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the Company had a United Kingdom corporate tax loss carryforward of $376.6 million ($94.2 million tax effected) and U.K. R&amp;D Expenditure Credits of $70.6 million. These tax losses have no expiration date. The Company has U.S. federal net operating loss carryforwards of approximately $348.7 million ($73.2 million tax effected) of which $340.1 million has no expiration date and $8.7 million ($1.8 million tax effected) will expire between fiscal years 2033 and 2038 if not utilized. The Company also has a tax asset in respect of state net operating losses of $195.4 million ($12.5 million tax effected, net of federal benefit) which will expire by fiscal year 2044 if not utilized. The Company has U.S. Federal tax credit carryforwards of $120.5 million which will expire between 2033 and 2044. In addition, the Company has state tax credits of $59.9 million ($47.8 million net of federal benefit) of which $26.9 million has no expiration date and $33.0 million will expire between 2033 and 2044.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the Company has provided a valuation allowance on certain U.K. tax losses and U.S. State research and development tax credits. This is based on an analysis of historical taxable income, the projected reversal of deferred tax liabilities, projected taxable income and tax planning strategies. The Company believes, more likely than not, that it will have sufficient taxable income to utilize its remaining deferred tax assets.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Utilization of the U.S. federal net operating loss and tax credit carryforwards may be subject to annual limitations due to the ownership change limitations provided by the U.S. Internal Revenue Code of 1986, as amended, and similar state provisions. Such annual limitations could result in the expiration of the net operating loss and tax credit carryforwards before their utilization. The events that may cause ownership changes include, but are not limited to, a cumulative stock ownership change of greater than 50% over a three-year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The following table reflects changes in gross unrecognized tax benefits: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2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6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benefits—April 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decreases—tax positions in prior period</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increases—tax positions in current period</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March 31</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Included in the balance of unrecognized tax benefits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are $71.9 million, $56.3 million, and $43.6 million, respectively, of tax benefits that, if recognized, would affect the effective tax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Company recognizes interest accrued related to unrecognized tax benefits and penalties as income tax expense. The Company recognized expense of $1.8 million, $0.8 million, and $0.7 million for interest and penalties associated to income tax liabilities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respectively.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the Company had total accrued interest and penalties of $15.5 million, $14.2 million, and $15.8 million, respectively, which is included in other non-current liabilities on the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While the Company believes it has adequately provided for all tax positions, amounts asserted by tax authorities could be greater or less than the position. Accordingly, provisions on federal, state and foreign tax-related matters to be recorded in the future may change as revised estimates are made or the underlying matters are settled or otherwise resolved.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the Company has not identified any positions for which it is reasonably possible that the total amounts of unrecognized tax benefits will significantly increase or decrease within the next twelve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The Company is subject to taxation in the United Kingdom and various states and foreign jurisdictions.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the Company is no longer subject to examination by the United Kingdom tax authorities for the fiscal years ended March 31, 2018 or earlier. U.S. Federal returns for the calendar year ended December 31, 2003 and later periods are subject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audit with the exception of the calendar years ended December 31, 2010 to December 31, 2012, December 31, 2015 and December 31,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 Net Income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a reconciliation of basic and diluted earnings per share computations: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shares and per share amounts)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38"/>
        </w:trPr>
        <w:tc>
          <w:tcPr>
            <w:tcW w:w="6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attributable to ordinary shareholders — basic and diluted</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600" w:type="dxa"/>
            <w:vAlign w:val="bottom"/>
            <w:gridSpan w:val="2"/>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
        </w:trPr>
        <w:tc>
          <w:tcPr>
            <w:tcW w:w="6600" w:type="dxa"/>
            <w:vAlign w:val="bottom"/>
            <w:gridSpan w:val="2"/>
            <w:vMerge w:val="restart"/>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ordinary shares used to calculate income (loss) per share — basic</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6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1,027,443,122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1,025,234,000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1,025,234,000</w:t>
            </w:r>
          </w:p>
        </w:tc>
        <w:tc>
          <w:tcPr>
            <w:tcW w:w="0" w:type="dxa"/>
            <w:vAlign w:val="bottom"/>
          </w:tcPr>
          <w:p>
            <w:pPr>
              <w:spacing w:after="0"/>
              <w:rPr>
                <w:sz w:val="1"/>
                <w:szCs w:val="1"/>
                <w:color w:val="auto"/>
              </w:rPr>
            </w:pPr>
          </w:p>
        </w:tc>
      </w:tr>
      <w:tr>
        <w:trPr>
          <w:trHeight w:val="189"/>
        </w:trPr>
        <w:tc>
          <w:tcPr>
            <w:tcW w:w="650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Equity-classified shared-based awards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17,053,910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2,271,008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used to calculate income (loss) per share —</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6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1,044,497,032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1,027,505,008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1,025,234,000</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ordinary shareholders — basic</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5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600" w:type="dxa"/>
            <w:vAlign w:val="bottom"/>
            <w:gridSpan w:val="2"/>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2"/>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ordinary shareholders — diluted</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5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600" w:type="dxa"/>
            <w:vAlign w:val="bottom"/>
            <w:gridSpan w:val="2"/>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2"/>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80" w:hanging="172"/>
        <w:spacing w:after="0" w:line="242" w:lineRule="auto"/>
        <w:tabs>
          <w:tab w:leader="none" w:pos="183" w:val="left"/>
        </w:tabs>
        <w:numPr>
          <w:ilvl w:val="0"/>
          <w:numId w:val="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fiscal year ended March 31, 2024, includes weighted average ordinary shares for vested securities without restrictions that were not issued and outstanding as of the end of the reporting period.</w:t>
      </w:r>
    </w:p>
    <w:p>
      <w:pPr>
        <w:spacing w:after="0" w:line="1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securities that were excluded from the computation of diluted net income (loss) per ordinary share </w:t>
      </w:r>
      <w:r>
        <w:rPr>
          <w:rFonts w:ascii="Times New Roman" w:cs="Times New Roman" w:eastAsia="Times New Roman" w:hAnsi="Times New Roman"/>
          <w:sz w:val="18"/>
          <w:szCs w:val="18"/>
          <w:color w:val="000000"/>
        </w:rPr>
        <w:t>because the effect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including the securities would have been anti-dilutive:</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580" w:type="dxa"/>
            <w:vAlign w:val="bottom"/>
            <w:gridSpan w:val="5"/>
          </w:tcPr>
          <w:p>
            <w:pPr>
              <w:ind w:left="12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 xml:space="preserve">Restricted stock units </w:t>
            </w:r>
            <w:r>
              <w:rPr>
                <w:rFonts w:ascii="Times New Roman" w:cs="Times New Roman" w:eastAsia="Times New Roman" w:hAnsi="Times New Roman"/>
                <w:sz w:val="23"/>
                <w:szCs w:val="23"/>
                <w:color w:val="231F20"/>
                <w:vertAlign w:val="superscript"/>
              </w:rPr>
              <w:t>(1)</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vMerge w:val="continue"/>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254,189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16,870,903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14,230,025</w:t>
            </w:r>
          </w:p>
        </w:tc>
        <w:tc>
          <w:tcPr>
            <w:tcW w:w="0" w:type="dxa"/>
            <w:vAlign w:val="bottom"/>
          </w:tcPr>
          <w:p>
            <w:pPr>
              <w:spacing w:after="0"/>
              <w:rPr>
                <w:sz w:val="1"/>
                <w:szCs w:val="1"/>
                <w:color w:val="auto"/>
              </w:rPr>
            </w:pPr>
          </w:p>
        </w:tc>
      </w:tr>
      <w:tr>
        <w:trPr>
          <w:trHeight w:val="26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Executive awards </w:t>
            </w:r>
            <w:r>
              <w:rPr>
                <w:rFonts w:ascii="Times New Roman" w:cs="Times New Roman" w:eastAsia="Times New Roman" w:hAnsi="Times New Roman"/>
                <w:sz w:val="23"/>
                <w:szCs w:val="23"/>
                <w:color w:val="auto"/>
                <w:vertAlign w:val="superscript"/>
              </w:rPr>
              <w:t>(2)</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254,189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17,417,165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14,230,025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hanging="332"/>
        <w:spacing w:after="0" w:line="229" w:lineRule="auto"/>
        <w:tabs>
          <w:tab w:leader="none" w:pos="336"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231F20"/>
        </w:rPr>
        <w:t xml:space="preserve">RSUs exclude certain awards which require cash settlement and do not allow for share settlement; however, for reporting periods prior to the IPO, </w:t>
      </w:r>
      <w:r>
        <w:rPr>
          <w:rFonts w:ascii="Times New Roman" w:cs="Times New Roman" w:eastAsia="Times New Roman" w:hAnsi="Times New Roman"/>
          <w:sz w:val="18"/>
          <w:szCs w:val="18"/>
          <w:color w:val="000000"/>
        </w:rPr>
        <w:t xml:space="preserve">RSUs include securities where </w:t>
      </w:r>
      <w:r>
        <w:rPr>
          <w:rFonts w:ascii="Times New Roman" w:cs="Times New Roman" w:eastAsia="Times New Roman" w:hAnsi="Times New Roman"/>
          <w:sz w:val="18"/>
          <w:szCs w:val="18"/>
          <w:color w:val="231F20"/>
        </w:rPr>
        <w:t>change in control or the IPO was not probable to occur, and settlement was expected in cash upon the passage of time.</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Executive awards include amounts associated with the Annual Awards and Launch Awards. Prior to the IPO, these awards entitled participants to fixed monetary amounts where the quantity of securities was calculated based on the total fixed monetary amount divided by the closing average market price of ordinary shares. Upon the IPO, these awards entitle participants to a fixed number of ordinary shares calculated based on the total fixed monetary amount divided by the IPO price.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party to litigation and other legal proceedings in the ordinary course of business. Because the results of any litigation or other legal proceedings are uncertain, our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loss contingency related to an offer made by the Company to pay $40.0 million in respect of ongoing contractual disputes between the Company and a non-top five customer. That particular customer’s claims arose from a contract dating to a very early period in the Company’s history and that contract is both non-standard and significantly dissimilar from other customers’ contracts. On September 15, 2023, the Company reached an agreement, in which both parties resolved all contractual disputes and reached a mutual understanding of the contractual rights and obligations under the licensing arrangement. As a result, no amount of cash was paid by the Company to the customer with such agreement. The settlement agreement provided alignment of the rights and obligations which were previously agreed with the non-top five customer. In September 2023, the liability for litigation was reversed resulting in a reduction of selling, general and administrative by $40.0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material amounts related to litigation settlements were recognized in the fiscal years ended March 31, 2024,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contract with various third-party service providers for systems and services to perform certain day-to-day business activities. During the fiscal year ended March 31, 2024 the Company entered into a non-cancelable purchase commitment with our cloud computing web services provider with a total purchase commitment of $340.0 million for the period from July 2023 through June 2029. As of March 31, 2024, the total remaining contractual obligations are approximately $298.0 million, of which $37.0 million is for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Kronos Guarantee from the Prior SoftBank Group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In March 2022, a wholly owned United Kingdom subsidiary of SoftBank Group Corp. (“SoftBank Group”), Kronos I (UK) Limited (“Kronos”), was created for the purpose of SoftBank Group arranging a non-recourse facility agreement (the “Facility Agreement”) with J.P. Morgan SE as Facility Agent to be secured by its equity interest in the Company. SoftBank Group pledged its ownership interest in the Company by transferring such interest to an entity that sits between Kronos and the Company, and SoftBank Group has no further obligation under the Facility Agreement. </w:t>
      </w:r>
      <w:r>
        <w:rPr>
          <w:rFonts w:ascii="Times New Roman" w:cs="Times New Roman" w:eastAsia="Times New Roman" w:hAnsi="Times New Roman"/>
          <w:sz w:val="18"/>
          <w:szCs w:val="18"/>
          <w:color w:val="000000"/>
        </w:rPr>
        <w:t>In September 2023, prior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closing of the IPO, SoftBank Group paid the Facility Agreement and the Company’s associated terms, restrictions and guarantee were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Arduino Guarantee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guarantor for a $5.4 million credit facility available to Arduino. As of March 31, 2024 and 2023, no claims have been made against the guaranty. The guaranty expired in January 2024 and was extended by 12 months, expiring in January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 Retirement Benefits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contributes to defined contribution plans substantially covering all employees in Europe and the United States, and to government pension plans for employees in Japan, South Korea, Taiwan, Peoples Republic of China, Israel and India. The Company contributes to these plans based upon various fixed percentages of employee compensation, and such contributions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For the fiscal years ended March 31, 2024,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$96.7 million, $78.4 million, and $77.0 million, respectively, was recorded in the Consolidated Income Statements related to contributions payable to these plans by the Company at rates specified in the rules of the plans. As of March 31, 2024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2023, $11.8 million and $9.6 million of contributions due had not been paid over to the plans and was recorded in accrued compensation and benefits and share-based compensation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Arm China and Acetone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restructuring of its direct investment in Arm China in the fiscal year ended March 31, 2022, the Company has a 10% non-voting ownership interest in Acetone Limited, whose primary asset is a 48.18% interest in Arm China. The Company has no direct material transactions with Acetone Limited.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March 31, 2024, 2023, and 2022, the Company recognized revenue of $670.8 million, $649.0 million, and $474.2 million, respectively, under the terms of the IPLA, and recognized expenses of $74.1 million, $64.1 million, and $63.5 million, respectively, under a service share arrangement with Arm China. In the fiscal year ended March 31, 2024, the Company recognized $5.5 million of contract termination costs in disposal, restructuring and other operating expenses, net in the Consolidated Income Statements due to a terminated agreement with Arm China for certain software engineering-related services, which was brought in-house.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certain assets to Arm China. For the fiscal years ended March 31, 2024, 2023, and 2022, the Company recognized rental income of $1.7 million, $2.0 million, and $1.6 million, respectively, from this lease arrangement. This income is included within the recognized revenue noted in the preceding paragraph.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a net receivable of $175.8 million ($181.1 million receivable less $5.3 million payable) from Arm China. As of March 31, 2024, the Company had contract liabilities of $105.7 million relating to Arm China. As of March 31, 2023, the Company had a net receivable of $386.9 million ($400.7 million receivable less $13.9 million payable) from Arm China. As of March 31, 2023, the Company had contract liabilities of $103.4 million relating to Arm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 Equity Investments</w:t>
      </w:r>
      <w:r>
        <w:rPr>
          <w:rFonts w:ascii="Times New Roman" w:cs="Times New Roman" w:eastAsia="Times New Roman" w:hAnsi="Times New Roman"/>
          <w:sz w:val="18"/>
          <w:szCs w:val="18"/>
          <w:color w:val="auto"/>
        </w:rPr>
        <w:t>, for further details of the impact of Acetone Limited on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Entities Related by Virtue of Common Control by SoftBank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had revenue transactions, along with accounts receivable and contract liabilities balances, with other entities by virtue of common control by SoftBank Group. For the fiscal years ended March 31, 2024, 2023, and 2022, the Company recognized revenue of $4.4 million, $1.3 million, and $1.5 million, respectively, from other entities controlled by SoftBank Group. As of March 31, 2024, the Company had accounts receivable of $0.8 million, contract assets of $3.1 million, and contract liabilities of $1.6 million. In the fiscal year ended March 31, 2024, the Company distributed its </w:t>
      </w:r>
      <w:r>
        <w:rPr>
          <w:rFonts w:ascii="Times New Roman" w:cs="Times New Roman" w:eastAsia="Times New Roman" w:hAnsi="Times New Roman"/>
          <w:sz w:val="18"/>
          <w:szCs w:val="18"/>
          <w:color w:val="231F20"/>
        </w:rPr>
        <w:t>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related to the Company’s sale of IoTP to the majority shareholder of the Company, which represented a non-cash distribution of </w:t>
      </w:r>
      <w:r>
        <w:rPr>
          <w:rFonts w:ascii="Times New Roman" w:cs="Times New Roman" w:eastAsia="Times New Roman" w:hAnsi="Times New Roman"/>
          <w:sz w:val="18"/>
          <w:szCs w:val="18"/>
          <w:color w:val="000000"/>
        </w:rPr>
        <w:t>$12.0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March 31, 2023, the Company had accounts receivable, other receivables and contract liabilities of $0.5 million, $12.0 million, and $1.6 million, respectively, from other entities controlled by SoftBank Group. The Company also had an immaterial lease with a related party by virtue of common control by SoftBank Group which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March 31, 2022, from discontinued operations, the Company recognized revenue of $3.6 million and expenses of $0.2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distribution of Treasure Data in June 2021, a loan of $50.0 million was issued by SoftBank Vision Fund II, a member of SoftBank Group to Treasure Data. Interest on this loan balance was charged at 2.0% per annum. The loan balance, including accrued interest, was included in the distribution to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5 - Discontinued Operations</w:t>
      </w:r>
      <w:r>
        <w:rPr>
          <w:rFonts w:ascii="Times New Roman" w:cs="Times New Roman" w:eastAsia="Times New Roman" w:hAnsi="Times New Roman"/>
          <w:sz w:val="18"/>
          <w:szCs w:val="18"/>
          <w:color w:val="auto"/>
        </w:rPr>
        <w:t>, for discussion regarding the distribution of Treasure Data and the sale of IoTP by the Company to SoftBank Group Capital Limited in the fiscal year ended March 31,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Kronos Guarantee from the Prior SoftBank Group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2022, Kronos, an entity under common control of SoftBank, entered into the Facility Agreement which is secured by its interest in the Company. The Company also entered into the Undertaking to confirm and agree to comply with the terms of the Facility Agreement and a Guarantee of the obligations under the Facility Agreement owed by Kronos. Under the terms of the Guarantee, upon an Arm Guarantee Trigger Event, the Guarantee springs into effect, such that any future payment default by Kronos following such date may require performance by the Company if not settled by use of the share collateral or otherwise restructured. In September 2023, Softbank settled the Facility Agreement and the Company’s Undertaking and Guarantee were terminated. See </w:t>
      </w:r>
      <w:r>
        <w:rPr>
          <w:rFonts w:ascii="Times New Roman" w:cs="Times New Roman" w:eastAsia="Times New Roman" w:hAnsi="Times New Roman"/>
          <w:sz w:val="18"/>
          <w:szCs w:val="18"/>
          <w:i w:val="1"/>
          <w:iCs w:val="1"/>
          <w:color w:val="auto"/>
        </w:rPr>
        <w:t>Note 19 - Commitments and Contingencies</w:t>
      </w:r>
      <w:r>
        <w:rPr>
          <w:rFonts w:ascii="Times New Roman" w:cs="Times New Roman" w:eastAsia="Times New Roman" w:hAnsi="Times New Roman"/>
          <w:sz w:val="18"/>
          <w:szCs w:val="18"/>
          <w:color w:val="auto"/>
        </w:rPr>
        <w:t>, for further details on this Guarantee.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revenue transactions, along with receivable, contract asset and contract liability balances for certain other equity investees, for which the Company has significant influence or, for investments in limited partnerships or certain limited liability companies that maintain a specific ownership account for each investor, for which the Company has more than virtually no influence (i.e., at least 3% to 5% ownership) (such investees, “Significant Influence Investees”). For the fiscal years ended March 31, 2024, 2023, and 2022, the Company recognized revenue of $49.3 million, $3.5 million, and $8.5 million, respectively, from Significant Influence Investees. The increased revenue during fiscal year ended March 31, 2024 is due to recognition of amounts associated with a large licensing contract that were previously required to be deferred.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accounts receivable and contract assets of $0.2 million and $18.7 million, respectively, related to contracts with Significant Influence Investees. As of March 31, 2024, the Company did not have contract liabilities related to contracts with Significant Influence Investees. As of March 31, 2023, the Company had accounts receivable, contract assets and contract liabilities related to contracts with Significant Influence Investees of $0.5 million, $8.7 million and $30.2 million,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2024, 2023, and 2022, the Company recognized aggregate distributions, dividends and returns of capital from certain equity investments of $6.9 million, $0.0 million, and $1.9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Linaro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Linaro Limited (“Linaro”) is a not-for-profit entity for which the Company is a member and exhibits significant influence. For the fiscal years ended March 31, 2024, 2023, and 2022, the Company incurred subscription and other costs of $10.6 million, $8.9 million, and $7.9 million, respectively, from Linaro. As of March 31, 2024 and 2023, $1.3 million and $0.3 million, respectively, was </w:t>
      </w:r>
      <w:r>
        <w:rPr>
          <w:rFonts w:ascii="Times New Roman" w:cs="Times New Roman" w:eastAsia="Times New Roman" w:hAnsi="Times New Roman"/>
          <w:sz w:val="18"/>
          <w:szCs w:val="18"/>
          <w:color w:val="231F20"/>
        </w:rPr>
        <w:t>recorded in o</w:t>
      </w:r>
      <w:r>
        <w:rPr>
          <w:rFonts w:ascii="Times New Roman" w:cs="Times New Roman" w:eastAsia="Times New Roman" w:hAnsi="Times New Roman"/>
          <w:sz w:val="18"/>
          <w:szCs w:val="18"/>
          <w:color w:val="auto"/>
        </w:rPr>
        <w:t>ther current liabilities on the Consolidated Balance Sheets.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Linaro to sell certain net assets of the Company that meets the definition of a business in exchange for cash consideration of $4.0 million to be paid in equal annual installments over five years. As of March 31, 2024 and 2023, $3.2 million and $4.0 million total purchase consideration, respectively, remained unpaid and was recorded in prepaid expenses and other current assets and other non-current assets on the Consolidated Balance Sheets. As a result of the transaction, in the year ended March 31, 2023, the Company derecognized associated net assets and recognized a gain of $3.7 million in other non-operating income (loss), net in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March 31, 2024 and 2023, the Company had a loan receivable of $16.2 million </w:t>
      </w:r>
      <w:r>
        <w:rPr>
          <w:rFonts w:ascii="Times New Roman" w:cs="Times New Roman" w:eastAsia="Times New Roman" w:hAnsi="Times New Roman"/>
          <w:sz w:val="18"/>
          <w:szCs w:val="18"/>
          <w:color w:val="000000"/>
        </w:rPr>
        <w:t>and $19.2 million, respectively,</w:t>
      </w:r>
      <w:r>
        <w:rPr>
          <w:rFonts w:ascii="Times New Roman" w:cs="Times New Roman" w:eastAsia="Times New Roman" w:hAnsi="Times New Roman"/>
          <w:sz w:val="18"/>
          <w:szCs w:val="18"/>
          <w:color w:val="231F20"/>
        </w:rPr>
        <w:t xml:space="preserve"> with Arduino, a related party </w:t>
      </w:r>
      <w:r>
        <w:rPr>
          <w:rFonts w:ascii="Times New Roman" w:cs="Times New Roman" w:eastAsia="Times New Roman" w:hAnsi="Times New Roman"/>
          <w:sz w:val="18"/>
          <w:szCs w:val="18"/>
          <w:color w:val="000000"/>
        </w:rPr>
        <w:t>and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loan receivable of </w:t>
      </w:r>
      <w:r>
        <w:rPr>
          <w:rFonts w:ascii="Times New Roman" w:cs="Times New Roman" w:eastAsia="Times New Roman" w:hAnsi="Times New Roman"/>
          <w:sz w:val="18"/>
          <w:szCs w:val="18"/>
          <w:color w:val="231F20"/>
        </w:rPr>
        <w:t>$3.1 million and $3.0 million, respectively, with Cerfe Labs, Inc, a related party, both of</w:t>
      </w:r>
      <w:r>
        <w:rPr>
          <w:rFonts w:ascii="Times New Roman" w:cs="Times New Roman" w:eastAsia="Times New Roman" w:hAnsi="Times New Roman"/>
          <w:sz w:val="18"/>
          <w:szCs w:val="18"/>
          <w:color w:val="000000"/>
        </w:rPr>
        <w:t xml:space="preserve"> which remain fully impaired. See </w:t>
      </w:r>
      <w:r>
        <w:rPr>
          <w:rFonts w:ascii="Times New Roman" w:cs="Times New Roman" w:eastAsia="Times New Roman" w:hAnsi="Times New Roman"/>
          <w:sz w:val="18"/>
          <w:szCs w:val="18"/>
          <w:i w:val="1"/>
          <w:iCs w:val="1"/>
          <w:color w:val="000000"/>
        </w:rPr>
        <w:t>Note 11 -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Financial Instruments</w:t>
      </w:r>
      <w:r>
        <w:rPr>
          <w:rFonts w:ascii="Times New Roman" w:cs="Times New Roman" w:eastAsia="Times New Roman" w:hAnsi="Times New Roman"/>
          <w:sz w:val="18"/>
          <w:szCs w:val="18"/>
          <w:color w:val="000000"/>
        </w:rPr>
        <w:t>, for further details regarding this loan.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2024 and 2023, the outstanding balance of the convertible promissory note with Ampere, a related party, was $32.4 million and $30.9 million, respectively. The Company’s maximum exposure to loss are the amounts invested in, and advanced to, Ampere as of March 31, 2024. See </w:t>
      </w:r>
      <w:r>
        <w:rPr>
          <w:rFonts w:ascii="Times New Roman" w:cs="Times New Roman" w:eastAsia="Times New Roman" w:hAnsi="Times New Roman"/>
          <w:sz w:val="18"/>
          <w:szCs w:val="18"/>
          <w:i w:val="1"/>
          <w:iCs w:val="1"/>
          <w:color w:val="auto"/>
        </w:rPr>
        <w:t xml:space="preserve">Note 10 - Equity Investments, </w:t>
      </w:r>
      <w:r>
        <w:rPr>
          <w:rFonts w:ascii="Times New Roman" w:cs="Times New Roman" w:eastAsia="Times New Roman" w:hAnsi="Times New Roman"/>
          <w:sz w:val="18"/>
          <w:szCs w:val="18"/>
          <w:color w:val="auto"/>
        </w:rPr>
        <w:t>for further details on Ampere.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Raine Securities LLC, a related party, for certain advisory services in connection with the IPO. For the fiscal year ended March 31, 2024, the Company incurred $10.7 million in expenses, of which $5.2 million was reimbursed by the underwriters for the IPO. For the fiscal year ended March 31, 2023, under a separate agreement with Raine Securities LLC, the Company incurred $2.5 million in expenses. As of March 31, 2023, the Company had recorded other current liabilities of $2.5 million. As of March 31, 2024 the Company has settled all liabilities with this related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22 - Segment and Geographic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Company has determined its Chief Executive Officer is its chief operating decision maker. The Company’s Chief Executive Officer reviews financial information presented on a consolidated basis for purposes of assessing performance and making resource allocation decisions. Accordingly, the Company has determined that it operates as a single operating and reportable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4 - Revenue</w:t>
            </w:r>
            <w:r>
              <w:rPr>
                <w:rFonts w:ascii="Times New Roman" w:cs="Times New Roman" w:eastAsia="Times New Roman" w:hAnsi="Times New Roman"/>
                <w:sz w:val="18"/>
                <w:szCs w:val="18"/>
                <w:color w:val="auto"/>
              </w:rPr>
              <w:t xml:space="preserve"> for r</w:t>
            </w:r>
            <w:r>
              <w:rPr>
                <w:rFonts w:ascii="Times New Roman" w:cs="Times New Roman" w:eastAsia="Times New Roman" w:hAnsi="Times New Roman"/>
                <w:sz w:val="18"/>
                <w:szCs w:val="18"/>
                <w:color w:val="231F20"/>
              </w:rPr>
              <w:t>evenue by geographic region.</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Long-lived assets by geographic area are as follows:</w:t>
            </w: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vMerge w:val="continue"/>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 Subsequent Events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May 21 2024, Arm Technology Investments 2 Limited, an indirect wholly owned subsidiary of Arm, entered into a cornerstone investment agreement with Raspberry Pi Holdings plc (“Raspberry Pi”), which announced on May 15, 2024 its intention to conduct an initial public offering of its ordinary shares (“Raspberry Pi IPO”). Arm has agreed to purchase $35.0 million of Raspberry Pi’s ordinary shares in the Raspberry Pi IPO, subject to customary conditions.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ind w:left="360" w:hanging="352"/>
        <w:spacing w:after="0"/>
        <w:tabs>
          <w:tab w:leader="none" w:pos="3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The O</w:t>
      </w:r>
      <w:r>
        <w:rPr>
          <w:rFonts w:ascii="Arial" w:cs="Arial" w:eastAsia="Arial" w:hAnsi="Arial"/>
          <w:sz w:val="18"/>
          <w:szCs w:val="18"/>
          <w:color w:val="auto"/>
          <w:highlight w:val="black"/>
        </w:rPr>
        <w:t>ﬀ</w:t>
      </w:r>
      <w:r>
        <w:rPr>
          <w:rFonts w:ascii="Times New Roman" w:cs="Times New Roman" w:eastAsia="Times New Roman" w:hAnsi="Times New Roman"/>
          <w:sz w:val="18"/>
          <w:szCs w:val="18"/>
          <w:b w:val="1"/>
          <w:bCs w:val="1"/>
          <w:color w:val="auto"/>
        </w:rPr>
        <w:t>er and Listing</w:t>
      </w:r>
    </w:p>
    <w:p>
      <w:pPr>
        <w:spacing w:after="0" w:line="224"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w:t>
      </w:r>
      <w:r>
        <w:rPr>
          <w:rFonts w:ascii="Arial" w:cs="Arial" w:eastAsia="Arial" w:hAnsi="Arial"/>
          <w:sz w:val="18"/>
          <w:szCs w:val="18"/>
          <w:i w:val="1"/>
          <w:iCs w:val="1"/>
          <w:color w:val="auto"/>
          <w:highlight w:val="black"/>
        </w:rPr>
        <w:t>ﬀ</w:t>
      </w:r>
      <w:r>
        <w:rPr>
          <w:rFonts w:ascii="Times New Roman" w:cs="Times New Roman" w:eastAsia="Times New Roman" w:hAnsi="Times New Roman"/>
          <w:sz w:val="18"/>
          <w:szCs w:val="18"/>
          <w:b w:val="1"/>
          <w:bCs w:val="1"/>
          <w:i w:val="1"/>
          <w:iCs w:val="1"/>
          <w:color w:val="auto"/>
          <w:highlight w:val="black"/>
        </w:rPr>
        <w:t>e</w:t>
      </w:r>
      <w:r>
        <w:rPr>
          <w:rFonts w:ascii="Times New Roman" w:cs="Times New Roman" w:eastAsia="Times New Roman" w:hAnsi="Times New Roman"/>
          <w:sz w:val="18"/>
          <w:szCs w:val="18"/>
          <w:b w:val="1"/>
          <w:bCs w:val="1"/>
          <w:i w:val="1"/>
          <w:iCs w:val="1"/>
          <w:color w:val="auto"/>
        </w:rPr>
        <w:t>r and listing details</w:t>
      </w:r>
    </w:p>
    <w:p>
      <w:pPr>
        <w:spacing w:after="0" w:line="26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ADSs have been traded on the Nasdaq Global Select Market under the ticker symbol “ARM” since September 14, 2023. Our ordinary shares are not listed on any exchange.</w:t>
      </w:r>
    </w:p>
    <w:p>
      <w:pPr>
        <w:spacing w:after="0" w:line="158" w:lineRule="exact"/>
        <w:rPr>
          <w:sz w:val="20"/>
          <w:szCs w:val="20"/>
          <w:color w:val="auto"/>
        </w:rPr>
      </w:pPr>
    </w:p>
    <w:p>
      <w:pPr>
        <w:ind w:left="360" w:hanging="352"/>
        <w:spacing w:after="0"/>
        <w:tabs>
          <w:tab w:leader="none" w:pos="3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Markets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9. The Offer and Listing—A. Offer and Listing Details”,</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40" w:right="9320" w:hanging="332"/>
        <w:spacing w:after="0" w:line="500" w:lineRule="auto"/>
        <w:tabs>
          <w:tab w:leader="none" w:pos="33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Expenses of the issue </w:t>
      </w:r>
      <w:r>
        <w:rPr>
          <w:rFonts w:ascii="Times New Roman" w:cs="Times New Roman" w:eastAsia="Times New Roman" w:hAnsi="Times New Roman"/>
          <w:sz w:val="18"/>
          <w:szCs w:val="18"/>
          <w:color w:val="231F20"/>
        </w:rPr>
        <w:t>Not applicable.</w:t>
      </w:r>
    </w:p>
    <w:p>
      <w:pPr>
        <w:spacing w:after="0" w:line="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tab/>
        <w:t>Additional Information</w:t>
      </w:r>
    </w:p>
    <w:p>
      <w:pPr>
        <w:spacing w:after="0" w:line="225" w:lineRule="exact"/>
        <w:rPr>
          <w:sz w:val="20"/>
          <w:szCs w:val="20"/>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Memorandum and articles of association</w:t>
      </w:r>
    </w:p>
    <w:p>
      <w:pPr>
        <w:spacing w:after="0" w:line="21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 copy of our Articles of Association, as amended (the “Articles”) is attached to this Annual Report as Exhibit 1.1. The information required by Item 10.B of Form 20-F is set forth in Exhibit 2.3 to this Annual Report and is incorporated herein by reference.</w:t>
      </w:r>
    </w:p>
    <w:p>
      <w:pPr>
        <w:spacing w:after="0" w:line="172" w:lineRule="exact"/>
        <w:rPr>
          <w:sz w:val="20"/>
          <w:szCs w:val="20"/>
          <w:color w:val="auto"/>
        </w:rPr>
      </w:pPr>
    </w:p>
    <w:p>
      <w:pPr>
        <w:ind w:left="360" w:hanging="352"/>
        <w:spacing w:after="0"/>
        <w:tabs>
          <w:tab w:leader="none" w:pos="3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Since May 29, 2022, the Company has not entered into any material contracts other than in the ordinary course of business and other than those described in “</w:t>
      </w:r>
      <w:r>
        <w:rPr>
          <w:rFonts w:ascii="Times New Roman" w:cs="Times New Roman" w:eastAsia="Times New Roman" w:hAnsi="Times New Roman"/>
          <w:sz w:val="18"/>
          <w:szCs w:val="18"/>
          <w:i w:val="1"/>
          <w:iCs w:val="1"/>
          <w:color w:val="auto"/>
        </w:rPr>
        <w:t>Item 7. Major Shareholders and Related Party Transactions”</w:t>
      </w:r>
      <w:r>
        <w:rPr>
          <w:rFonts w:ascii="Times New Roman" w:cs="Times New Roman" w:eastAsia="Times New Roman" w:hAnsi="Times New Roman"/>
          <w:sz w:val="18"/>
          <w:szCs w:val="18"/>
          <w:color w:val="auto"/>
        </w:rPr>
        <w:t xml:space="preserve"> or elsewhere in this Annual Report.</w:t>
      </w:r>
    </w:p>
    <w:p>
      <w:pPr>
        <w:spacing w:after="0" w:line="158" w:lineRule="exact"/>
        <w:rPr>
          <w:sz w:val="20"/>
          <w:szCs w:val="20"/>
          <w:color w:val="auto"/>
        </w:rPr>
      </w:pPr>
    </w:p>
    <w:p>
      <w:pPr>
        <w:ind w:left="360" w:hanging="352"/>
        <w:spacing w:after="0"/>
        <w:tabs>
          <w:tab w:leader="none" w:pos="3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Exchange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the laws of England and Wales or in the Articles on the right of non-residents to hold or vote shares.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1" w:name="page182"/>
    <w:bookmarkEnd w:id="181"/>
    <w:p>
      <w:pPr>
        <w:ind w:left="360" w:hanging="352"/>
        <w:spacing w:after="0"/>
        <w:tabs>
          <w:tab w:leader="none" w:pos="3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for U.S. Holders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U.S. Holders (as defined below) of owning and disposing of our ordinary shares or ADSs. This discussion is not a comprehensive description of all tax considerations that may be relevant to a particular person’s decision to acquire, hold, or dispose of our ordinary shares or ADSs. The discussion is based on the Code, administrative pronouncements, judicial decisions, final, temporary and proposed Treasury Regulations and the income tax treaty between the U.K. and the U.S. (the “Treaty”), all as of the date hereof, changes to any of which may affect the tax consequences described herein—possibly with retroactive effect. The following discussion is not binding on the IRS or any court. Thus, we cannot provide any assurance that the U.S. federal income tax consequences discussed below will not be challenged by the IRS or will be sustained by a court if challenged by the IRS.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applies only to a U.S. Holder that will hold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and gift tax consequences, alternative minimum tax consequences, special accounting rules under Section 451(b) of the Code, the potential application of the Medicare contribution tax, and tax consequences applicable to U.S. Holders subject to special rules, such as:</w:t>
      </w:r>
    </w:p>
    <w:p>
      <w:pPr>
        <w:spacing w:after="0" w:line="183"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certain other financial institutions;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 or government organizations;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or ADSs pursuant to the exercise of any employee stock option or otherwise as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shares (by vote or value);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or ADSs in connection with a trade or business, permanent establishment or fixed base outside the U.S.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ordinary shares or ADSs who is:</w:t>
      </w:r>
    </w:p>
    <w:p>
      <w:pPr>
        <w:spacing w:after="0" w:line="225"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U.S., any state therein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2" w:name="page183"/>
    <w:bookmarkEnd w:id="182"/>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should consult your own tax advisors concerning the particular U.S. federal income tax consequences to you of the ownership and disposition of our ADSs or ordinary shares in light of your own particular circumstances, as well as the consequences to you arising under other U.S. federal, state and local tax laws and the laws of any other taxing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is treated for U.S. federal income tax purposes as holding the ordinary shares represented by the ADS. Accordingly, no gain or loss will generally be recognized upon an exchange of ADSs for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non-liquidating distributions paid to U.S. Holders on ordinary shares or ADSs, other than certain distributions of ordinary shares or ADSs, will generally be treated as foreign-source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including conditions relating to holding period and the absence of certain risk reduction transactions, dividends paid to certain non-corporate U.S. Holders may be taxable at preferential rates applicable to “qualified dividend income” received from a “qualified foreign corporation.” A non-U.S. corporation will generally be considered a qualified foreign corporation (i) if it is eligible for the benefits of a comprehensive tax treaty with the U.S. which the Secretary of Treasury of the United States determines is satisfactory for purposes of these rules and which includes an exchange of information provision (which includes the Treaty) or (ii) with respect to any dividend it pays on ordinary shares or ADSs which are readily tradable on an established securities market in the U.S. Our ADSs (but not ordinary shares) are listed on Nasdaq, which is a qualified exchange for these purposes. Consequently, if our ADSs continue to be listed on Nasdaq and are regularly traded, we expect to be a qualified foreign corporation for purposes of dividends paid by us with respect to our ADSs constituting qualified dividend income. However, the qualified dividend income treatment will not apply if we are treated as a PFIC with respect to the U.S. Holder for our taxable year of the distribution or the preceding taxable year. The amount of the dividend will be treated as foreign-source dividend income to U.S. Holders and will not be eligible for the dividends 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USD. If the dividend is converted into USD on the date of receipt, a U.S. Holder would generally not be required to recognize foreign currency gain or loss in respect of the dividend income. A U.S. Holder may have foreign currency gain or loss if the dividend is converted into USD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For foreign tax credit purposes, our dividends will generally be treated as passive category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 and ADSs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gain or loss realized on the sale or other taxable disposition of our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realized on the disposition, in each case as determined in USD. Such gain or loss will generally be U.S.-source gain or loss for foreign tax credit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deductibility of capital losses is subject to limitations.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consideration received by a U.S. Holder is not paid in USD, the amount realized will be the U.S. dollar value of the payment received determined by reference to the spot rate of exchange on the date of the sale or other disposition. However, if the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If the U.S. Holder is an accrual basis taxpayer that is not eligible to or does not elect to determine the amount realized using the spot rate on the settlement date, the U.S. Holder will recognize foreign currency gain or loss to the extent of any difference between the U.S. dollar amount realized on the date of sale or disposition and the U.S. dollar value of the currency received at the spot rate on the settlement date. Gain or loss, if any, realized by a U.S. Holder on the sale or other disposition of our ordinary shares generally will be treated as U.S. source gain or loss for U.S. foreign tax credit limitation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generally includes dividends, interest, certain gains from the sale or exchange of investment property and certain rents and royalties, and cash and cash-equivalents. In addition, for purposes of the above calculations, a non-U.S. corporation that directly or indirectly owns at least 25% by value of the shares of another corporation is treated as holding and receiving directly its proportionate share of assets and income, respectively, of such other corporation. If we are a PFIC for any taxable year during which a U.S. Holder holds our ordinary shares or ADSs, the U.S. Holder may be subject to adverse tax consequences regardless of whether we continue to qualify as a PFIC, including ineligibility for any preferential tax rates on capital gains or on actual or deemed dividends, interest charges on certain taxes treated as deferred and additional reporting requirements.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upon the value of our assets and the nature and composition of our income and assets, we do not believe that we were a PFIC for the taxable year ended March 31, 2024, and we do not expect to become a PFIC in the foreseeable future. However, the determination of whether we are a PFIC is a fact-intensive determination made on an annual basis by applying principles and methodologies that in some circumstances are unclear and subject to varying interpretation. For instance, for our current and future taxable years, the total value of our assets for PFIC testing purposes (including goodwill) may be determined in part by reference to the market price of our ordinary shares or ADSs from time to time, which may fluctuate considerably. If our market capitalization declines while we hold a substantial amount of cash and cash-equivalents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Even if we determine that we are not a PFIC for a taxable year, there can be no assurance that the IRS will agree with our conclusion and that the IRS would not successfully challenge our position. Accordingly, we cannot provide any assurances that we will not be a PFIC for the current or any future taxable year, and our U.S. counsel expresses no opinion with respect to our PFIC status.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classified as a PFIC in any taxable year with respect to which a U.S. Holder owns our ordinary shares or ADSs, we will continue to be treated as a PFIC with respect to such U.S. Holder in all succeeding taxable years during which such U.S. Holder owns our ordinary shares or ADSs, regardless of whether we continue to meet the tests described above, unless we cease to be a PFIC and such U.S. Holder has made a “deemed sale” election under the PFIC rules. If such an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our ordinary shares or ADSs. U.S. Holders should consult their tax advisors as to the possibility and consequences of making a deemed sale election if we are a PFIC and cease to be a PFIC and such election becomes available.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4" w:name="page185"/>
    <w:bookmarkEnd w:id="18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each taxable year that we are treated as a PFIC with respect to a U.S. Holder, such U.S. Holder will be subject to special tax rules with respect to any “excess distribution” such U.S. Holder receives from us and any gain such U.S. Holder recognizes from a sale or other disposition (including a pledge) of our ordinary shares or ADSs, unless (i) such U.S. Holder makes a “qualified electing fund” election (a “QEF Election”), as discussed below, with respect to all taxable years during such U.S. Holder’s holding period in which we are a PFIC or (ii)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189"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a U.S. Holder’s holding period for the ordinary shares or ADSs;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became a PFIC, will be treated as ordinary income;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will be subject to the highest tax rate in effect for that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taxable years prior to the taxable year of disposition or “excess distribution” cannot be offset by any net operating losses for such years, and gains (but not losses) realized on the sale of the ordinary shares or ADSs cannot be treated as capital gains, even if a U.S. Holder holds the ordinary shares or ADSs as capital assets.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(“lower-tier PFICs”) as if such distributions were indirectly received by, and/or dispositions were indirectly carried out by, such U.S. Holder. U.S. Holders should consult their tax advisors regarding the application of the PFIC rules to lower-tier PFICs.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do not currently expect to provide information that would allow a U.S. Holder to make a QEF Election in the event that we or any of our subsidiaries are classified as a PFIC and, therefore, U.S. Holders should assume such election will not be available if we or any of our subsidiaries are a PFIC.</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one of their principal purposes meeting this requirement will be disregarded. Our ADSs (but not ordinary shares) are listed on Nasdaq, which is a qualified exchange for these purposes. Consequently, if our ADSs continue to be listed on Nasdaq and are regularly traded, we expect the mark-to-market election would be available to U.S. Holders of our ADSs if we are a PFIC. However, a mark-to-market election may not be made with respect to our ordinary shares as they are not marketable stock.</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U.S. Holder that makes a mark-to-market election must include in ordinary income for each year an amount equal to the excess, if any, of the fair market value of the ADSs at the close of the taxable year over the U.S. Holder’s adjusted tax basis in the ADSs. An electing U.S. Holder may also claim an ordinary loss deduction for the excess, if any, of the U.S. Holder’s adjusted basis in the ADSs over the fair market value of the ADSs at the close of the taxable year, but this deduction is allowable only to the extent of any net mark-to-market gains for prior years. Gains from an actual sale or other disposition of the ADSs in any year in which we are a PFIC will be treated as ordinary income, and any losses incurred on a sale or other disposition of the ADSs will be treated as an ordinary loss to the extent of any net mark-to-market gains for prior years. Once made, the election cannot be revoked without the consent of the IRS unless the ordinary shares or ADSs cease to be marketable stock. Each U.S. Holder should consult its tax advisor as to whether a mark-to-market election is available or advisable with respect to our ADSs.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as a technical matter, a mark-to-market election cannot be made for any lower-tier PFICs that we may own, a U.S. Holder may continue to be subject to the general PFIC rules described above with respect to such U.S. Holder’s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indirect interest in any investments held by us that are treated as an equity interest in a PFIC for U.S. federal income tax purposes.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U.S. federal income tax return. U.S. Holders should consult their tax advisors regarding the requirements of filing such information returns under these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U.S. Holders who are individuals (and, under U.S. Treasury Regulations, certain entities) may be required to report information relating to our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ordinary shares or ADSs and with respect to their possible obligation to file IRS Forms 926 and/or 8938.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Taxation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section contains a description of certain U.K. tax consequences of the acquisition, ownership and disposal of ADSs (and/or ADRs) and ordinary shares. It is intended only as a general guide to current U.K. tax law and the published practice of HMRC (which is not a statement of law and which may not be binding on HMRC), applying as at the date of this Annual Report (both of which are subject to change at any time, possibly with retrospective effect). It does not constitute legal or tax advice and does not purport to be a complete analysis of all U.K. tax considerations relating to the acquisition, ownership or disposal of ADSs (and/or ADRs) and ordinary shares, or all of the circumstances in which holders of ADSs (and/or ADRs) and ordinary shares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except as set out above under “Material U.S. Federal Income Tax Considerations for U.S. Holders.”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section does not cover:</w:t>
      </w:r>
    </w:p>
    <w:p>
      <w:pPr>
        <w:spacing w:after="0" w:line="225" w:lineRule="exact"/>
        <w:rPr>
          <w:sz w:val="20"/>
          <w:szCs w:val="20"/>
          <w:color w:val="auto"/>
        </w:rPr>
      </w:pPr>
    </w:p>
    <w:p>
      <w:pPr>
        <w:jc w:val="both"/>
        <w:ind w:left="660" w:hanging="328"/>
        <w:spacing w:after="0" w:line="266"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chargeable gains position if you are resident in the U.K. for U.K. tax purposes, you are an individual and hold the ADSs and/or ADRs for the purposes of a trade, profession or vocation that you carry on in the U.K. through a branch or agency, or you are a corporation and hold the ADSs and/or ADRs for the purposes of a trade carried on in the U.K. through a permanent establishment in the U.K.;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inheritance tax position if you are domiciled in the U.K. for inheritance tax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section below may not relate to certain classes of persons, such as (but not limited to):</w:t>
      </w:r>
    </w:p>
    <w:p>
      <w:pPr>
        <w:spacing w:after="0" w:line="225"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connected with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6" w:name="page187"/>
    <w:bookmarkEnd w:id="186"/>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charities or tax-exempt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investment schemes;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schemes;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makers, intermediaries, brokers or dealers in securities or persons who hold ADSs and/or ADRs otherwise than as an investment;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(or are deemed to have) acquired their ADSs and/or ADRs by virtue of an office or employment or who are or have been officers or employees of the Company or any of its affiliates;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subject to U.K. taxation on a remittance basis.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published HMRC guidance, we would expect that HMRC will regard a holder of ADSs as holding the beneficial interest in the underlying shares and therefore these paragraphs assume that a holder of ADSs and/or ADRs is the beneficial owner of the underlying ordinary shares and any dividends paid in respect of the underlying ordinary shares (where the dividends are regarded for U.K. purposes as that person’s own income) for U.K. direct tax purposes.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THESE PARAGRAPHS ARE A SUMMARY OF CERTAIN U.K. TAX CONSIDERATIONS AND ARE INTENDED AS A GENERAL GUIDE ONLY. IT IS RECOMMENDED THAT ALL HOLDERS OF ADSs AND/OR ADRs OBTAIN ADVICE AS TO THE CONSEQUENCES OF THE ACQUISITION, OWNERSHIP AND DISPOSAL OF THE ADSs AND/OR ADRs IN THEIR OWN SPECIFIC CIRCUMSTANCES FROM THEIR OWN TAX ADVISORS. IN PARTICULAR, NON-U.K. RESIDENT OR DOMICILED PERSONS ARE ADVISED TO CONSIDER THE POTENTIAL IMPACT OF ANY RELEVANT DOUBLE TAXATION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Dividends paid by the Company in respect of our ordinary shares will not be subject to any withholding or deduction at source for or on account of U.K.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Chargeable Gains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ADSs and/or ADRs which is not resident for tax purposes in the U.K. should not normally be liable to U.K. capital gains tax or corporation tax on chargeable gains on a disposal (or deemed disposal) of ADSs and/or ADRs unless the person is carrying on (whether solely or in partnership) a trade, profession or vocation in the U.K. through a branch or agency (or, in the case of a corporate holder of ADSs and/or ADRs, through a permanent establishment) to which the ADSs and/or ADRs are attributable. However, an individual holder of ADSs and/or ADRs who has ceased to be resident for tax purposes in the U.K. for a period of less than five years and who disposes of ADSs and/or ADRs during that period may be liable on his or her return to the U.K. to U.K. tax on any capital gain realized (subject to any available exemption or relief).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Inheritance Tax</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certain provisions relating to trusts or settlements, an ADS and/or ADR held by an individual shareholder who is domiciled in the U.S. for the purposes of the convention between the U.S. and the U.K. relating to estate and gift taxes (the “Convention”) and who is neither domiciled in the U.K. nor (where certain conditions are met) a U.K. national (as defined in the Convention), will generally not be subject to U.K. inheritance tax on the individual’s death (whether held on the date of death or gifted during the individual’s lifetime) except where the ADS and/or ADR is part of the business property of a U.K. permanent establishment of the individual or pertains to a U.K. fixed base of an individual who performs independent personal services. In a case where an ADS and/or ADR is subject both to U.K. inheritance tax and to U.S. federal gift or estate tax, the Convention generally provides for inheritance tax paid in the U.K. to be credited against federal gift or estate tax payable in the U.S., or for federal gift or estate tax paid in the U.S. to be credited against any inheritance tax payable in the U.K., based on priority rules set forth in the Convention.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7" w:name="page188"/>
    <w:bookmarkEnd w:id="187"/>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discussion below is intended as a general and non-exhaustive guide to the current U.K. stamp duty and SDRT position and applies to the holders and acquirers of ADSs and/or ADRs (representing our ordinary shares) wherever resident; however, it should be noted that special rules may apply to certain persons such as market makers, brokers, dealers or intermediaries, and persons connected with clearance services and depositary receipt systems. Such persons may not be liable to U.K. stamp duty or SDRT or may be so liable at a higher rate. Furthermore, such persons may, although not primarily liable for the tax, be required to notify and account for it under the Stamp Duty Reserve Tax Regulations 1986.</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Acquisitions and Subsequent Transfers of ADSs and/or ADRs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HMRC’s published practice, no U.K. stamp duty will be payable on the acquisition or transfer of ADSs and/or ADRs. Furthermore, an agreement to transfer ADSs and/or ADRs will not give rise to a liability to SDRT.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Withdrawals and Subsequent Transfers of ordinary shares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transfer of ordinary shares (as opposed to ADSs and/or ADRs) will generally be subject to U.K. stamp duty (if the ordinary shares are held in certificated form) or SDRT (if the ordinary shares are held in uncertificated form), in either case at the rate of 0.5% (or potentially 1.5% in certain circumstances) of the amount or value of the consideration paid for the ordinary shares (for example in respect of transfer of ordinary shares or a redeposit of ordinary shares into the ADR program).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SDRT will generally be payable on an unconditional agreement to transfer ordinary shares in certificated form at 0.5% (or potentially 1.5% in certain circumstances) of the amount or value of the consideration for the transfer, but is repayable if, within six years of the date of the agreement, an instrument transferring the ordinary shares is executed.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Therefore, you are strongly encouraged to hold your ADSs (representing ordinary shares) in book-entry form through the facilities of the Depositary Trust Company.</w:t>
      </w:r>
    </w:p>
    <w:p>
      <w:pPr>
        <w:spacing w:after="0" w:line="158" w:lineRule="exact"/>
        <w:rPr>
          <w:sz w:val="20"/>
          <w:szCs w:val="20"/>
          <w:color w:val="auto"/>
        </w:rPr>
      </w:pPr>
    </w:p>
    <w:p>
      <w:pPr>
        <w:ind w:left="340" w:right="8780" w:hanging="332"/>
        <w:spacing w:after="0" w:line="500" w:lineRule="auto"/>
        <w:tabs>
          <w:tab w:leader="none" w:pos="33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Dividends and paying agents </w:t>
      </w:r>
      <w:r>
        <w:rPr>
          <w:rFonts w:ascii="Times New Roman" w:cs="Times New Roman" w:eastAsia="Times New Roman" w:hAnsi="Times New Roman"/>
          <w:sz w:val="18"/>
          <w:szCs w:val="18"/>
          <w:color w:val="231F20"/>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80" w:hanging="372"/>
        <w:spacing w:after="0"/>
        <w:tabs>
          <w:tab w:leader="none" w:pos="3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Documents on display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 maintains a website at www.sec.gov that contains information regarding issuers that file electronically with the SEC, including the Company. We also maintain a corporate website at www.arm.com and make available our annual reports on Form 20-F and current reports on Form 6-K, and any amendments to those reports, as soon as reasonably practicable after such material is electronically filed with, or furnished to, the SEC. Information contained on, or that can be accessed through, our website is not incorporated by reference in this Annual Report. We have included our website address in this Annual Report solely as an inactive textual reference.</w:t>
      </w:r>
    </w:p>
    <w:p>
      <w:pPr>
        <w:spacing w:after="0" w:line="179" w:lineRule="exact"/>
        <w:rPr>
          <w:sz w:val="20"/>
          <w:szCs w:val="20"/>
          <w:color w:val="auto"/>
        </w:rPr>
      </w:pPr>
    </w:p>
    <w:p>
      <w:pPr>
        <w:ind w:left="340" w:right="9200" w:hanging="332"/>
        <w:spacing w:after="0" w:line="530" w:lineRule="auto"/>
        <w:tabs>
          <w:tab w:leader="none" w:pos="311"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Subsidiary Information </w:t>
      </w:r>
      <w:r>
        <w:rPr>
          <w:rFonts w:ascii="Times New Roman" w:cs="Times New Roman" w:eastAsia="Times New Roman" w:hAnsi="Times New Roman"/>
          <w:sz w:val="17"/>
          <w:szCs w:val="17"/>
          <w:color w:val="auto"/>
        </w:rPr>
        <w:t>Not applicable.</w:t>
      </w:r>
    </w:p>
    <w:p>
      <w:pPr>
        <w:ind w:left="360" w:hanging="352"/>
        <w:spacing w:after="0"/>
        <w:tabs>
          <w:tab w:leader="none" w:pos="3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file an annual report to security holders under U.K. law and promptly thereafter will furnish such report on Form 6-K via EDGAR.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88" w:name="page189"/>
    <w:bookmarkEnd w:id="188"/>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Qualitative and Quantitative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See “</w:t>
      </w:r>
      <w:r>
        <w:rPr>
          <w:rFonts w:ascii="Times New Roman" w:cs="Times New Roman" w:eastAsia="Times New Roman" w:hAnsi="Times New Roman"/>
          <w:sz w:val="18"/>
          <w:szCs w:val="18"/>
          <w:i w:val="1"/>
          <w:iCs w:val="1"/>
          <w:color w:val="auto"/>
        </w:rPr>
        <w:t>Item 8. Financial Information—Note 1 - Description of Business and Summary of Significant Accounting Policies”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8.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Information—Note 12 - Derivatives” </w:t>
      </w:r>
      <w:r>
        <w:rPr>
          <w:rFonts w:ascii="Times New Roman" w:cs="Times New Roman" w:eastAsia="Times New Roman" w:hAnsi="Times New Roman"/>
          <w:sz w:val="18"/>
          <w:szCs w:val="18"/>
          <w:color w:val="auto"/>
        </w:rPr>
        <w:t>in the Notes to the Consolidated Financial Statements included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arising on interest-bearing assets that we hold, including cash and cash equivalents, short-term investments, and loans receivable. As of March 31, 2024, a hypothetical 1% increase or decrease in interest rates would have an approximate $20 million (positive or negative, as applicable) impact on our operating results in the consolidated financial statements for the fiscal year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foreign exchange risk in respect of our revenue and expenses where our revenue and expenses are denominated in a currency other than the functional currency of the transacting entity. We mitigate a proportion of this risk through the use of currency forward contracts.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Translational exposure arises on the revaluation of net investments in the consolidated financial statements, where these are not denominated in USD and on loans to subsidiaries in currencies other than our functional currency. As of March 31, 2024, a hypothetical 10% increase or decrease in the relative value of USD to British pound sterling would have an approximate $54 million (positive or negative, as applicable) effect on our operating results in the consolidated financial statements for the fiscal year ended March 31,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89" w:name="page190"/>
    <w:bookmarkEnd w:id="189"/>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40" w:right="9280" w:hanging="332"/>
        <w:spacing w:after="0" w:line="530" w:lineRule="auto"/>
        <w:tabs>
          <w:tab w:leader="none" w:pos="358"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231F20"/>
        </w:rPr>
        <w:t>Not applicable.</w:t>
      </w:r>
    </w:p>
    <w:p>
      <w:pPr>
        <w:ind w:left="360" w:hanging="352"/>
        <w:spacing w:after="0"/>
        <w:tabs>
          <w:tab w:leader="none" w:pos="3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the fees and charges that a holder of our American Depositary Receipts may have to pay, either directly or indirectly, and the fees and other direct and indirect payments made by the depositary to the Company,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(some of which may be cumulative) under the terms of the deposit agreement:</w:t>
      </w:r>
    </w:p>
    <w:p>
      <w:pPr>
        <w:sectPr>
          <w:pgSz w:w="11900" w:h="16838" w:orient="portrait"/>
          <w:cols w:equalWidth="0" w:num="1">
            <w:col w:w="11240"/>
          </w:cols>
          <w:pgMar w:left="320" w:top="1035"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Service</w:t>
      </w:r>
    </w:p>
    <w:p>
      <w:pPr>
        <w:spacing w:after="0" w:line="67"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Issuance of ADSs (e.g., an issuance of ADS upon a deposit of ordinary shares or upon a change in the ADS(s)-to-ordinary shares ratio or for any other reason), excluding ADS issuances as a result of distributions of ordinary shares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issued.</w:t>
      </w:r>
    </w:p>
    <w:p>
      <w:pPr>
        <w:spacing w:after="0" w:line="859" w:lineRule="exact"/>
        <w:rPr>
          <w:sz w:val="20"/>
          <w:szCs w:val="20"/>
          <w:color w:val="auto"/>
        </w:rPr>
      </w:pPr>
    </w:p>
    <w:p>
      <w:pPr>
        <w:sectPr>
          <w:pgSz w:w="11900" w:h="16838" w:orient="portrait"/>
          <w:cols w:equalWidth="0" w:num="2">
            <w:col w:w="5300" w:space="400"/>
            <w:col w:w="5540"/>
          </w:cols>
          <w:pgMar w:left="320" w:top="1035" w:right="339" w:bottom="1440" w:gutter="0" w:footer="0" w:header="0"/>
          <w:type w:val="continuous"/>
        </w:sect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Cancellation of ADSs (e.g., a cancellation of ADSs for delivery of</w:t>
      </w:r>
      <w:r>
        <w:rPr>
          <w:sz w:val="20"/>
          <w:szCs w:val="20"/>
          <w:color w:val="auto"/>
        </w:rPr>
        <w:tab/>
      </w:r>
      <w:r>
        <w:rPr>
          <w:rFonts w:ascii="Times New Roman" w:cs="Times New Roman" w:eastAsia="Times New Roman" w:hAnsi="Times New Roman"/>
          <w:sz w:val="17"/>
          <w:szCs w:val="17"/>
          <w:color w:val="auto"/>
        </w:rPr>
        <w:t>Up to U.S. $5.00 per 100 ADSs (or fraction thereof) cancelled.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deposited property or upon a change in the ADS(s)-to-ordinary shares ratio,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 for any other reason)</w:t>
      </w:r>
    </w:p>
    <w:p>
      <w:pPr>
        <w:sectPr>
          <w:pgSz w:w="11900" w:h="16838" w:orient="portrait"/>
          <w:cols w:equalWidth="0" w:num="1">
            <w:col w:w="11240"/>
          </w:cols>
          <w:pgMar w:left="320" w:top="1035" w:right="339" w:bottom="1440" w:gutter="0" w:footer="0" w:header="0"/>
          <w:type w:val="continuous"/>
        </w:sectPr>
      </w:pPr>
    </w:p>
    <w:p>
      <w:pPr>
        <w:spacing w:after="0" w:line="193"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 rights and other entitlements)</w:t>
      </w:r>
    </w:p>
    <w:p>
      <w:pPr>
        <w:spacing w:after="0" w:line="148"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Distribution of ADSs pursuant to (i) share dividends or other free share distributions, or (ii) an exercise of rights to purchase additional ADSs</w:t>
      </w:r>
    </w:p>
    <w:p>
      <w:pPr>
        <w:spacing w:after="0" w:line="148" w:lineRule="exact"/>
        <w:rPr>
          <w:sz w:val="20"/>
          <w:szCs w:val="20"/>
          <w:color w:val="auto"/>
        </w:rPr>
      </w:pPr>
    </w:p>
    <w:p>
      <w:pPr>
        <w:ind w:left="20" w:right="260"/>
        <w:spacing w:after="0" w:line="266" w:lineRule="auto"/>
        <w:rPr>
          <w:sz w:val="20"/>
          <w:szCs w:val="20"/>
          <w:color w:val="auto"/>
        </w:rPr>
      </w:pPr>
      <w:r>
        <w:rPr>
          <w:rFonts w:ascii="Times New Roman" w:cs="Times New Roman" w:eastAsia="Times New Roman" w:hAnsi="Times New Roman"/>
          <w:sz w:val="18"/>
          <w:szCs w:val="18"/>
          <w:color w:val="auto"/>
        </w:rPr>
        <w:t>Distribution of financial instruments, including, without limitation, securities, other than ADSs or rights to purchase additional ADSs (e.g., spin-off shares and contingent value rights)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ADS Services</w:t>
      </w:r>
    </w:p>
    <w:p>
      <w:pPr>
        <w:spacing w:after="0" w:line="200" w:lineRule="exact"/>
        <w:rPr>
          <w:sz w:val="20"/>
          <w:szCs w:val="20"/>
          <w:color w:val="auto"/>
        </w:rPr>
      </w:pPr>
    </w:p>
    <w:p>
      <w:pPr>
        <w:spacing w:after="0" w:line="228"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Registration of ADS Transfers (e.g., upon a registration of the transfer of registered ownership of ADSs, upon a transfer of ADSs into DTC and vice versa, or for any other reason)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held.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held.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held.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Up to U.S. $5.00 per 100 ADSs (or fraction thereof) held on the applicable record date(s) established by the depositary.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transferred.</w:t>
      </w:r>
    </w:p>
    <w:p>
      <w:pPr>
        <w:spacing w:after="0" w:line="681" w:lineRule="exact"/>
        <w:rPr>
          <w:sz w:val="20"/>
          <w:szCs w:val="20"/>
          <w:color w:val="auto"/>
        </w:rPr>
      </w:pPr>
    </w:p>
    <w:p>
      <w:pPr>
        <w:sectPr>
          <w:pgSz w:w="11900" w:h="16838" w:orient="portrait"/>
          <w:cols w:equalWidth="0" w:num="2">
            <w:col w:w="5420" w:space="280"/>
            <w:col w:w="5540"/>
          </w:cols>
          <w:pgMar w:left="320" w:top="10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90" w:name="page191"/>
    <w:bookmarkEnd w:id="190"/>
    <w:p>
      <w:pPr>
        <w:ind w:left="20"/>
        <w:spacing w:after="0" w:line="256" w:lineRule="auto"/>
        <w:rPr>
          <w:sz w:val="20"/>
          <w:szCs w:val="20"/>
          <w:color w:val="auto"/>
        </w:rPr>
      </w:pPr>
      <w:r>
        <w:rPr>
          <w:rFonts w:ascii="Times New Roman" w:cs="Times New Roman" w:eastAsia="Times New Roman" w:hAnsi="Times New Roman"/>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converted.</w:t>
      </w:r>
    </w:p>
    <w:p>
      <w:pPr>
        <w:spacing w:after="0" w:line="1317" w:lineRule="exact"/>
        <w:rPr>
          <w:sz w:val="20"/>
          <w:szCs w:val="20"/>
          <w:color w:val="auto"/>
        </w:rPr>
      </w:pPr>
    </w:p>
    <w:p>
      <w:pPr>
        <w:sectPr>
          <w:pgSz w:w="11900" w:h="16838" w:orient="portrait"/>
          <w:cols w:equalWidth="0" w:num="2">
            <w:col w:w="5480" w:space="220"/>
            <w:col w:w="5540"/>
          </w:cols>
          <w:pgMar w:left="320" w:top="1242" w:right="339" w:bottom="1440" w:gutter="0" w:footer="0" w:header="0"/>
        </w:sectPr>
      </w:pP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register of members and applicable to transfers of ordinary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servicing of the ADR program.</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191" w:name="page192"/>
    <w:bookmarkEnd w:id="191"/>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On September 18, 2023, we consummated an initial public offering of 102,500,000 American depositary shares, which we refer to herein as ADSs, including the underwriters’ full exercise of their option to purchase up to an additional 7,000,000 ADSs to cover over-allotments, which we refer to herein as the IPO. Each ADS represents one ordinary share, nominal value £0.001 per share. The offering price for the IPO was $51.00 per ADS, resulting in aggregate gross proceeds of $5,227,500,000. The ADSs sold in the IPO were sold by a wholly owned subsidiary of SoftBank Group, our controlling shareholder. Accordingly, we did not receive any proceeds from the sale of the ADSs in the IPO. We incurred an aggregate of approximately $84 million of expenses in connection with the IPO.</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231F20"/>
        </w:rPr>
        <w:t>The IPO commenced on September 13, 2023 and did not terminate before all of the securities registered for offer and sale in the registration statement were sold. The effective date of the registration statement (File No. 333-274120) for the IPO was September 13,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Barclays Capital Inc, Goldman Sachs &amp; Co. LLC, J.P. Morgan Securities LLC and Mizuho Securities USA LLC acted as joint book-running managers for the IPO.</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Masayoshi Son, who is a Director and the Chairman of our Board of Directors, is Representative Director, Corporate Officer, Chairman and CEO of SoftBank Group. Accordingly, Mr. Son could be considered to have indirectly received the proceeds of the IPO. Other than SoftBank Group and Mr. Son, none of the net proceeds of the IPO were paid directly or indirectly paid to any director, officer, general partner of ours or to their associates, persons owning ten percent or more of any class of our equity securities, or to any of our affiliates.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CEO and chief financial officer (“CFO”), evaluated the effectiveness of our disclosure controls and procedures as defined in Rules 13a-15(e) and 15d-15(e) under the Exchange Act as of March 31, 2024 and concluded that, as of such date, our disclosure controls and procedures were effective as of March 31, 2024. The purpose of these controls and procedures is to ensure that information required to be disclosed in the reports we file or submit under the Exchange Act is recorded, processed, summarized and reported within the time periods specified in the SEC’s rules, and that such information is accumulated and communicated to our management, including our CEO and our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Previously Identified Material Weaknesses in Internal Control Over Financial Reporting</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audit of our financial statements for the fiscal years ended March 31, 2022 and 2021,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material weakness identified for the fiscal years ended March 31, 2022 and 2021 and disclosed in the IPO Prospectus, relates to information technology general controls over information systems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in the fiscal year ended March 31, 2023 we implemented a remediation plan which we are continuing to implement in the fiscal year ended March 31, 2024. The remediation plan includes the following activities: (i) improving controls over access rights management, including reviews of current access rights, user roles and access management procedures, (ii) the removal of excessive access rights to ensure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2" w:name="page193"/>
    <w:bookmarkEnd w:id="192"/>
    <w:p>
      <w:pPr>
        <w:jc w:val="both"/>
        <w:spacing w:after="0" w:line="254" w:lineRule="auto"/>
        <w:rPr>
          <w:sz w:val="20"/>
          <w:szCs w:val="20"/>
          <w:color w:val="auto"/>
        </w:rPr>
      </w:pPr>
      <w:r>
        <w:rPr>
          <w:rFonts w:ascii="Times New Roman" w:cs="Times New Roman" w:eastAsia="Times New Roman" w:hAnsi="Times New Roman"/>
          <w:sz w:val="18"/>
          <w:szCs w:val="18"/>
          <w:color w:val="auto"/>
        </w:rPr>
        <w:t>that we adequately restrict user access to our financial applications to appropriate company personnel, (iii) expanding change management control procedures for our information systems, and (iv) engaging external experts to support the evaluation, testing and enhancement of our internal controls relating to our information technology systems. The actions that we are taking are subject to ongoing review by our executive management and are subject to the oversight of our Audit Committee. Although we have made considerable progress and intend to complete these remediation activities, we will not be able to fully remediate this material weakness until these steps have been completed, the enhanced processes have been operating effectively for a sufficient period of time and appropriate testing has been performed. We provide no assurances with respect to the timeline for implementing effective remedial measures, and our initiatives may not prove to be successful in remediating the material weakness or preventing additional material weaknesses or significant deficiencies in our internal control over financial reporting in the future.</w:t>
      </w:r>
    </w:p>
    <w:p>
      <w:pPr>
        <w:spacing w:after="0" w:line="188" w:lineRule="exact"/>
        <w:rPr>
          <w:sz w:val="20"/>
          <w:szCs w:val="20"/>
          <w:color w:val="auto"/>
        </w:rPr>
      </w:pPr>
    </w:p>
    <w:p>
      <w:pPr>
        <w:ind w:left="360" w:hanging="352"/>
        <w:spacing w:after="0"/>
        <w:tabs>
          <w:tab w:leader="none" w:pos="3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Securities and Exchange Commission for newly public companies.</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Independent Registered Public Accounting Firm</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due to a transition period established by rules of the Securities and Exchange Commission for newly public companies.</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fiscal year ended March 31, 2024 that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has determined that Karen E. Dykstra, the chair of our Audit Committee, qualifies as an “Audit Committee financial expert”</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meaning of SEC regulations, and that Ms. Dykstra is “independent” as that term is defined by the listing standards of Nasdaq and the additional independence standards applicable to audit committee members established pursuant to Rule 10A-3 of the Exchange Act.</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a Code of Conduct applicable to our and our subsidiaries’ employees, independent contractors, senior management and directors, including our principal executive officer, principal financial officer, principal accounting officer or controller, or persons performing similar functions. Our Board of Directors monitors compliance with our Code of Conduct, including reviewing the adequacy and effectiveness of our procedures to ensure proper compliance. Our Code of Conduct is intended to meet the definition of “code of ethics” under Item 16B of Form 20-F under the Exchange Act. We will disclose on our website any amendment to, or waiver from, a provision of our Code of Conduct that applies to our Board of Directors or Senior Management to the extent required under the rules of the SEC or Nasdaq. A current copy of the Code of Conduct is posted on the Investor Relations section of our website at https://www.arm.com/company/code-of-conduct. The information contained on our website is not incorporated by reference in this Annual Report.</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Deloitte &amp; Touche LLP has served as our principal independent registered public accounting firm for the fiscal years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7"/>
        </w:trPr>
        <w:tc>
          <w:tcPr>
            <w:tcW w:w="774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180" w:hanging="172"/>
        <w:spacing w:after="0" w:line="235" w:lineRule="auto"/>
        <w:tabs>
          <w:tab w:leader="none" w:pos="214" w:val="left"/>
        </w:tabs>
        <w:numPr>
          <w:ilvl w:val="0"/>
          <w:numId w:val="1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Audit fees are the aggregate fees billed or expected to be billed for the audit for the fiscal years ended March 31, 2024 and 2023. This category also includes services that are normally provided by an auditor for statutory or regulatory filings, such as consents and review of documents filed with the SEC.</w:t>
      </w:r>
    </w:p>
    <w:p>
      <w:pPr>
        <w:spacing w:after="0" w:line="91" w:lineRule="exact"/>
        <w:rPr>
          <w:rFonts w:ascii="Times New Roman" w:cs="Times New Roman" w:eastAsia="Times New Roman" w:hAnsi="Times New Roman"/>
          <w:sz w:val="23"/>
          <w:szCs w:val="23"/>
          <w:color w:val="auto"/>
          <w:vertAlign w:val="superscript"/>
        </w:rPr>
      </w:pPr>
    </w:p>
    <w:p>
      <w:pPr>
        <w:ind w:left="180" w:hanging="172"/>
        <w:spacing w:after="0" w:line="229" w:lineRule="auto"/>
        <w:tabs>
          <w:tab w:leader="none" w:pos="206" w:val="left"/>
        </w:tabs>
        <w:numPr>
          <w:ilvl w:val="0"/>
          <w:numId w:val="1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Audit-related fees are the aggregate fees billed or expected to be billed for assurance and related services rendered for the fiscal years ended March 31, 2024 and 2023, that are reasonably related to the performance of the audit or review and are not reported under audit fees.</w:t>
      </w:r>
    </w:p>
    <w:p>
      <w:pPr>
        <w:spacing w:after="0" w:line="90" w:lineRule="exact"/>
        <w:rPr>
          <w:rFonts w:ascii="Times New Roman" w:cs="Times New Roman" w:eastAsia="Times New Roman" w:hAnsi="Times New Roman"/>
          <w:sz w:val="23"/>
          <w:szCs w:val="23"/>
          <w:color w:val="auto"/>
          <w:vertAlign w:val="superscript"/>
        </w:rPr>
      </w:pPr>
    </w:p>
    <w:p>
      <w:pPr>
        <w:ind w:left="180" w:hanging="172"/>
        <w:spacing w:after="0" w:line="229" w:lineRule="auto"/>
        <w:tabs>
          <w:tab w:leader="none" w:pos="204" w:val="left"/>
        </w:tabs>
        <w:numPr>
          <w:ilvl w:val="0"/>
          <w:numId w:val="1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fees are the aggregate fees billed or expected to be billed for professional services rendered for the fiscal years ended March 31, 2024 and 2023, for tax compliance, tax advice, and tax planning.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is responsible for, among other things, approving (or, as permitted, pre-approving) all audit and all permissible non-audit services to be performed by the independent registered public accounting firm and U.K. statutory auditors.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Rule 2-01(c)(7)(i) of Regulation S-X permits the Audit Committee pre-approval requirement to be waived with respect to engagements for non-audit services aggregating to no more than five percent of the total amount of fees paid by the Company to its principal accountants, if such engagements were not recognized by the Company at the time of engagement and were promptly brought to the attention of the Audit Committee or a designated member thereof and approved prior to the completion of the audit. In the fiscal years ended March 31, 2024 and 2023, the percentage of the total amount of fees paid by the Company to its principal accountant for non-audit services in each category that was subject to such a waiver was less than five per cent for each year.</w:t>
      </w:r>
    </w:p>
    <w:p>
      <w:pPr>
        <w:spacing w:after="0" w:line="18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affirmatively determined that Mses. Dykstra and Schooler meet the requirements for independence under the listing standards of Nasdaq and the additional independence standards applicable to audit committee members established pursuant to Rule 10A-3 of the Exchange Act. Mr. Fisher will be permitted to serve on the Audit Committee until September 13, 2024, one year from the date of effectiveness of the registration statement </w:t>
      </w:r>
      <w:r>
        <w:rPr>
          <w:rFonts w:ascii="Times New Roman" w:cs="Times New Roman" w:eastAsia="Times New Roman" w:hAnsi="Times New Roman"/>
          <w:sz w:val="18"/>
          <w:szCs w:val="18"/>
          <w:color w:val="231F20"/>
        </w:rPr>
        <w:t>(File No. 333-274120) filed</w:t>
      </w:r>
      <w:r>
        <w:rPr>
          <w:rFonts w:ascii="Times New Roman" w:cs="Times New Roman" w:eastAsia="Times New Roman" w:hAnsi="Times New Roman"/>
          <w:sz w:val="18"/>
          <w:szCs w:val="18"/>
          <w:color w:val="auto"/>
        </w:rPr>
        <w:t xml:space="preserve"> under Rule 10A-3(b)(iv)(A) of the Exchange Act, and pursuant to the phase-in provisions in the listing standards of Nasdaq applicable to new public companies.</w:t>
      </w:r>
    </w:p>
    <w:p>
      <w:pPr>
        <w:spacing w:after="0" w:line="14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16E.</w:t>
        <w:tab/>
        <w:t>Purchases of Equity Securities by the Issuer and A</w:t>
      </w:r>
      <w:r>
        <w:rPr>
          <w:rFonts w:ascii="Arial" w:cs="Arial" w:eastAsia="Arial" w:hAnsi="Arial"/>
          <w:sz w:val="18"/>
          <w:szCs w:val="18"/>
          <w:color w:val="auto"/>
          <w:highlight w:val="black"/>
        </w:rPr>
        <w:t>ﬃ</w:t>
      </w:r>
      <w:r>
        <w:rPr>
          <w:rFonts w:ascii="Times New Roman" w:cs="Times New Roman" w:eastAsia="Times New Roman" w:hAnsi="Times New Roman"/>
          <w:sz w:val="18"/>
          <w:szCs w:val="18"/>
          <w:b w:val="1"/>
          <w:bCs w:val="1"/>
          <w:color w:val="auto"/>
        </w:rPr>
        <w:t>liated Purchasers</w:t>
      </w:r>
    </w:p>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During the year ended March 31, 2024, we withheld ordinary shares issuable upon the vesting of RSUs held by certain employees to satisfy their minimum tax and remittance payments associated with the vesting of RSUs. The following table summarizes all of these repurchases during the </w:t>
      </w:r>
      <w:r>
        <w:rPr>
          <w:rFonts w:ascii="Times New Roman" w:cs="Times New Roman" w:eastAsia="Times New Roman" w:hAnsi="Times New Roman"/>
          <w:sz w:val="18"/>
          <w:szCs w:val="18"/>
          <w:color w:val="000000"/>
        </w:rPr>
        <w:t>fiscal year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ended March 31, 2024</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 Total number of</w:t>
            </w:r>
          </w:p>
        </w:tc>
        <w:tc>
          <w:tcPr>
            <w:tcW w:w="19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purchased as</w:t>
            </w: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(d) Maximum number</w:t>
            </w:r>
          </w:p>
        </w:tc>
      </w:tr>
      <w:tr>
        <w:trPr>
          <w:trHeight w:val="216"/>
        </w:trPr>
        <w:tc>
          <w:tcPr>
            <w:tcW w:w="2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of shares that may yet</w:t>
            </w:r>
          </w:p>
        </w:tc>
      </w:tr>
      <w:tr>
        <w:trPr>
          <w:trHeight w:val="215"/>
        </w:trPr>
        <w:tc>
          <w:tcPr>
            <w:tcW w:w="2300" w:type="dxa"/>
            <w:vAlign w:val="bottom"/>
          </w:tcPr>
          <w:p>
            <w:pPr>
              <w:spacing w:after="0"/>
              <w:rPr>
                <w:sz w:val="18"/>
                <w:szCs w:val="18"/>
                <w:color w:val="auto"/>
              </w:rPr>
            </w:pPr>
          </w:p>
        </w:tc>
        <w:tc>
          <w:tcPr>
            <w:tcW w:w="33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 Total number of</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 Average price</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announced plans or</w:t>
            </w: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be purchased under</w:t>
            </w:r>
          </w:p>
        </w:tc>
      </w:tr>
      <w:tr>
        <w:trPr>
          <w:trHeight w:val="30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3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 xml:space="preserve">shares purchased </w:t>
            </w:r>
            <w:r>
              <w:rPr>
                <w:rFonts w:ascii="Times New Roman" w:cs="Times New Roman" w:eastAsia="Times New Roman" w:hAnsi="Times New Roman"/>
                <w:sz w:val="23"/>
                <w:szCs w:val="23"/>
                <w:b w:val="1"/>
                <w:bCs w:val="1"/>
                <w:color w:val="auto"/>
                <w:vertAlign w:val="superscript"/>
              </w:rPr>
              <w:t>(1)</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paid per share </w:t>
            </w:r>
            <w:r>
              <w:rPr>
                <w:rFonts w:ascii="Times New Roman" w:cs="Times New Roman" w:eastAsia="Times New Roman" w:hAnsi="Times New Roman"/>
                <w:sz w:val="23"/>
                <w:szCs w:val="23"/>
                <w:b w:val="1"/>
                <w:bCs w:val="1"/>
                <w:color w:val="auto"/>
                <w:vertAlign w:val="superscript"/>
              </w:rPr>
              <w:t>(1)</w:t>
            </w:r>
          </w:p>
        </w:tc>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April 1, 2023 to April 30, 2023</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May 1, 2023 to May 31, 2023</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June 1, 2023 to June 30, 2023</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July 1, 2023 to July 31, 2023</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August 1, 2023 to August 31, 2023</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2023 to September 30, 2023</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2023 to October 31, 2023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388,530</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53.45</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2023 to November 30, 2023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1,581,222</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55.43</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2023 to December 31, 2023</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2024 to January 31, 2024</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2024 to February 29,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724,954</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131.54</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March 1, 2024 to March 31,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70,713</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139.47</w:t>
            </w:r>
          </w:p>
        </w:tc>
        <w:tc>
          <w:tcPr>
            <w:tcW w:w="1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2,765,419</w:t>
            </w:r>
          </w:p>
        </w:tc>
        <w:tc>
          <w:tcPr>
            <w:tcW w:w="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77.25</w:t>
            </w:r>
          </w:p>
        </w:tc>
        <w:tc>
          <w:tcPr>
            <w:tcW w:w="18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0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260" w:hanging="252"/>
        <w:spacing w:after="0" w:line="266" w:lineRule="auto"/>
        <w:tabs>
          <w:tab w:leader="none" w:pos="280" w:val="left"/>
        </w:tabs>
        <w:numPr>
          <w:ilvl w:val="0"/>
          <w:numId w:val="1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shares purchased reflects the ordinary shares withheld by the Company in connection with the vesting of RSUs for the payment of tax and remittance payments due as a result of the vesting of RSUs. With respect to these shares, the price paid per share is based on the fair value at the time the Company withheld the shares.</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SEC and Nasdaq rules, we rely on and comply with certain home country governance requirements and exemptions thereunder rather than complying with Nasdaq corporate governance standards. While we voluntarily follow most Nasdaq corporate governance rules, we take advantage of certain exemptions, including, but not limited to, exemptions from:</w:t>
      </w:r>
    </w:p>
    <w:p>
      <w:pPr>
        <w:spacing w:after="0" w:line="176" w:lineRule="exact"/>
        <w:rPr>
          <w:sz w:val="20"/>
          <w:szCs w:val="20"/>
          <w:color w:val="auto"/>
        </w:rPr>
      </w:pPr>
    </w:p>
    <w:p>
      <w:pPr>
        <w:ind w:left="660" w:hanging="328"/>
        <w:spacing w:after="0" w:line="28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rules applicable to domestic issuers requiring disclosure within four business days of any determination to grant a waiver of a Code of Conduct to directors and officers;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shareholder approval for certain issuances of securities, including shareholder approval of share option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requirement that the audit committee have review and oversight responsibilities over all “related party transactions”;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there be regularly scheduled meetings of only the independent directors at least twice a year;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solicit proxies and provide proxy statements for all meetings of shareholders.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follow the practices of England and Wales, our country of incorporation, in lieu of the foregoing requirements. Although we may rely on home country corporate governance practices in lieu of certain of the rules in the Nasdaq Rule 5600 Series and Rule 5250(d), we must comply with Nasdaq’s Notification of Noncompliance requirement (Rule 5625),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5" w:name="page196"/>
    <w:bookmarkEnd w:id="195"/>
    <w:p>
      <w:pPr>
        <w:jc w:val="both"/>
        <w:spacing w:after="0" w:line="261" w:lineRule="auto"/>
        <w:rPr>
          <w:sz w:val="20"/>
          <w:szCs w:val="20"/>
          <w:color w:val="auto"/>
        </w:rPr>
      </w:pPr>
      <w:r>
        <w:rPr>
          <w:rFonts w:ascii="Times New Roman" w:cs="Times New Roman" w:eastAsia="Times New Roman" w:hAnsi="Times New Roman"/>
          <w:sz w:val="18"/>
          <w:szCs w:val="18"/>
          <w:color w:val="auto"/>
        </w:rPr>
        <w:t>the Voting Rights requirement (Rule 5640), the Diverse Board Representation Rule (Rule 5605(f)), the Board Diversity Disclosure Rule (Rule 5606) and that we have an audit committee that satisfies Rule 5605(c)(3), consisting of committee members that meet the independence requirements of Rule 5605(c)</w:t>
      </w:r>
    </w:p>
    <w:p>
      <w:pPr>
        <w:spacing w:after="0"/>
        <w:rPr>
          <w:sz w:val="20"/>
          <w:szCs w:val="20"/>
          <w:color w:val="auto"/>
        </w:rPr>
      </w:pPr>
      <w:r>
        <w:rPr>
          <w:rFonts w:ascii="Times New Roman" w:cs="Times New Roman" w:eastAsia="Times New Roman" w:hAnsi="Times New Roman"/>
          <w:sz w:val="18"/>
          <w:szCs w:val="18"/>
          <w:color w:val="auto"/>
        </w:rPr>
        <w:t>(2)(A)(ii).</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Accordingly, our shareholders do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Status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SoftBank Group beneficially own approximately 88.1% of our outstanding ordinary shares as of May 15, 2024. As a result of SoftBank Group’s ownership, we are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As a controlled company, certain exemptions under the rules will mean that we are not required to comply with certain corporate governance requirements, including that (1) a majority of our Board of Directors consists of independent directors, as defined under Nasdaq listing rules, (2) a majority of the independent directors select or recommend its director nominees, (3) the Remuneration Committee be responsible for determining or recommending the compensation of executive officers other than our CEO, and (4) we have a Remuneration Committee that consists entirely of independent directors. We take advantage of the foregoing exemptions. Accordingly, shareholders do not have the same protections afforded to shareholders of companies that are subject to all of these corporate governance requirements. In the event that we cease to be a “controlled company” and our ADSs continue to be listed on Nasdaq, we will be required to comply with these provisions within the applicable transition periods. See “</w:t>
      </w:r>
      <w:r>
        <w:rPr>
          <w:rFonts w:ascii="Times New Roman" w:cs="Times New Roman" w:eastAsia="Times New Roman" w:hAnsi="Times New Roman"/>
          <w:sz w:val="18"/>
          <w:szCs w:val="18"/>
          <w:i w:val="1"/>
          <w:iCs w:val="1"/>
          <w:color w:val="auto"/>
        </w:rPr>
        <w:t>Item 3.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Information—D. Risk Factors—Risks Relating to Our Status as a Controlled Company and Foreign Private Issuer—We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governs purchases and sales of and other transactions in our securities and securities of our partners and customers by our and our subsidiaries’ officers, members of our Board of Directors and all of our and our subsidiaries’ employees, contractors and consultants. We believe the Insider Trading Policy is reasonably designed to promote compliance with insider trading laws, rules and regulations, and the exchange listing standards applicable to us. A copy of our Insider Trading Policy is filed as Exhibit 11.1 to this Annual Report.</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Cybersecurity represents a critical component of the Company’s overall approach to risk management. The Company’s cybersecurity policies, standards and practices are fully integrated into the Company’s enterprise risk management (“ERM”) approach, and cybersecurity risks are among the core enterprise risks that are subject to oversight by the Board of Directors, the Audit Committee, and management’s Risk Review Committee. The Company’s cybersecurity policies, standards and incident response practices generally follow recognized frameworks established by National Institute of Standards and Technology (“NIST”). The Company approaches cybersecurity threats, as such term is defined in Form 20-F, Part II, Item 16K(a), through a cross-functional, multilayered approach, with the specific goals of: (i) identifying, preventing and mitigating actual or potential cybersecurity threats to the Company; (ii) preserving the confidentiality, integrity and availability of the information that we collect and store to use in our business; (iii) protecting the Company’s intellectual property; (iv) maintaining the confidence of our customers, clients and business partners; and (v) providing appropriate public disclosure of cybersecurity risks and incidents when required.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overall ERM policies and practices, the Company’s cybersecurity program focuses on the following areas:</w:t>
      </w:r>
    </w:p>
    <w:p>
      <w:pPr>
        <w:spacing w:after="0" w:line="221" w:lineRule="exact"/>
        <w:rPr>
          <w:sz w:val="20"/>
          <w:szCs w:val="20"/>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Vigilance</w:t>
      </w:r>
      <w:r>
        <w:rPr>
          <w:rFonts w:ascii="Times New Roman" w:cs="Times New Roman" w:eastAsia="Times New Roman" w:hAnsi="Times New Roman"/>
          <w:sz w:val="18"/>
          <w:szCs w:val="18"/>
          <w:color w:val="auto"/>
        </w:rPr>
        <w:t>: The Company maintains a global presence, with 24/7 cyber defense operations focusing on identifying, preventing and mitigating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cybersecurity threats and responding to cybersecurity incidents and vulnerabilities in accordance with our established security incident response plan.</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Systems Safeguards</w:t>
      </w:r>
      <w:r>
        <w:rPr>
          <w:rFonts w:ascii="Times New Roman" w:cs="Times New Roman" w:eastAsia="Times New Roman" w:hAnsi="Times New Roman"/>
          <w:sz w:val="18"/>
          <w:szCs w:val="18"/>
          <w:color w:val="auto"/>
        </w:rPr>
        <w:t>: The Company deploys system safeguards where feasible that are designed to protect the Company’s information systems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cybersecurity threats, including firewalls, intrusion prevention and detection systems, anti-malware functionality and access controls, which are evaluated and improved through ongoing vulnerability assessments and cybersecurity threat intelligence.</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Incident Response and Recovery Planning: </w:t>
      </w:r>
      <w:r>
        <w:rPr>
          <w:rFonts w:ascii="Times New Roman" w:cs="Times New Roman" w:eastAsia="Times New Roman" w:hAnsi="Times New Roman"/>
          <w:sz w:val="18"/>
          <w:szCs w:val="18"/>
          <w:color w:val="auto"/>
        </w:rPr>
        <w:t>The Company has established comprehensive security incident response plans that fully address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response to a cybersecurity threat, including the recovery from a cybersecurity incident, which is tested outside of real incident response at least annually.</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Collaboration</w:t>
      </w:r>
      <w:r>
        <w:rPr>
          <w:rFonts w:ascii="Times New Roman" w:cs="Times New Roman" w:eastAsia="Times New Roman" w:hAnsi="Times New Roman"/>
          <w:sz w:val="18"/>
          <w:szCs w:val="18"/>
          <w:color w:val="auto"/>
        </w:rPr>
        <w:t>: The Company’s security incident response plan contains mechanisms to collaborate with public and private entities,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enforcement agencies, industry groups and third-party service providers, to identify, assess and respond to cybersecurity threats.</w:t>
      </w:r>
    </w:p>
    <w:p>
      <w:pPr>
        <w:spacing w:after="0" w:line="4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Third-Party Risk Management</w:t>
      </w:r>
      <w:r>
        <w:rPr>
          <w:rFonts w:ascii="Times New Roman" w:cs="Times New Roman" w:eastAsia="Times New Roman" w:hAnsi="Times New Roman"/>
          <w:sz w:val="18"/>
          <w:szCs w:val="18"/>
          <w:color w:val="auto"/>
        </w:rPr>
        <w:t>: The Company maintains a comprehensive, risk-based approach to identifying and overseeing cybersecurity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by third parties, including vendors, service providers and other external users of the Company’s systems, as well as the systems of third parties that could adversely impact our business in the event of a cybersecurity threat affecting those third-party systems.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Training</w:t>
      </w:r>
      <w:r>
        <w:rPr>
          <w:rFonts w:ascii="Times New Roman" w:cs="Times New Roman" w:eastAsia="Times New Roman" w:hAnsi="Times New Roman"/>
          <w:sz w:val="18"/>
          <w:szCs w:val="18"/>
          <w:color w:val="auto"/>
        </w:rPr>
        <w:t>: The Company provides annual mandatory training for personnel regarding cybersecurity threats, which reinforces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security policies, standards and practices, and such training is scaled to reflect the roles, responsibilities and information systems access of such personnel.</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Communication, Coordination and Disclosure</w:t>
      </w:r>
      <w:r>
        <w:rPr>
          <w:rFonts w:ascii="Times New Roman" w:cs="Times New Roman" w:eastAsia="Times New Roman" w:hAnsi="Times New Roman"/>
          <w:sz w:val="18"/>
          <w:szCs w:val="18"/>
          <w:color w:val="auto"/>
        </w:rPr>
        <w:t>: The Company has established a cross-functional approach to address the risk from cybersecurity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threats, involving management personnel from the Company’s enterprise security, technology, operations, legal, business continuity management, internal audit and other key business functions, as well as the members of the Board of Directors and the Audit Committee in an ongoing dialogue regarding cybersecurity threats and incidents, while also implementing controls and procedures for the escalation of cybersecurity incidents pursuant to established thresholds so that decisions regarding the disclosure and reporting of such incidents can be made by management in a timely manner.</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Governance</w:t>
      </w:r>
      <w:r>
        <w:rPr>
          <w:rFonts w:ascii="Times New Roman" w:cs="Times New Roman" w:eastAsia="Times New Roman" w:hAnsi="Times New Roman"/>
          <w:sz w:val="18"/>
          <w:szCs w:val="18"/>
          <w:color w:val="auto"/>
        </w:rPr>
        <w:t>: The Board of Directors’ oversight of cybersecurity risk management is supported by the Audit Committee, which regularly interacts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Company’s VP of Audit and Risk, the Chief Information Security Officer, and other members of management involved in overseeing risks from cybersecurity threats.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key part of the Company’s strategy for managing risks from cybersecurity threats is the ongoing assessment and testing of the Company’s processes and practices through auditing, assessments, tabletop exercises, threat modeling, vulnerability testing and other exercises focused on evaluating the effectiveness of our cybersecurity measures. The Company regularly engages third parties to perform assessments on our cybersecurity measures, including information security maturity assessments, penetration testing, audits and independent reviews of our information security control environment and operating effectiveness. The results of such assessments, audits and reviews are reported to the Audit Committee and the Board, and the Company adjusts its cybersecurity policies, standards, processes and practices as necessary based on the information provided by the assessments, audits and reviews.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Board of Directors, in coordination with the Audit Committee, oversees the management of risks from cybersecurity threats, including the policies, standards, processes and practices that the Company’s management implements to address risks from cybersecurity threats. The Audit Committee receives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the Company’s peers and third parties. The Audit Committee timely oversees any cybersecurity incident that meets established reporting thresholds, as well as ongoing updates regarding any such incident until it has been addressed. Risks of cybersecurity threats are also discussed with the Board 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97" w:name="page198"/>
    <w:bookmarkEnd w:id="197"/>
    <w:p>
      <w:pPr>
        <w:jc w:val="both"/>
        <w:spacing w:after="0" w:line="282" w:lineRule="auto"/>
        <w:rPr>
          <w:sz w:val="20"/>
          <w:szCs w:val="20"/>
          <w:color w:val="auto"/>
        </w:rPr>
      </w:pPr>
      <w:r>
        <w:rPr>
          <w:rFonts w:ascii="Times New Roman" w:cs="Times New Roman" w:eastAsia="Times New Roman" w:hAnsi="Times New Roman"/>
          <w:sz w:val="18"/>
          <w:szCs w:val="18"/>
          <w:color w:val="auto"/>
        </w:rPr>
        <w:t>connection with other relevant matters such as enterprise risk management, operational budgeting, strategic planning, business continuity planning, mergers and acquisitions, and brand management.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Chief Information Security Officer is the member of the Company’s management that is principally responsible for overseeing the Company’s security incident response plan and cybersecurity risk management program. The Chief Information Security Officer works in partnership with members of the Company’s Risk Review Committee and other business leaders across the Company, including the Company’s VP of Operations, Chief Information Officer, Chief Accounting Officer, VP and Deputy General Counsel, Litigation, and the Chief Compliance Officer.</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Chief Information Security Officer reports to the Chief Information Officer who reports to the CFO. This group has industry experience building and leading security teams and is responsible for overseeing data security and Company-wide preparedness. The Chief Information Security Officer is a qualified holder of CISSP and CISM certifications and has served in various roles in information technology and information security for over 10 years. Prior experience includes security leadership roles in financial services.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Information Security Officer manages a dedicated enterprise security team who provide information assurance governance and consultation across all regions of our business. This team works with a managed security service provider to deliver some of its security services, particularly work that is highly manual, repetitive or that can be automated.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enterprise security team works collaboratively across the Company to implement the Company’s security strategy, which includes evaluating and considering the relevance of specific cyber security capabilities to Arm’s business model and external threats. To facilitate the success of this strategy, multidisciplinary teams throughout the Company are deployed to address cybersecurity threats and to respond to cybersecurity incidents in accordance with the Company’s security incident response plan designed to monitor the prevention, detection, mitigation and remediation of cybersecurity incidents in real time, and report such incidents to executive management, and to the Audit Committee when appropriate.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time of filing this Annual Report, cybersecurity threats, including as a result of any previous cybersecurity incidents, have not materially affected the Company, including its business strategy, results of operations, or financial condition. We face risks from cybersecurity threats that, if realized, could have a material adverse effect on us including an adverse effect on our business, financial condition and results of operations. See “</w:t>
      </w:r>
      <w:r>
        <w:rPr>
          <w:rFonts w:ascii="Times New Roman" w:cs="Times New Roman" w:eastAsia="Times New Roman" w:hAnsi="Times New Roman"/>
          <w:sz w:val="18"/>
          <w:szCs w:val="18"/>
          <w:i w:val="1"/>
          <w:iCs w:val="1"/>
          <w:color w:val="auto"/>
        </w:rPr>
        <w:t>Item 3.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Information—D. Risk Factors—Actual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tab/>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responded to Item 18 in lieu of this item.</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18.</w:t>
        <w:tab/>
        <w:t>Financial Statements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8. Financial Information”</w:t>
      </w:r>
      <w:r>
        <w:rPr>
          <w:rFonts w:ascii="Times New Roman" w:cs="Times New Roman" w:eastAsia="Times New Roman" w:hAnsi="Times New Roman"/>
          <w:sz w:val="18"/>
          <w:szCs w:val="18"/>
          <w:color w:val="auto"/>
        </w:rPr>
        <w:t xml:space="preserve">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44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6"/>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11"/>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7"/>
        </w:trPr>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Articles of Association, as amended.</w:t>
            </w:r>
          </w:p>
        </w:tc>
        <w:tc>
          <w:tcPr>
            <w:tcW w:w="1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Deposit Agreement, dated as of September 13, 2023,</w:t>
            </w: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by and between Arm Holdings plc and Citibank,</w:t>
            </w:r>
          </w:p>
        </w:tc>
        <w:tc>
          <w:tcPr>
            <w:tcW w:w="1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N.A.</w:t>
            </w:r>
          </w:p>
        </w:tc>
        <w:tc>
          <w:tcPr>
            <w:tcW w:w="3120" w:type="dxa"/>
            <w:vAlign w:val="bottom"/>
            <w:tcBorders>
              <w:top w:val="single" w:sz="8" w:color="0000FF"/>
            </w:tcBorders>
            <w:gridSpan w:val="7"/>
          </w:tcPr>
          <w:p>
            <w:pPr>
              <w:spacing w:after="0"/>
              <w:rPr>
                <w:sz w:val="17"/>
                <w:szCs w:val="17"/>
                <w:color w:val="auto"/>
              </w:rPr>
            </w:pPr>
          </w:p>
        </w:tc>
        <w:tc>
          <w:tcPr>
            <w:tcW w:w="50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2"/>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of American Depositary Receipt (included in</w:t>
            </w:r>
          </w:p>
        </w:tc>
        <w:tc>
          <w:tcPr>
            <w:tcW w:w="7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 2.1).</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140" w:type="dxa"/>
            <w:vAlign w:val="bottom"/>
            <w:gridSpan w:val="10"/>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72"/>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Arm IP License Agreement, dated April 24, 2018,</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F-1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333-274120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08/21/2023</w:t>
            </w:r>
          </w:p>
        </w:tc>
        <w:tc>
          <w:tcPr>
            <w:tcW w:w="1120" w:type="dxa"/>
            <w:vAlign w:val="bottom"/>
          </w:tcPr>
          <w:p>
            <w:pPr>
              <w:spacing w:after="0"/>
              <w:rPr>
                <w:sz w:val="23"/>
                <w:szCs w:val="23"/>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by and between Arm Limited and Arm Technology</w:t>
            </w: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(China) Co. Ltd.</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Arm Holdings plc 2023 Omnibus Incentive Plan</w:t>
            </w:r>
          </w:p>
        </w:tc>
        <w:tc>
          <w:tcPr>
            <w:tcW w:w="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with the Non-Employee Sub-Plan, the France Sub-</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Plan, as amended, and the Israel Sub-Plan.</w:t>
            </w:r>
          </w:p>
        </w:tc>
        <w:tc>
          <w:tcPr>
            <w:tcW w:w="3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Shareholder Governance Agreement, dated</w:t>
            </w: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September 18, 2023, by and between SoftBank</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Group Corp. and Arm Holdings plc.</w:t>
            </w:r>
          </w:p>
        </w:tc>
        <w:tc>
          <w:tcPr>
            <w:tcW w:w="60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2"/>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Consulting Agreement, dated August 21, 2023, by</w:t>
            </w: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F-1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333-274120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09/01/2023</w:t>
            </w:r>
          </w:p>
        </w:tc>
        <w:tc>
          <w:tcPr>
            <w:tcW w:w="1120" w:type="dxa"/>
            <w:vAlign w:val="bottom"/>
          </w:tcPr>
          <w:p>
            <w:pPr>
              <w:spacing w:after="0"/>
              <w:rPr>
                <w:sz w:val="23"/>
                <w:szCs w:val="23"/>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and between Arm Limited and SoftBank Group</w:t>
            </w: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Corp.</w:t>
            </w: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6" w:lineRule="exact"/>
        <w:rPr>
          <w:sz w:val="20"/>
          <w:szCs w:val="20"/>
          <w:color w:val="auto"/>
        </w:rPr>
      </w:pPr>
    </w:p>
    <w:p>
      <w:pPr>
        <w:sectPr>
          <w:pgSz w:w="11900" w:h="16838" w:orient="portrait"/>
          <w:cols w:equalWidth="0" w:num="1">
            <w:col w:w="10860"/>
          </w:cols>
          <w:pgMar w:left="320" w:top="1251" w:right="719" w:bottom="1440" w:gutter="0" w:footer="0" w:header="0"/>
        </w:sectPr>
      </w:pPr>
    </w:p>
    <w:tbl>
      <w:tblPr>
        <w:tblLayout w:type="fixed"/>
        <w:tblInd w:w="300" w:type="dxa"/>
        <w:tblCellMar>
          <w:top w:w="0" w:type="dxa"/>
          <w:left w:w="0" w:type="dxa"/>
          <w:bottom w:w="0" w:type="dxa"/>
          <w:right w:w="0" w:type="dxa"/>
        </w:tblCellMar>
      </w:tblPr>
      <w:tr>
        <w:trPr>
          <w:trHeight w:val="216"/>
        </w:trPr>
        <w:tc>
          <w:tcPr>
            <w:tcW w:w="6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4.5</w:t>
            </w: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Deed of Indemnity between the Company</w:t>
            </w:r>
          </w:p>
        </w:tc>
      </w:tr>
      <w:tr>
        <w:trPr>
          <w:trHeight w:val="234"/>
        </w:trPr>
        <w:tc>
          <w:tcPr>
            <w:tcW w:w="660" w:type="dxa"/>
            <w:vAlign w:val="bottom"/>
          </w:tcPr>
          <w:p>
            <w:pPr>
              <w:spacing w:after="0"/>
              <w:rPr>
                <w:sz w:val="20"/>
                <w:szCs w:val="20"/>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each of its directors.</w:t>
            </w:r>
          </w:p>
        </w:tc>
      </w:tr>
      <w:tr>
        <w:trPr>
          <w:trHeight w:val="252"/>
        </w:trPr>
        <w:tc>
          <w:tcPr>
            <w:tcW w:w="6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4.6</w:t>
            </w: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Deed of Indemnity between the Company</w:t>
            </w:r>
          </w:p>
        </w:tc>
      </w:tr>
      <w:tr>
        <w:trPr>
          <w:trHeight w:val="234"/>
        </w:trPr>
        <w:tc>
          <w:tcPr>
            <w:tcW w:w="660" w:type="dxa"/>
            <w:vAlign w:val="bottom"/>
          </w:tcPr>
          <w:p>
            <w:pPr>
              <w:spacing w:after="0"/>
              <w:rPr>
                <w:sz w:val="20"/>
                <w:szCs w:val="20"/>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each of its executive officers.</w:t>
            </w:r>
          </w:p>
        </w:tc>
      </w:tr>
      <w:tr>
        <w:trPr>
          <w:trHeight w:val="252"/>
        </w:trPr>
        <w:tc>
          <w:tcPr>
            <w:tcW w:w="6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4.7</w:t>
            </w: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Arm Holdings plc RSU Award Plan with</w:t>
            </w:r>
          </w:p>
        </w:tc>
      </w:tr>
      <w:tr>
        <w:trPr>
          <w:trHeight w:val="234"/>
        </w:trPr>
        <w:tc>
          <w:tcPr>
            <w:tcW w:w="660" w:type="dxa"/>
            <w:vAlign w:val="bottom"/>
          </w:tcPr>
          <w:p>
            <w:pPr>
              <w:spacing w:after="0"/>
              <w:rPr>
                <w:sz w:val="20"/>
                <w:szCs w:val="20"/>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California and Israeli Sub-Plans.</w:t>
            </w:r>
          </w:p>
        </w:tc>
      </w:tr>
      <w:tr>
        <w:trPr>
          <w:trHeight w:val="252"/>
        </w:trPr>
        <w:tc>
          <w:tcPr>
            <w:tcW w:w="6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4.8</w:t>
            </w: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Arm Holdings plc All-Employee Plan 2019</w:t>
            </w:r>
          </w:p>
        </w:tc>
      </w:tr>
      <w:tr>
        <w:trPr>
          <w:trHeight w:val="234"/>
        </w:trPr>
        <w:tc>
          <w:tcPr>
            <w:tcW w:w="660" w:type="dxa"/>
            <w:vAlign w:val="bottom"/>
          </w:tcPr>
          <w:p>
            <w:pPr>
              <w:spacing w:after="0"/>
              <w:rPr>
                <w:sz w:val="20"/>
                <w:szCs w:val="20"/>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California and French Sub-Plans.</w:t>
            </w:r>
          </w:p>
        </w:tc>
      </w:tr>
      <w:tr>
        <w:trPr>
          <w:trHeight w:val="252"/>
        </w:trPr>
        <w:tc>
          <w:tcPr>
            <w:tcW w:w="6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4.9</w:t>
            </w: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Executive IPO Plan 2019 with California Sub-</w:t>
            </w:r>
          </w:p>
        </w:tc>
      </w:tr>
      <w:tr>
        <w:trPr>
          <w:trHeight w:val="234"/>
        </w:trPr>
        <w:tc>
          <w:tcPr>
            <w:tcW w:w="660" w:type="dxa"/>
            <w:vAlign w:val="bottom"/>
          </w:tcPr>
          <w:p>
            <w:pPr>
              <w:spacing w:after="0"/>
              <w:rPr>
                <w:sz w:val="20"/>
                <w:szCs w:val="20"/>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r>
      <w:tr>
        <w:trPr>
          <w:trHeight w:val="252"/>
        </w:trPr>
        <w:tc>
          <w:tcPr>
            <w:tcW w:w="6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4.10</w:t>
            </w: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The Arm Non-Executive Directors RSU Award Plan</w:t>
            </w:r>
          </w:p>
        </w:tc>
      </w:tr>
      <w:tr>
        <w:trPr>
          <w:trHeight w:val="234"/>
        </w:trPr>
        <w:tc>
          <w:tcPr>
            <w:tcW w:w="660" w:type="dxa"/>
            <w:vAlign w:val="bottom"/>
          </w:tcPr>
          <w:p>
            <w:pPr>
              <w:spacing w:after="0"/>
              <w:rPr>
                <w:sz w:val="20"/>
                <w:szCs w:val="20"/>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California Sub-Plan.</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F-1</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333-274120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09/05/2023</w:t>
            </w:r>
          </w:p>
        </w:tc>
      </w:tr>
      <w:tr>
        <w:trPr>
          <w:trHeight w:val="48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F-1</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333-274120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09/05/2023</w:t>
            </w:r>
          </w:p>
        </w:tc>
      </w:tr>
      <w:tr>
        <w:trPr>
          <w:trHeight w:val="48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333-274544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09/15/2023</w:t>
            </w:r>
          </w:p>
        </w:tc>
      </w:tr>
      <w:tr>
        <w:trPr>
          <w:trHeight w:val="48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333-274544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09/15/2023</w:t>
            </w:r>
          </w:p>
        </w:tc>
      </w:tr>
      <w:tr>
        <w:trPr>
          <w:trHeight w:val="48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333-274544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09/15/2023</w:t>
            </w:r>
          </w:p>
        </w:tc>
      </w:tr>
      <w:tr>
        <w:trPr>
          <w:trHeight w:val="48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333-274544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09/15/2023</w:t>
            </w:r>
          </w:p>
        </w:tc>
      </w:tr>
    </w:tbl>
    <w:p>
      <w:pPr>
        <w:spacing w:after="0" w:line="238" w:lineRule="exact"/>
        <w:rPr>
          <w:sz w:val="20"/>
          <w:szCs w:val="20"/>
          <w:color w:val="auto"/>
        </w:rPr>
      </w:pPr>
    </w:p>
    <w:p>
      <w:pPr>
        <w:sectPr>
          <w:pgSz w:w="11900" w:h="16838" w:orient="portrait"/>
          <w:cols w:equalWidth="0" w:num="2">
            <w:col w:w="5060" w:space="420"/>
            <w:col w:w="5380"/>
          </w:cols>
          <w:pgMar w:left="320" w:top="1251" w:right="71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5"/>
              </w:rPr>
              <w:t>4.11</w:t>
            </w:r>
          </w:p>
        </w:tc>
        <w:tc>
          <w:tcPr>
            <w:tcW w:w="2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Arm Annual Bonus Plan Rules.</w:t>
            </w:r>
          </w:p>
        </w:tc>
        <w:tc>
          <w:tcPr>
            <w:tcW w:w="4100" w:type="dxa"/>
            <w:vAlign w:val="bottom"/>
            <w:gridSpan w:val="7"/>
          </w:tcPr>
          <w:p>
            <w:pPr>
              <w:spacing w:after="0"/>
              <w:rPr>
                <w:sz w:val="18"/>
                <w:szCs w:val="18"/>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50"/>
        </w:trPr>
        <w:tc>
          <w:tcPr>
            <w:tcW w:w="9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4.12</w:t>
            </w:r>
          </w:p>
        </w:tc>
        <w:tc>
          <w:tcPr>
            <w:tcW w:w="3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Amended and Restated Employment Agreement,</w:t>
            </w:r>
          </w:p>
        </w:tc>
        <w:tc>
          <w:tcPr>
            <w:tcW w:w="2840" w:type="dxa"/>
            <w:vAlign w:val="bottom"/>
            <w:gridSpan w:val="3"/>
          </w:tcPr>
          <w:p>
            <w:pPr>
              <w:spacing w:after="0"/>
              <w:rPr>
                <w:sz w:val="21"/>
                <w:szCs w:val="21"/>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80" w:type="dxa"/>
            <w:vAlign w:val="bottom"/>
          </w:tcPr>
          <w:p>
            <w:pPr>
              <w:spacing w:after="0"/>
              <w:rPr>
                <w:sz w:val="17"/>
                <w:szCs w:val="17"/>
                <w:color w:val="auto"/>
              </w:rPr>
            </w:pPr>
          </w:p>
        </w:tc>
        <w:tc>
          <w:tcPr>
            <w:tcW w:w="3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dated as of November 17, 2022, by and between</w:t>
            </w:r>
          </w:p>
        </w:tc>
        <w:tc>
          <w:tcPr>
            <w:tcW w:w="2900" w:type="dxa"/>
            <w:vAlign w:val="bottom"/>
            <w:gridSpan w:val="4"/>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1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Rene Anthony Andrada Haas and Arm, Inc.</w:t>
            </w:r>
          </w:p>
        </w:tc>
        <w:tc>
          <w:tcPr>
            <w:tcW w:w="3220" w:type="dxa"/>
            <w:vAlign w:val="bottom"/>
            <w:gridSpan w:val="6"/>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9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7"/>
              </w:rPr>
              <w:t>8.1</w:t>
            </w:r>
          </w:p>
        </w:tc>
        <w:tc>
          <w:tcPr>
            <w:tcW w:w="2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Subsidiaries of the Company.</w:t>
            </w:r>
          </w:p>
        </w:tc>
        <w:tc>
          <w:tcPr>
            <w:tcW w:w="4260" w:type="dxa"/>
            <w:vAlign w:val="bottom"/>
            <w:gridSpan w:val="8"/>
          </w:tcPr>
          <w:p>
            <w:pPr>
              <w:spacing w:after="0"/>
              <w:rPr>
                <w:sz w:val="21"/>
                <w:szCs w:val="21"/>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50"/>
        </w:trPr>
        <w:tc>
          <w:tcPr>
            <w:tcW w:w="9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5"/>
              </w:rPr>
              <w:t>11.1</w:t>
            </w:r>
          </w:p>
        </w:tc>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8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0"/>
        </w:trPr>
        <w:tc>
          <w:tcPr>
            <w:tcW w:w="9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12.1</w:t>
            </w:r>
          </w:p>
        </w:tc>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w:t>
            </w: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8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Sarbanes-Oxley Act of 2002.</w:t>
            </w:r>
          </w:p>
        </w:tc>
        <w:tc>
          <w:tcPr>
            <w:tcW w:w="560" w:type="dxa"/>
            <w:vAlign w:val="bottom"/>
            <w:tcBorders>
              <w:top w:val="single" w:sz="8" w:color="0000FF"/>
            </w:tcBorders>
            <w:gridSpan w:val="4"/>
          </w:tcPr>
          <w:p>
            <w:pPr>
              <w:spacing w:after="0"/>
              <w:rPr>
                <w:sz w:val="17"/>
                <w:szCs w:val="17"/>
                <w:color w:val="auto"/>
              </w:rPr>
            </w:pPr>
          </w:p>
        </w:tc>
        <w:tc>
          <w:tcPr>
            <w:tcW w:w="26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50"/>
        </w:trPr>
        <w:tc>
          <w:tcPr>
            <w:tcW w:w="9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12.2</w:t>
            </w:r>
          </w:p>
        </w:tc>
        <w:tc>
          <w:tcPr>
            <w:tcW w:w="3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by Chief Financial Officer Pursuant to</w:t>
            </w:r>
          </w:p>
        </w:tc>
        <w:tc>
          <w:tcPr>
            <w:tcW w:w="2660" w:type="dxa"/>
            <w:vAlign w:val="bottom"/>
            <w:gridSpan w:val="2"/>
          </w:tcPr>
          <w:p>
            <w:pPr>
              <w:spacing w:after="0"/>
              <w:rPr>
                <w:sz w:val="21"/>
                <w:szCs w:val="21"/>
                <w:color w:val="auto"/>
              </w:rPr>
            </w:pPr>
          </w:p>
        </w:tc>
        <w:tc>
          <w:tcPr>
            <w:tcW w:w="274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80" w:type="dxa"/>
            <w:vAlign w:val="bottom"/>
          </w:tcPr>
          <w:p>
            <w:pPr>
              <w:spacing w:after="0"/>
              <w:rPr>
                <w:sz w:val="17"/>
                <w:szCs w:val="17"/>
                <w:color w:val="auto"/>
              </w:rPr>
            </w:pPr>
          </w:p>
        </w:tc>
        <w:tc>
          <w:tcPr>
            <w:tcW w:w="3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Sarbanes-Oxley Act of 2002.</w:t>
            </w:r>
          </w:p>
        </w:tc>
        <w:tc>
          <w:tcPr>
            <w:tcW w:w="3180" w:type="dxa"/>
            <w:vAlign w:val="bottom"/>
            <w:gridSpan w:val="5"/>
          </w:tcPr>
          <w:p>
            <w:pPr>
              <w:spacing w:after="0"/>
              <w:rPr>
                <w:sz w:val="17"/>
                <w:szCs w:val="17"/>
                <w:color w:val="auto"/>
              </w:rPr>
            </w:pPr>
          </w:p>
        </w:tc>
        <w:tc>
          <w:tcPr>
            <w:tcW w:w="2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51" w:right="719" w:bottom="1440" w:gutter="0" w:footer="0" w:header="0"/>
          <w:type w:val="continuous"/>
        </w:sectPr>
      </w:pPr>
    </w:p>
    <w:bookmarkStart w:id="199" w:name="page200"/>
    <w:bookmarkEnd w:id="199"/>
    <w:tbl>
      <w:tblPr>
        <w:tblLayout w:type="fixed"/>
        <w:tblInd w:w="300" w:type="dxa"/>
        <w:tblCellMar>
          <w:top w:w="0" w:type="dxa"/>
          <w:left w:w="0" w:type="dxa"/>
          <w:bottom w:w="0" w:type="dxa"/>
          <w:right w:w="0" w:type="dxa"/>
        </w:tblCellMar>
      </w:tblPr>
      <w:tr>
        <w:trPr>
          <w:trHeight w:val="207"/>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13.1</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w:t>
            </w: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w:t>
            </w: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320" w:type="dxa"/>
            <w:vAlign w:val="bottom"/>
            <w:tcBorders>
              <w:top w:val="single" w:sz="8" w:color="0000FF"/>
            </w:tcBorders>
            <w:gridSpan w:val="2"/>
          </w:tcPr>
          <w:p>
            <w:pPr>
              <w:spacing w:after="0"/>
              <w:rPr>
                <w:sz w:val="17"/>
                <w:szCs w:val="17"/>
                <w:color w:val="auto"/>
              </w:rPr>
            </w:pPr>
          </w:p>
        </w:tc>
        <w:tc>
          <w:tcPr>
            <w:tcW w:w="280" w:type="dxa"/>
            <w:vAlign w:val="bottom"/>
          </w:tcPr>
          <w:p>
            <w:pPr>
              <w:spacing w:after="0"/>
              <w:rPr>
                <w:sz w:val="17"/>
                <w:szCs w:val="17"/>
                <w:color w:val="auto"/>
              </w:rPr>
            </w:pPr>
          </w:p>
        </w:tc>
      </w:tr>
      <w:tr>
        <w:trPr>
          <w:trHeight w:val="25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15.1</w:t>
            </w:r>
          </w:p>
        </w:tc>
        <w:tc>
          <w:tcPr>
            <w:tcW w:w="500" w:type="dxa"/>
            <w:vAlign w:val="bottom"/>
          </w:tcPr>
          <w:p>
            <w:pPr>
              <w:spacing w:after="0"/>
              <w:rPr>
                <w:sz w:val="21"/>
                <w:szCs w:val="21"/>
                <w:color w:val="auto"/>
              </w:rPr>
            </w:pPr>
          </w:p>
        </w:tc>
        <w:tc>
          <w:tcPr>
            <w:tcW w:w="3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w:t>
            </w:r>
          </w:p>
        </w:tc>
        <w:tc>
          <w:tcPr>
            <w:tcW w:w="660" w:type="dxa"/>
            <w:vAlign w:val="bottom"/>
            <w:gridSpan w:val="2"/>
          </w:tcPr>
          <w:p>
            <w:pPr>
              <w:spacing w:after="0"/>
              <w:rPr>
                <w:sz w:val="21"/>
                <w:szCs w:val="2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r>
      <w:tr>
        <w:trPr>
          <w:trHeight w:val="25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97.1</w:t>
            </w:r>
          </w:p>
        </w:tc>
        <w:tc>
          <w:tcPr>
            <w:tcW w:w="500" w:type="dxa"/>
            <w:vAlign w:val="bottom"/>
          </w:tcPr>
          <w:p>
            <w:pPr>
              <w:spacing w:after="0"/>
              <w:rPr>
                <w:sz w:val="21"/>
                <w:szCs w:val="21"/>
                <w:color w:val="auto"/>
              </w:rPr>
            </w:pPr>
          </w:p>
        </w:tc>
        <w:tc>
          <w:tcPr>
            <w:tcW w:w="12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Clawback Policy.</w:t>
            </w:r>
          </w:p>
        </w:tc>
        <w:tc>
          <w:tcPr>
            <w:tcW w:w="20" w:type="dxa"/>
            <w:vAlign w:val="bottom"/>
            <w:tcBorders>
              <w:top w:val="single" w:sz="8" w:color="0000FF"/>
            </w:tcBorders>
          </w:tcPr>
          <w:p>
            <w:pPr>
              <w:spacing w:after="0"/>
              <w:rPr>
                <w:sz w:val="21"/>
                <w:szCs w:val="21"/>
                <w:color w:val="auto"/>
              </w:rPr>
            </w:pPr>
          </w:p>
        </w:tc>
        <w:tc>
          <w:tcPr>
            <w:tcW w:w="2420" w:type="dxa"/>
            <w:vAlign w:val="bottom"/>
            <w:gridSpan w:val="4"/>
          </w:tcPr>
          <w:p>
            <w:pPr>
              <w:spacing w:after="0"/>
              <w:rPr>
                <w:sz w:val="21"/>
                <w:szCs w:val="21"/>
                <w:color w:val="auto"/>
              </w:rPr>
            </w:pPr>
          </w:p>
        </w:tc>
      </w:tr>
    </w:tbl>
    <w:p>
      <w:pPr>
        <w:spacing w:after="0" w:line="63" w:lineRule="exact"/>
        <w:rPr>
          <w:sz w:val="20"/>
          <w:szCs w:val="20"/>
          <w:color w:val="auto"/>
        </w:rPr>
      </w:pPr>
    </w:p>
    <w:p>
      <w:pPr>
        <w:ind w:left="1280" w:hanging="955"/>
        <w:spacing w:after="0" w:line="253" w:lineRule="auto"/>
        <w:tabs>
          <w:tab w:leader="none" w:pos="1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20-F for the year ended March 31, 2024, were formatted in Inline XBRL (Extensible Business Reporting Language): (i) Consolidated Balance Sheets, (ii) Consolidated Statements of Comprehensive Income, (iii) Consolidated Statements of Shareholders’ Equity, (iv) Consolidated Statements of Cash Flows, and (v) Notes to Consolidated Financial Statements. The instance document does not appear in the Interactive Data File because its XBRL tags are embedded within the Inline XBRL document.</w:t>
      </w:r>
    </w:p>
    <w:p>
      <w:pPr>
        <w:spacing w:after="0" w:line="28" w:lineRule="exact"/>
        <w:rPr>
          <w:sz w:val="20"/>
          <w:szCs w:val="20"/>
          <w:color w:val="auto"/>
        </w:rPr>
      </w:pPr>
    </w:p>
    <w:p>
      <w:pPr>
        <w:ind w:left="1280" w:right="160" w:hanging="955"/>
        <w:spacing w:after="0" w:line="312" w:lineRule="auto"/>
        <w:tabs>
          <w:tab w:leader="none" w:pos="128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XBRL tags are embedded within the Inline XBRL.</w:t>
      </w:r>
    </w:p>
    <w:p>
      <w:pPr>
        <w:spacing w:after="0" w:line="26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00" w:space="380"/>
            <w:col w:w="4920"/>
          </w:cols>
          <w:pgMar w:left="320" w:top="1080" w:right="117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SIGNATURE</w:t>
      </w:r>
    </w:p>
    <w:p>
      <w:pPr>
        <w:spacing w:after="0" w:line="21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The registrant hereby certifies that it meets all of the requirements for filing on Form 20-F and that it has duly caused and authorized the undersigned to sign this annual report on its behalf.</w:t>
      </w:r>
    </w:p>
    <w:p>
      <w:pPr>
        <w:spacing w:after="0" w:line="11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231F20"/>
        </w:rPr>
        <w:t>ARM HOLDINGS PLC</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2024</w:t>
            </w: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20"/>
          </w:cols>
          <w:pgMar w:left="320" w:top="1278" w:right="35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0"/>
          <w:szCs w:val="20"/>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11299879</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Companies Act 2006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ASSOCIATION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adopted by special resolution passed on 4 September 2023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Arm Holdings plc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(incorporated on 9 April 2018 under the Companies Act 2006)</w:t>
      </w:r>
    </w:p>
    <w:p>
      <w:pPr>
        <w:sectPr>
          <w:pgSz w:w="11900" w:h="16838" w:orient="portrait"/>
          <w:cols w:equalWidth="0" w:num="1">
            <w:col w:w="11240"/>
          </w:cols>
          <w:pgMar w:left="320" w:top="114" w:right="33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20"/>
          <w:szCs w:val="20"/>
          <w:color w:val="auto"/>
        </w:rPr>
        <w:t>The Companies Act 2006</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Company Limited by Shares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Association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adopted by special resolution passed on 4 September 2023</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Arm Holdings plc (the “Company”)</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Preliminary</w:t>
      </w:r>
    </w:p>
    <w:p>
      <w:pPr>
        <w:spacing w:after="0" w:line="200" w:lineRule="exact"/>
        <w:rPr>
          <w:sz w:val="20"/>
          <w:szCs w:val="20"/>
          <w:color w:val="auto"/>
        </w:rPr>
      </w:pPr>
    </w:p>
    <w:p>
      <w:pPr>
        <w:spacing w:after="0" w:line="245" w:lineRule="exact"/>
        <w:rPr>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Default Articles not to apply</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Neither the model articles for public companies contained or incorporated in Schedule 3 to the Companies (Model Articles) Regulations 2008 nor any other articles or regulations prescribing forms of articles which may apply to companies under the Legislation or any former enactment relating to companies shall apply to the Company.</w:t>
      </w:r>
    </w:p>
    <w:p>
      <w:pPr>
        <w:spacing w:after="0" w:line="380" w:lineRule="exact"/>
        <w:rPr>
          <w:sz w:val="20"/>
          <w:szCs w:val="20"/>
          <w:color w:val="auto"/>
        </w:rPr>
      </w:pPr>
    </w:p>
    <w:p>
      <w:pPr>
        <w:ind w:left="640" w:hanging="632"/>
        <w:spacing w:after="0"/>
        <w:tabs>
          <w:tab w:leader="none" w:pos="64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these Articles (if not inconsistent with the subject or context) the provisions of this Article 2 apply:</w:t>
      </w:r>
    </w:p>
    <w:p>
      <w:pPr>
        <w:spacing w:after="0" w:line="279"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address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any address or number (including, in the case of any Uncertificated</w:t>
      </w:r>
    </w:p>
    <w:p>
      <w:pPr>
        <w:spacing w:after="0" w:line="2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Proxy Instruction, an identification number of a participant in the relevant</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system) used for the purposes of sending or receiving notices, documents or</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information by electronic means and/or by means of a website;</w:t>
      </w:r>
    </w:p>
    <w:p>
      <w:pPr>
        <w:spacing w:after="0" w:line="257"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in relation to a company, any subsidiary or holding company from time</w:t>
      </w:r>
    </w:p>
    <w:p>
      <w:pPr>
        <w:spacing w:after="0" w:line="2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to time of that company, and any subsidiary from time to time of a holding</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company of that company, provided that “Affiliates” of SBG shall include (i)</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investment funds managed by SBG’s Affiliates; and/or (ii) any investment fund</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consented to as an Affiliate by the Company. For the purposes of this</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definition, a reference to a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includes a body corporate and any</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partnership, LLC or similar corporate undertaking which is majority owned</w:t>
      </w:r>
    </w:p>
    <w:p>
      <w:pPr>
        <w:spacing w:after="0" w:line="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and controlled directly or indirectly by SBG;</w:t>
      </w:r>
    </w:p>
    <w:p>
      <w:pPr>
        <w:spacing w:after="0" w:line="264"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General Meeting</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 general meeting held as the Company’s annual general meeting in</w:t>
      </w:r>
    </w:p>
    <w:p>
      <w:pPr>
        <w:spacing w:after="0" w:line="2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accordance with Section 336 of the Companies Act 2006;</w:t>
      </w:r>
    </w:p>
    <w:p>
      <w:pPr>
        <w:spacing w:after="0" w:line="257"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Appointed Number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125.1;</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type w:val="continuous"/>
        </w:sectPr>
      </w:pPr>
    </w:p>
    <w:bookmarkStart w:id="203" w:name="page204"/>
    <w:bookmarkEnd w:id="203"/>
    <w:p>
      <w:pPr>
        <w:spacing w:after="0" w:line="10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Appointed Proxy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125.2;</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Depositary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 custodian or some other person appointed in writing by the Directors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whereby such custodian or other person holds or is interested in ordinary shares</w:t>
      </w:r>
    </w:p>
    <w:p>
      <w:pPr>
        <w:spacing w:after="0" w:line="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of the Company and issues securities or other documents of title or otherwise</w:t>
      </w:r>
    </w:p>
    <w:p>
      <w:pPr>
        <w:spacing w:after="0" w:line="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evidencing the entitlement of the holder thereof to receive such shares,</w:t>
      </w:r>
    </w:p>
    <w:p>
      <w:pPr>
        <w:spacing w:after="0" w:line="6" w:lineRule="exact"/>
        <w:rPr>
          <w:sz w:val="20"/>
          <w:szCs w:val="20"/>
          <w:color w:val="auto"/>
        </w:rPr>
      </w:pPr>
    </w:p>
    <w:p>
      <w:pPr>
        <w:jc w:val="both"/>
        <w:ind w:left="3200"/>
        <w:spacing w:after="0" w:line="256" w:lineRule="auto"/>
        <w:rPr>
          <w:sz w:val="20"/>
          <w:szCs w:val="20"/>
          <w:color w:val="auto"/>
        </w:rPr>
      </w:pPr>
      <w:r>
        <w:rPr>
          <w:rFonts w:ascii="Times New Roman" w:cs="Times New Roman" w:eastAsia="Times New Roman" w:hAnsi="Times New Roman"/>
          <w:sz w:val="20"/>
          <w:szCs w:val="20"/>
          <w:color w:val="auto"/>
        </w:rPr>
        <w:t>provided and to the extent that the terms and conditions of the custodian or other person acting as such have been approved by the Directors for the purpose of these Articles;</w:t>
      </w:r>
    </w:p>
    <w:p>
      <w:pPr>
        <w:spacing w:after="0" w:line="224"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transfer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64.8.2;</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call</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18;</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clear days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 relation to a period of notice means that period excluding the day when the</w:t>
      </w:r>
    </w:p>
    <w:p>
      <w:pPr>
        <w:spacing w:after="0" w:line="32" w:lineRule="exact"/>
        <w:rPr>
          <w:sz w:val="20"/>
          <w:szCs w:val="20"/>
          <w:color w:val="auto"/>
        </w:rPr>
      </w:pPr>
    </w:p>
    <w:p>
      <w:pPr>
        <w:ind w:left="3200"/>
        <w:spacing w:after="0" w:line="253" w:lineRule="auto"/>
        <w:rPr>
          <w:sz w:val="20"/>
          <w:szCs w:val="20"/>
          <w:color w:val="auto"/>
        </w:rPr>
      </w:pPr>
      <w:r>
        <w:rPr>
          <w:rFonts w:ascii="Times New Roman" w:cs="Times New Roman" w:eastAsia="Times New Roman" w:hAnsi="Times New Roman"/>
          <w:sz w:val="20"/>
          <w:szCs w:val="20"/>
          <w:color w:val="auto"/>
        </w:rPr>
        <w:t>notice is served or deemed to be served and the day for which it is given or on which it is to take effect;</w:t>
      </w:r>
    </w:p>
    <w:p>
      <w:pPr>
        <w:spacing w:after="0" w:line="23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Companies Acts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shall have the same meaning as in Section 2 of the Companies Act 2006 in so</w:t>
      </w:r>
    </w:p>
    <w:p>
      <w:pPr>
        <w:spacing w:after="0" w:line="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far as they apply to the Company;</w:t>
      </w:r>
    </w:p>
    <w:p>
      <w:pPr>
        <w:spacing w:after="0" w:line="250"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Communications</w:t>
      </w:r>
      <w:r>
        <w:rPr>
          <w:sz w:val="20"/>
          <w:szCs w:val="20"/>
          <w:color w:val="auto"/>
        </w:rPr>
        <w:tab/>
      </w:r>
      <w:r>
        <w:rPr>
          <w:rFonts w:ascii="Times New Roman" w:cs="Times New Roman" w:eastAsia="Times New Roman" w:hAnsi="Times New Roman"/>
          <w:sz w:val="19"/>
          <w:szCs w:val="19"/>
          <w:color w:val="auto"/>
        </w:rPr>
        <w:t>shall have the same meaning as in Section 1143 of the Companies Act 2006;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6"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shares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64.2.1;</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Depositary Shares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125.1;</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direction notice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64.3;</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directors of the Company, and “</w:t>
      </w:r>
      <w:r>
        <w:rPr>
          <w:rFonts w:ascii="Times New Roman" w:cs="Times New Roman" w:eastAsia="Times New Roman" w:hAnsi="Times New Roman"/>
          <w:sz w:val="19"/>
          <w:szCs w:val="19"/>
          <w:b w:val="1"/>
          <w:bCs w:val="1"/>
          <w:color w:val="auto"/>
        </w:rPr>
        <w:t>Director</w:t>
      </w:r>
      <w:r>
        <w:rPr>
          <w:rFonts w:ascii="Times New Roman" w:cs="Times New Roman" w:eastAsia="Times New Roman" w:hAnsi="Times New Roman"/>
          <w:sz w:val="19"/>
          <w:szCs w:val="19"/>
          <w:color w:val="auto"/>
        </w:rPr>
        <w:t>” means any of them;</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 Record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106.1;</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elected Ordinary shares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111.7;</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form</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have the same meaning as in the Company Communications Provisions;</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general meeting</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42.2;</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means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have the same meaning as in the Company Communications Provisions;</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entitled members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9.2.1;</w:t>
      </w:r>
    </w:p>
    <w:p>
      <w:pPr>
        <w:sectPr>
          <w:pgSz w:w="11900" w:h="16923" w:orient="portrait"/>
          <w:cols w:equalWidth="0" w:num="1">
            <w:col w:w="9500"/>
          </w:cols>
          <w:pgMar w:left="1040" w:top="1440"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3</w:t>
      </w:r>
    </w:p>
    <w:p>
      <w:pPr>
        <w:sectPr>
          <w:pgSz w:w="11900" w:h="16923" w:orient="portrait"/>
          <w:cols w:equalWidth="0" w:num="1">
            <w:col w:w="9500"/>
          </w:cols>
          <w:pgMar w:left="1040" w:top="1440" w:right="1359" w:bottom="0" w:gutter="0" w:footer="0" w:header="0"/>
          <w:type w:val="continuous"/>
        </w:sectPr>
      </w:pPr>
    </w:p>
    <w:bookmarkStart w:id="204" w:name="page205"/>
    <w:bookmarkEnd w:id="20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5" w:name="page206"/>
    <w:bookmarkEnd w:id="205"/>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Adjourned Meeting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Meeting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hard copy form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 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hybrid general meeting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 writing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means the U.S. Securities Exchange Act of 1934, as amended, and the rules and regulations promulgated thereunder;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has the meaning given to it in Article 79.2;</w:t>
      </w:r>
    </w:p>
    <w:p>
      <w:pPr>
        <w:spacing w:after="0" w:line="200" w:lineRule="exact"/>
        <w:rPr>
          <w:sz w:val="20"/>
          <w:szCs w:val="20"/>
          <w:color w:val="auto"/>
        </w:rPr>
      </w:pPr>
    </w:p>
    <w:p>
      <w:pPr>
        <w:spacing w:after="0" w:line="2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means any general meeting of the Company, including any general meeting held as the Company’s Annual General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have the same meaning as in the Company Communications Provisions;</w:t>
      </w:r>
    </w:p>
    <w:p>
      <w:pPr>
        <w:spacing w:after="0" w:line="200" w:lineRule="exact"/>
        <w:rPr>
          <w:sz w:val="20"/>
          <w:szCs w:val="20"/>
          <w:color w:val="auto"/>
        </w:rPr>
      </w:pPr>
    </w:p>
    <w:p>
      <w:pPr>
        <w:spacing w:after="0" w:line="2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means a holding company within the meaning of Section 1159 of the Companies Act 2006;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has the meaning given to it in Article 42.1;</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means written or produced by any substitute for writing (including anything in electronic form) or partly one and partly another;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means a person meeting the independence standards of the Nasdaq Global Select Market pursuant to Rule 5605(a)(2) of the Nasdaq Listing Rules or any successor provision thereto;</w:t>
      </w:r>
    </w:p>
    <w:p>
      <w:pPr>
        <w:spacing w:after="0" w:line="200" w:lineRule="exact"/>
        <w:rPr>
          <w:sz w:val="20"/>
          <w:szCs w:val="20"/>
          <w:color w:val="auto"/>
        </w:rPr>
      </w:pPr>
    </w:p>
    <w:p>
      <w:pPr>
        <w:sectPr>
          <w:pgSz w:w="11900" w:h="16838" w:orient="portrait"/>
          <w:cols w:equalWidth="0" w:num="2">
            <w:col w:w="2480" w:space="720"/>
            <w:col w:w="6300"/>
          </w:cols>
          <w:pgMar w:left="1040" w:top="1440" w:right="1359" w:bottom="712" w:gutter="0" w:footer="0" w:header="0"/>
        </w:sectPr>
      </w:pPr>
    </w:p>
    <w:p>
      <w:pPr>
        <w:spacing w:after="0" w:line="31"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Interested Directors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85.2.2;</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Legislation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Companies Acts, the Uncertificated Securities Rules and every other</w:t>
      </w:r>
    </w:p>
    <w:p>
      <w:pPr>
        <w:spacing w:after="0" w:line="32" w:lineRule="exact"/>
        <w:rPr>
          <w:sz w:val="20"/>
          <w:szCs w:val="20"/>
          <w:color w:val="auto"/>
        </w:rPr>
      </w:pPr>
    </w:p>
    <w:p>
      <w:pPr>
        <w:ind w:left="3200"/>
        <w:spacing w:after="0" w:line="253" w:lineRule="auto"/>
        <w:rPr>
          <w:sz w:val="20"/>
          <w:szCs w:val="20"/>
          <w:color w:val="auto"/>
        </w:rPr>
      </w:pPr>
      <w:r>
        <w:rPr>
          <w:rFonts w:ascii="Times New Roman" w:cs="Times New Roman" w:eastAsia="Times New Roman" w:hAnsi="Times New Roman"/>
          <w:sz w:val="20"/>
          <w:szCs w:val="20"/>
          <w:color w:val="auto"/>
        </w:rPr>
        <w:t>enactment for the time being in force concerning companies and affecting the Company;</w:t>
      </w:r>
    </w:p>
    <w:p>
      <w:pPr>
        <w:spacing w:after="0" w:line="23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month</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a calendar month;</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Nasdaq Stock Market LLC;</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Nominee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 member of the Company who holds ordinary shares in the Company</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as nominee for an Approved Depositary;</w:t>
      </w:r>
    </w:p>
    <w:p>
      <w:pPr>
        <w:spacing w:after="0" w:line="250"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registered office of the Company for the time being;</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Operator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Euroclear UK &amp; Ireland Limited or such other person as may for the</w:t>
      </w:r>
    </w:p>
    <w:p>
      <w:pPr>
        <w:spacing w:after="0" w:line="32" w:lineRule="exact"/>
        <w:rPr>
          <w:sz w:val="20"/>
          <w:szCs w:val="20"/>
          <w:color w:val="auto"/>
        </w:rPr>
      </w:pPr>
    </w:p>
    <w:p>
      <w:pPr>
        <w:ind w:left="3200"/>
        <w:spacing w:after="0" w:line="253" w:lineRule="auto"/>
        <w:rPr>
          <w:sz w:val="20"/>
          <w:szCs w:val="20"/>
          <w:color w:val="auto"/>
        </w:rPr>
      </w:pPr>
      <w:r>
        <w:rPr>
          <w:rFonts w:ascii="Times New Roman" w:cs="Times New Roman" w:eastAsia="Times New Roman" w:hAnsi="Times New Roman"/>
          <w:sz w:val="20"/>
          <w:szCs w:val="20"/>
          <w:color w:val="auto"/>
        </w:rPr>
        <w:t>time being be approved by H.M. Treasury as Operator under the Uncertificated Securities Rules;</w:t>
      </w:r>
    </w:p>
    <w:p>
      <w:pPr>
        <w:spacing w:after="0" w:line="23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paid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paid or credited as paid;</w:t>
      </w:r>
    </w:p>
    <w:p>
      <w:pPr>
        <w:sectPr>
          <w:pgSz w:w="11900" w:h="16838" w:orient="portrait"/>
          <w:cols w:equalWidth="0" w:num="1">
            <w:col w:w="9500"/>
          </w:cols>
          <w:pgMar w:left="1040" w:top="1440" w:right="1359" w:bottom="71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500"/>
          </w:cols>
          <w:pgMar w:left="1040" w:top="1440" w:right="1359" w:bottom="712" w:gutter="0" w:footer="0" w:header="0"/>
          <w:type w:val="continuous"/>
        </w:sectPr>
      </w:pPr>
    </w:p>
    <w:bookmarkStart w:id="206" w:name="page207"/>
    <w:bookmarkEnd w:id="206"/>
    <w:p>
      <w:pPr>
        <w:spacing w:after="0" w:line="23"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 entitled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in relation to a share, a person entitled to that share by reason of the</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death or bankruptcy of a member or otherwise by operation of law;</w:t>
      </w:r>
    </w:p>
    <w:p>
      <w:pPr>
        <w:spacing w:after="0" w:line="250"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meeting place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50.2;</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Proxy Register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125.1;</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125.6.1;</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register of members of the Company;</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system</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 computer-based system, and procedures, which enable title to units of</w:t>
      </w:r>
    </w:p>
    <w:p>
      <w:pPr>
        <w:spacing w:after="0" w:line="32" w:lineRule="exact"/>
        <w:rPr>
          <w:sz w:val="20"/>
          <w:szCs w:val="20"/>
          <w:color w:val="auto"/>
        </w:rPr>
      </w:pPr>
    </w:p>
    <w:p>
      <w:pPr>
        <w:ind w:left="3200"/>
        <w:spacing w:after="0" w:line="253" w:lineRule="auto"/>
        <w:rPr>
          <w:sz w:val="20"/>
          <w:szCs w:val="20"/>
          <w:color w:val="auto"/>
        </w:rPr>
      </w:pPr>
      <w:r>
        <w:rPr>
          <w:rFonts w:ascii="Times New Roman" w:cs="Times New Roman" w:eastAsia="Times New Roman" w:hAnsi="Times New Roman"/>
          <w:sz w:val="20"/>
          <w:szCs w:val="20"/>
          <w:color w:val="auto"/>
        </w:rPr>
        <w:t>a security to be evidenced and transferred without a written instrument pursuant to the Uncertificated Securities Rules or other applicable regulations;</w:t>
      </w:r>
    </w:p>
    <w:p>
      <w:pPr>
        <w:spacing w:after="0" w:line="23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satellite chair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50.7;</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satellite meeting</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50.2;</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SBG</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means SoftBank Group Corp., a Japanese </w:t>
      </w:r>
      <w:r>
        <w:rPr>
          <w:rFonts w:ascii="Times New Roman" w:cs="Times New Roman" w:eastAsia="Times New Roman" w:hAnsi="Times New Roman"/>
          <w:sz w:val="19"/>
          <w:szCs w:val="19"/>
          <w:i w:val="1"/>
          <w:iCs w:val="1"/>
          <w:color w:val="auto"/>
        </w:rPr>
        <w:t>kabushiki kaisha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Scrip Shares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in Article 111.1;</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Seal</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common seal of the Company;</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United States Securities and Exchange Commission;</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Adjourned Meeting</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has the meaning given to it Article 79.2;</w:t>
      </w:r>
    </w:p>
    <w:p>
      <w:pPr>
        <w:spacing w:after="0" w:line="200" w:lineRule="exact"/>
        <w:rPr>
          <w:sz w:val="20"/>
          <w:szCs w:val="20"/>
          <w:color w:val="auto"/>
        </w:rPr>
      </w:pPr>
    </w:p>
    <w:p>
      <w:pPr>
        <w:spacing w:after="0" w:line="29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Secretary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secretary of the Company and any person appointed by the Directors</w:t>
      </w:r>
    </w:p>
    <w:p>
      <w:pPr>
        <w:spacing w:after="0" w:line="32" w:lineRule="exact"/>
        <w:rPr>
          <w:sz w:val="20"/>
          <w:szCs w:val="20"/>
          <w:color w:val="auto"/>
        </w:rPr>
      </w:pPr>
    </w:p>
    <w:p>
      <w:pPr>
        <w:ind w:left="3200"/>
        <w:spacing w:after="0" w:line="253" w:lineRule="auto"/>
        <w:rPr>
          <w:sz w:val="20"/>
          <w:szCs w:val="20"/>
          <w:color w:val="auto"/>
        </w:rPr>
      </w:pPr>
      <w:r>
        <w:rPr>
          <w:rFonts w:ascii="Times New Roman" w:cs="Times New Roman" w:eastAsia="Times New Roman" w:hAnsi="Times New Roman"/>
          <w:sz w:val="20"/>
          <w:szCs w:val="20"/>
          <w:color w:val="auto"/>
        </w:rPr>
        <w:t>to perform any of the duties of the secretary including, but not limited to, a joint, assistant or deputy secretary;</w:t>
      </w:r>
    </w:p>
    <w:p>
      <w:pPr>
        <w:spacing w:after="0" w:line="23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the U.S. Securities Act of 1933, as amended, and the rules and</w:t>
      </w:r>
    </w:p>
    <w:p>
      <w:pPr>
        <w:spacing w:after="0" w:line="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regulations promulgated thereunder;</w:t>
      </w:r>
    </w:p>
    <w:p>
      <w:pPr>
        <w:spacing w:after="0" w:line="250"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Seal</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an official seal kept by the Company for sealing securities issued by the</w:t>
      </w:r>
    </w:p>
    <w:p>
      <w:pPr>
        <w:spacing w:after="0" w:line="32" w:lineRule="exact"/>
        <w:rPr>
          <w:sz w:val="20"/>
          <w:szCs w:val="20"/>
          <w:color w:val="auto"/>
        </w:rPr>
      </w:pPr>
    </w:p>
    <w:p>
      <w:pPr>
        <w:ind w:left="3200"/>
        <w:spacing w:after="0" w:line="253" w:lineRule="auto"/>
        <w:rPr>
          <w:sz w:val="20"/>
          <w:szCs w:val="20"/>
          <w:color w:val="auto"/>
        </w:rPr>
      </w:pPr>
      <w:r>
        <w:rPr>
          <w:rFonts w:ascii="Times New Roman" w:cs="Times New Roman" w:eastAsia="Times New Roman" w:hAnsi="Times New Roman"/>
          <w:sz w:val="20"/>
          <w:szCs w:val="20"/>
          <w:color w:val="auto"/>
        </w:rPr>
        <w:t>Company, or for sealing documents creating or evidencing securities so issued, as permitted by the Companies Acts;</w:t>
      </w:r>
    </w:p>
    <w:p>
      <w:pPr>
        <w:spacing w:after="0" w:line="23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 subsidiary within the meaning of Section 1159 of the Companies Act</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2006;</w:t>
      </w:r>
    </w:p>
    <w:p>
      <w:pPr>
        <w:spacing w:after="0" w:line="250"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these Articles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these Articles of Association as from time to time altered;</w:t>
      </w:r>
    </w:p>
    <w:p>
      <w:pPr>
        <w:sectPr>
          <w:pgSz w:w="11900" w:h="16838" w:orient="portrait"/>
          <w:cols w:equalWidth="0" w:num="1">
            <w:col w:w="9500"/>
          </w:cols>
          <w:pgMar w:left="1040" w:top="1440"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500"/>
          </w:cols>
          <w:pgMar w:left="1040" w:top="1440" w:right="1359" w:bottom="0" w:gutter="0" w:footer="0" w:header="0"/>
          <w:type w:val="continuous"/>
        </w:sectPr>
      </w:pPr>
    </w:p>
    <w:bookmarkStart w:id="207" w:name="page208"/>
    <w:bookmarkEnd w:id="207"/>
    <w:p>
      <w:pPr>
        <w:spacing w:after="0" w:line="239"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Office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place where the Register is situated for the time being;</w:t>
      </w:r>
    </w:p>
    <w:p>
      <w:pPr>
        <w:spacing w:after="0" w:line="200" w:lineRule="exact"/>
        <w:rPr>
          <w:sz w:val="20"/>
          <w:szCs w:val="20"/>
          <w:color w:val="auto"/>
        </w:rPr>
      </w:pPr>
    </w:p>
    <w:p>
      <w:pPr>
        <w:spacing w:after="0" w:line="299"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Uncertificated Proxy Instruction</w:t>
      </w:r>
      <w:r>
        <w:rPr>
          <w:rFonts w:ascii="Times New Roman" w:cs="Times New Roman" w:eastAsia="Times New Roman" w:hAnsi="Times New Roman"/>
          <w:sz w:val="20"/>
          <w:szCs w:val="20"/>
          <w:color w:val="auto"/>
        </w:rPr>
        <w:t>”</w:t>
        <w:tab/>
        <w:t>means  a  properly  authenticated  dematerialised  instruction,  and/or  other</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instruction or notification, sent by means of a relevant system to a participant</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in that system acting on behalf of the Company as the Directors may prescribe,</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in such form and subject to such terms and conditions as may from time to time</w:t>
      </w:r>
    </w:p>
    <w:p>
      <w:pPr>
        <w:spacing w:after="0" w:line="6" w:lineRule="exact"/>
        <w:rPr>
          <w:sz w:val="20"/>
          <w:szCs w:val="20"/>
          <w:color w:val="auto"/>
        </w:rPr>
      </w:pPr>
    </w:p>
    <w:p>
      <w:pPr>
        <w:ind w:left="3920" w:right="1020"/>
        <w:spacing w:after="0" w:line="260" w:lineRule="auto"/>
        <w:rPr>
          <w:sz w:val="20"/>
          <w:szCs w:val="20"/>
          <w:color w:val="auto"/>
        </w:rPr>
      </w:pPr>
      <w:r>
        <w:rPr>
          <w:rFonts w:ascii="Times New Roman" w:cs="Times New Roman" w:eastAsia="Times New Roman" w:hAnsi="Times New Roman"/>
          <w:sz w:val="20"/>
          <w:szCs w:val="20"/>
          <w:color w:val="auto"/>
        </w:rPr>
        <w:t>be prescribed by the Directors (subject always to the facilities and requirements of the relevant system);</w:t>
      </w:r>
    </w:p>
    <w:p>
      <w:pPr>
        <w:spacing w:after="0" w:line="232"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Uncertificated Securities Rules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any provision of the Companies Acts relating to the holding, evidencing</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of title to, or transfer of uncertificated shares and any legislation, rules or other</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arrangements made under or by virtue of such provision (including the</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Uncertificated Securities Regulations 2001 as amended or replaced from time</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to time and any subordinate legislation or rules made under them for the time</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being in force);</w:t>
      </w:r>
    </w:p>
    <w:p>
      <w:pPr>
        <w:spacing w:after="0" w:line="264"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the United Kingdom of Great Britain and Northern Ireland;</w:t>
      </w:r>
    </w:p>
    <w:p>
      <w:pPr>
        <w:spacing w:after="0" w:line="200" w:lineRule="exact"/>
        <w:rPr>
          <w:sz w:val="20"/>
          <w:szCs w:val="20"/>
          <w:color w:val="auto"/>
        </w:rPr>
      </w:pPr>
    </w:p>
    <w:p>
      <w:pPr>
        <w:spacing w:after="0" w:line="299"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working day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means any day other than a Saturday, Sunday, or other day on which</w:t>
      </w:r>
    </w:p>
    <w:p>
      <w:pPr>
        <w:spacing w:after="0" w:line="32" w:lineRule="exact"/>
        <w:rPr>
          <w:sz w:val="20"/>
          <w:szCs w:val="20"/>
          <w:color w:val="auto"/>
        </w:rPr>
      </w:pPr>
    </w:p>
    <w:p>
      <w:pPr>
        <w:ind w:left="3920" w:right="1020"/>
        <w:spacing w:after="0" w:line="253" w:lineRule="auto"/>
        <w:rPr>
          <w:sz w:val="20"/>
          <w:szCs w:val="20"/>
          <w:color w:val="auto"/>
        </w:rPr>
      </w:pPr>
      <w:r>
        <w:rPr>
          <w:rFonts w:ascii="Times New Roman" w:cs="Times New Roman" w:eastAsia="Times New Roman" w:hAnsi="Times New Roman"/>
          <w:sz w:val="20"/>
          <w:szCs w:val="20"/>
          <w:color w:val="auto"/>
        </w:rPr>
        <w:t>commercial banks in New York and/or London are authorised or required by law to remain closed; and</w:t>
      </w:r>
    </w:p>
    <w:p>
      <w:pPr>
        <w:spacing w:after="0" w:line="238" w:lineRule="exact"/>
        <w:rPr>
          <w:sz w:val="20"/>
          <w:szCs w:val="20"/>
          <w:color w:val="auto"/>
        </w:rPr>
      </w:pPr>
    </w:p>
    <w:p>
      <w:pPr>
        <w:ind w:left="720"/>
        <w:spacing w:after="0"/>
        <w:tabs>
          <w:tab w:leader="none" w:pos="39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means calendar year.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20"/>
          <w:szCs w:val="20"/>
          <w:color w:val="auto"/>
        </w:rPr>
        <w:t>Any reference to issued shares of any class (whether of the Company or of any other company) shall not include any shares of that class held as treasury shares except where the contrary is expressly provided.</w:t>
      </w:r>
    </w:p>
    <w:p>
      <w:pPr>
        <w:spacing w:after="0" w:line="146" w:lineRule="exact"/>
        <w:rPr>
          <w:sz w:val="20"/>
          <w:szCs w:val="20"/>
          <w:color w:val="auto"/>
        </w:rPr>
      </w:pPr>
    </w:p>
    <w:p>
      <w:pPr>
        <w:ind w:left="640" w:right="2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20"/>
          <w:szCs w:val="20"/>
          <w:color w:val="auto"/>
        </w:rPr>
        <w:t>Words denoting the singular shall include the plural and vice versa. Words denoting the masculine shall include the feminine. Words denoting persons shall include bodies corporate and unincorporated associations.</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color w:val="auto"/>
        </w:rPr>
        <w:t>References to an Article are to a numbered paragraph of these Articles.</w:t>
      </w:r>
    </w:p>
    <w:p>
      <w:pPr>
        <w:spacing w:after="0" w:line="229" w:lineRule="exact"/>
        <w:rPr>
          <w:sz w:val="20"/>
          <w:szCs w:val="20"/>
          <w:color w:val="auto"/>
        </w:rPr>
      </w:pPr>
    </w:p>
    <w:p>
      <w:pPr>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20"/>
          <w:szCs w:val="20"/>
          <w:color w:val="auto"/>
        </w:rPr>
        <w:t>The words “including” and “include” and words of similar effect shall not be deemed to limit the general effect of the words which precede them.</w:t>
      </w:r>
    </w:p>
    <w:p>
      <w:pPr>
        <w:spacing w:after="0" w:line="146" w:lineRule="exact"/>
        <w:rPr>
          <w:sz w:val="20"/>
          <w:szCs w:val="20"/>
          <w:color w:val="auto"/>
        </w:rPr>
      </w:pPr>
    </w:p>
    <w:p>
      <w:pPr>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20"/>
          <w:szCs w:val="20"/>
          <w:color w:val="auto"/>
        </w:rPr>
        <w:t>References to any statute or statutory provision shall be construed as relating to any statutory modification or re-enactment thereof for the time being in force (whether coming into force before or after the adoption of these Articles).</w:t>
      </w:r>
    </w:p>
    <w:p>
      <w:pPr>
        <w:spacing w:after="0" w:line="146" w:lineRule="exact"/>
        <w:rPr>
          <w:sz w:val="20"/>
          <w:szCs w:val="20"/>
          <w:color w:val="auto"/>
        </w:rPr>
      </w:pPr>
    </w:p>
    <w:p>
      <w:pPr>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20"/>
          <w:szCs w:val="20"/>
          <w:color w:val="auto"/>
        </w:rPr>
        <w:t>References to a share (or to a holding of shares) being in certificated or uncertificated form are references, respectively, to that share being a certificated or an uncertificated unit of a security for the purposes of the Uncertificated Securities Rules.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type w:val="continuous"/>
        </w:sectPr>
      </w:pPr>
    </w:p>
    <w:bookmarkStart w:id="208" w:name="page209"/>
    <w:bookmarkEnd w:id="208"/>
    <w:p>
      <w:pPr>
        <w:ind w:left="640" w:right="2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20"/>
          <w:szCs w:val="20"/>
          <w:color w:val="auto"/>
        </w:rPr>
        <w:t>Subject to Article 29.2, the provisions of these Articles relating to General Meetings and to the proceedings at such meetings shall apply to separate meetings of a class of shareholders.</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color w:val="auto"/>
        </w:rPr>
        <w:t>References to a person being present at a General Meeting include a person present by corporate representative.</w:t>
      </w:r>
    </w:p>
    <w:p>
      <w:pPr>
        <w:spacing w:after="0" w:line="229" w:lineRule="exact"/>
        <w:rPr>
          <w:sz w:val="20"/>
          <w:szCs w:val="20"/>
          <w:color w:val="auto"/>
        </w:rPr>
      </w:pPr>
    </w:p>
    <w:p>
      <w:pPr>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2.9</w:t>
      </w:r>
      <w:r>
        <w:rPr>
          <w:sz w:val="20"/>
          <w:szCs w:val="20"/>
          <w:color w:val="auto"/>
        </w:rPr>
        <w:tab/>
      </w:r>
      <w:r>
        <w:rPr>
          <w:rFonts w:ascii="Times New Roman" w:cs="Times New Roman" w:eastAsia="Times New Roman" w:hAnsi="Times New Roman"/>
          <w:sz w:val="20"/>
          <w:szCs w:val="20"/>
          <w:color w:val="auto"/>
        </w:rPr>
        <w:t>Except as provided above, any words or expressions defined in the Companies Acts or the Uncertificated Securities Rules shall (if not inconsistent with the subject or context) bear the same meanings in these Articles.</w:t>
      </w:r>
    </w:p>
    <w:p>
      <w:pPr>
        <w:spacing w:after="0" w:line="389" w:lineRule="exact"/>
        <w:rPr>
          <w:sz w:val="20"/>
          <w:szCs w:val="20"/>
          <w:color w:val="auto"/>
        </w:rPr>
      </w:pPr>
    </w:p>
    <w:p>
      <w:pPr>
        <w:ind w:left="640" w:hanging="632"/>
        <w:spacing w:after="0"/>
        <w:tabs>
          <w:tab w:leader="none" w:pos="64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of members</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liability of each member is limited to the amount (if any) for the time being unpaid on the shares held by that member.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p>
      <w:pPr>
        <w:spacing w:after="0" w:line="200" w:lineRule="exact"/>
        <w:rPr>
          <w:sz w:val="20"/>
          <w:szCs w:val="20"/>
          <w:color w:val="auto"/>
        </w:rPr>
      </w:pPr>
    </w:p>
    <w:p>
      <w:pPr>
        <w:spacing w:after="0" w:line="245" w:lineRule="exact"/>
        <w:rPr>
          <w:sz w:val="20"/>
          <w:szCs w:val="20"/>
          <w:color w:val="auto"/>
        </w:rPr>
      </w:pPr>
    </w:p>
    <w:p>
      <w:pPr>
        <w:ind w:left="640" w:hanging="632"/>
        <w:spacing w:after="0"/>
        <w:tabs>
          <w:tab w:leader="none" w:pos="64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Shares and special rights</w:t>
      </w:r>
    </w:p>
    <w:p>
      <w:pPr>
        <w:spacing w:after="0" w:line="216"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20"/>
          <w:szCs w:val="20"/>
          <w:color w:val="auto"/>
        </w:rPr>
        <w:t>Subject to the provisions of the Legislation and to any rights attached to any existing shares, any share may be issued with or have attached to it such rights and restrictions as the Company may by ordinary resolution determine, or if no ordinary resolution has been passed or so far as the resolution does not make specific provision, as the Directors may determine.</w:t>
      </w:r>
    </w:p>
    <w:p>
      <w:pPr>
        <w:spacing w:after="0" w:line="161"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20"/>
          <w:szCs w:val="20"/>
          <w:color w:val="auto"/>
        </w:rPr>
        <w:t>The Company may issue any shares which are to be redeemed, or are liable to be redeemed at the option of the Company or the holder and the Directors may determine the terms, conditions and manner of redemption of any such shares.</w:t>
      </w:r>
    </w:p>
    <w:p>
      <w:pPr>
        <w:spacing w:after="0" w:line="362" w:lineRule="exact"/>
        <w:rPr>
          <w:sz w:val="20"/>
          <w:szCs w:val="20"/>
          <w:color w:val="auto"/>
        </w:rPr>
      </w:pPr>
    </w:p>
    <w:p>
      <w:pPr>
        <w:ind w:left="640" w:hanging="632"/>
        <w:spacing w:after="0"/>
        <w:tabs>
          <w:tab w:leader="none" w:pos="64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powers to allot securities and to sell treasury shares</w:t>
      </w:r>
    </w:p>
    <w:p>
      <w:pPr>
        <w:spacing w:after="0" w:line="229"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color w:val="auto"/>
        </w:rPr>
        <w:t>Subject to the provisions of the Legislation, these Articles and any resolution of the Company, the Directors may allot shares in the Company and grant rights to subscribe for, or to convert any security into, shares to such persons, at such times and on such terms, including as to the ability of such persons to assign their rights to be issued such shares, as they think proper.</w:t>
      </w:r>
    </w:p>
    <w:p>
      <w:pPr>
        <w:spacing w:after="0" w:line="18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20"/>
          <w:szCs w:val="20"/>
          <w:color w:val="auto"/>
        </w:rPr>
        <w:t>The Directors shall be generally and unconditionally authorised pursuant to and in accordance with Section 551 of the Companies Act 2006 to exercise for each Allotment Period all the powers of the Company to allot shares, and to grant rights to subscribe for, or to convert any security into, shares, of an aggregate nominal amount up to the Section 551 Amount. By such authority the Directors may, during the Allotment Period, make offers or agreements which would or might require shares to be allotted, or rights to be granted, after the expiry of such period.</w:t>
      </w:r>
    </w:p>
    <w:p>
      <w:pPr>
        <w:spacing w:after="0" w:line="192"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20"/>
          <w:szCs w:val="20"/>
          <w:color w:val="auto"/>
        </w:rPr>
        <w:t>During each Allotment Period the Directors shall be empowered to allot equity securities wholly for cash pursuant to and within the terms of the authority in Article 5.2 and to sell treasury shares wholly for cash:</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5.3.1</w:t>
      </w:r>
      <w:r>
        <w:rPr>
          <w:sz w:val="20"/>
          <w:szCs w:val="20"/>
          <w:color w:val="auto"/>
        </w:rPr>
        <w:tab/>
      </w:r>
      <w:r>
        <w:rPr>
          <w:rFonts w:ascii="Times New Roman" w:cs="Times New Roman" w:eastAsia="Times New Roman" w:hAnsi="Times New Roman"/>
          <w:sz w:val="19"/>
          <w:szCs w:val="19"/>
          <w:color w:val="auto"/>
        </w:rPr>
        <w:t>in connection with a pre-emptive offer;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209" w:name="page210"/>
    <w:bookmarkEnd w:id="209"/>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5.3.2</w:t>
      </w:r>
      <w:r>
        <w:rPr>
          <w:sz w:val="20"/>
          <w:szCs w:val="20"/>
          <w:color w:val="auto"/>
        </w:rPr>
        <w:tab/>
      </w:r>
      <w:r>
        <w:rPr>
          <w:rFonts w:ascii="Times New Roman" w:cs="Times New Roman" w:eastAsia="Times New Roman" w:hAnsi="Times New Roman"/>
          <w:sz w:val="19"/>
          <w:szCs w:val="19"/>
          <w:color w:val="auto"/>
        </w:rPr>
        <w:t>otherwise than in connection with a pre-emptive offer, up to an aggregate nominal amount equal to the Section 561 Amount,</w:t>
      </w:r>
    </w:p>
    <w:p>
      <w:pPr>
        <w:spacing w:after="0" w:line="24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as if Section 561(1) of the Companies Act 2006 did not apply to any such allotment or sale. Under such power the Directors may, during the Allotment Period, make offers or agreements which would or might require equity securities to be allotted after the expiry of such period.</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19"/>
          <w:szCs w:val="19"/>
          <w:color w:val="auto"/>
        </w:rPr>
        <w:t>For the purposes of this Article:</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Allotment Period</w:t>
      </w:r>
      <w:r>
        <w:rPr>
          <w:rFonts w:ascii="Times New Roman" w:cs="Times New Roman" w:eastAsia="Times New Roman" w:hAnsi="Times New Roman"/>
          <w:sz w:val="19"/>
          <w:szCs w:val="19"/>
          <w:color w:val="auto"/>
        </w:rPr>
        <w:t>” means any period specified as such by the Relevant Ordinary Resolution;</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 551 Amount</w:t>
      </w:r>
      <w:r>
        <w:rPr>
          <w:rFonts w:ascii="Times New Roman" w:cs="Times New Roman" w:eastAsia="Times New Roman" w:hAnsi="Times New Roman"/>
          <w:sz w:val="19"/>
          <w:szCs w:val="19"/>
          <w:color w:val="auto"/>
        </w:rPr>
        <w:t>” means the amount specified as such by the Relevant Ordinary Resolution;</w:t>
      </w:r>
    </w:p>
    <w:p>
      <w:pPr>
        <w:spacing w:after="0" w:line="227" w:lineRule="exact"/>
        <w:rPr>
          <w:sz w:val="20"/>
          <w:szCs w:val="20"/>
          <w:color w:val="auto"/>
        </w:rPr>
      </w:pPr>
    </w:p>
    <w:p>
      <w:pPr>
        <w:jc w:val="both"/>
        <w:ind w:left="1300" w:right="20" w:hanging="647"/>
        <w:spacing w:after="0" w:line="28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securities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and references to the allotment of equity securities shall have the same meanings as in Section 560 of the Companies Act 2006;</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Section 561 Amount</w:t>
      </w:r>
      <w:r>
        <w:rPr>
          <w:rFonts w:ascii="Times New Roman" w:cs="Times New Roman" w:eastAsia="Times New Roman" w:hAnsi="Times New Roman"/>
          <w:sz w:val="19"/>
          <w:szCs w:val="19"/>
          <w:color w:val="auto"/>
        </w:rPr>
        <w:t>” means the amount specified as such in the Relevant Special Resolution;</w:t>
      </w:r>
    </w:p>
    <w:p>
      <w:pPr>
        <w:spacing w:after="0" w:line="241"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pre-emptive offer</w:t>
      </w:r>
      <w:r>
        <w:rPr>
          <w:rFonts w:ascii="Times New Roman" w:cs="Times New Roman" w:eastAsia="Times New Roman" w:hAnsi="Times New Roman"/>
          <w:sz w:val="20"/>
          <w:szCs w:val="20"/>
          <w:color w:val="auto"/>
        </w:rPr>
        <w:t>” means an offer of equity securities open for acceptance for a period fixed by the Directors to (a) holders (other than the Company) on the Register on a record date fixed by the Directors of ordinary shares in proportion to their respective holdings and (b) other persons so entitled by virtue of the rights attaching to any other securities held by them, but subject in both cases to such exclusions or other arrangements as the Directors may deem necessary or expedient in relation to treasury shares, fractional entitlements, record dates or legal, regulatory or practical problems in, or under the laws of, any territory;</w:t>
      </w:r>
    </w:p>
    <w:p>
      <w:pPr>
        <w:spacing w:after="0" w:line="187" w:lineRule="exact"/>
        <w:rPr>
          <w:sz w:val="20"/>
          <w:szCs w:val="20"/>
          <w:color w:val="auto"/>
        </w:rPr>
      </w:pPr>
    </w:p>
    <w:p>
      <w:pPr>
        <w:jc w:val="both"/>
        <w:ind w:left="1300" w:right="20" w:hanging="647"/>
        <w:spacing w:after="0" w:line="27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Ordinary Resolution</w:t>
      </w:r>
      <w:r>
        <w:rPr>
          <w:rFonts w:ascii="Times New Roman" w:cs="Times New Roman" w:eastAsia="Times New Roman" w:hAnsi="Times New Roman"/>
          <w:sz w:val="20"/>
          <w:szCs w:val="20"/>
          <w:color w:val="auto"/>
        </w:rPr>
        <w:t>” means, at any time, the most recently passed resolution varying, renewing or further renewing the authority conferred by Article 5.2;</w:t>
      </w:r>
    </w:p>
    <w:p>
      <w:pPr>
        <w:spacing w:after="0" w:line="165"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Special Resolution</w:t>
      </w:r>
      <w:r>
        <w:rPr>
          <w:rFonts w:ascii="Times New Roman" w:cs="Times New Roman" w:eastAsia="Times New Roman" w:hAnsi="Times New Roman"/>
          <w:sz w:val="20"/>
          <w:szCs w:val="20"/>
          <w:color w:val="auto"/>
        </w:rPr>
        <w:t>” means, at any time, the most recently passed special resolution renewing or further renewing the power conferred by Article 5.3; and</w:t>
      </w:r>
    </w:p>
    <w:p>
      <w:pPr>
        <w:spacing w:after="0" w:line="169"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5.4.8</w:t>
      </w:r>
      <w:r>
        <w:rPr>
          <w:sz w:val="20"/>
          <w:szCs w:val="20"/>
          <w:color w:val="auto"/>
        </w:rPr>
        <w:tab/>
      </w:r>
      <w:r>
        <w:rPr>
          <w:rFonts w:ascii="Times New Roman" w:cs="Times New Roman" w:eastAsia="Times New Roman" w:hAnsi="Times New Roman"/>
          <w:sz w:val="20"/>
          <w:szCs w:val="20"/>
          <w:color w:val="auto"/>
        </w:rPr>
        <w:t>in the case of rights to subscribe for, or to convert any securities into, shares of the Company, the nominal amount of such securities shall be taken to be the nominal amount of the shares which may be allotted pursuant to such rights.</w:t>
      </w:r>
    </w:p>
    <w:p>
      <w:pPr>
        <w:spacing w:after="0" w:line="385" w:lineRule="exact"/>
        <w:rPr>
          <w:sz w:val="20"/>
          <w:szCs w:val="20"/>
          <w:color w:val="auto"/>
        </w:rPr>
      </w:pPr>
    </w:p>
    <w:p>
      <w:pPr>
        <w:ind w:left="640" w:hanging="632"/>
        <w:spacing w:after="0"/>
        <w:tabs>
          <w:tab w:leader="none" w:pos="64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Commissions on issue of shares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Legislation, the Company may pay a commission to any person who: (i) subscribes or agrees to subscribe for shares; or (ii) procures or agrees to procure subscriptions for shares, in each case either conditionally or unconditionally. Such payment may be in cash, by allotting fully or partly paid shares or other securities, or partly in one way and partly in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210" w:name="page211"/>
    <w:bookmarkEnd w:id="210"/>
    <w:p>
      <w:pPr>
        <w:spacing w:after="0" w:line="200" w:lineRule="exact"/>
        <w:rPr>
          <w:sz w:val="20"/>
          <w:szCs w:val="20"/>
          <w:color w:val="auto"/>
        </w:rPr>
      </w:pPr>
    </w:p>
    <w:p>
      <w:pPr>
        <w:spacing w:after="0" w:line="201" w:lineRule="exact"/>
        <w:rPr>
          <w:sz w:val="20"/>
          <w:szCs w:val="20"/>
          <w:color w:val="auto"/>
        </w:rPr>
      </w:pPr>
    </w:p>
    <w:p>
      <w:pPr>
        <w:ind w:left="640" w:hanging="632"/>
        <w:spacing w:after="0"/>
        <w:tabs>
          <w:tab w:leader="none" w:pos="64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Reduction of capital</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by special resolution reduce its share capital, share premium account, capital redemption reserve or redenomination reserve in any way permitted by the Legislation.</w:t>
      </w:r>
    </w:p>
    <w:p>
      <w:pPr>
        <w:spacing w:after="0" w:line="385" w:lineRule="exact"/>
        <w:rPr>
          <w:sz w:val="20"/>
          <w:szCs w:val="20"/>
          <w:color w:val="auto"/>
        </w:rPr>
      </w:pPr>
    </w:p>
    <w:p>
      <w:pPr>
        <w:ind w:left="640" w:hanging="632"/>
        <w:spacing w:after="0"/>
        <w:tabs>
          <w:tab w:leader="none" w:pos="64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Fractions arising on consolidation or subdivision</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20"/>
          <w:szCs w:val="20"/>
          <w:color w:val="auto"/>
        </w:rPr>
        <w:t>Whenever as a result of a subdivision or consolidation of shares any members would become entitled to fractions of a share, the</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Directors shall have power to deal with any such fractions as they see fit. In particular, without limitation, the Directors may:</w:t>
      </w:r>
    </w:p>
    <w:p>
      <w:pPr>
        <w:spacing w:after="0" w:line="214"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8.1.1</w:t>
      </w:r>
      <w:r>
        <w:rPr>
          <w:sz w:val="20"/>
          <w:szCs w:val="20"/>
          <w:color w:val="auto"/>
        </w:rPr>
        <w:tab/>
      </w:r>
      <w:r>
        <w:rPr>
          <w:rFonts w:ascii="Times New Roman" w:cs="Times New Roman" w:eastAsia="Times New Roman" w:hAnsi="Times New Roman"/>
          <w:sz w:val="20"/>
          <w:szCs w:val="20"/>
          <w:color w:val="auto"/>
        </w:rPr>
        <w:t>sell the shares representing the fractions for the best price reasonably obtainable to any person (including, subject to the provisions of the Legislation, the Company);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8.1.2</w:t>
      </w:r>
      <w:r>
        <w:rPr>
          <w:sz w:val="20"/>
          <w:szCs w:val="20"/>
          <w:color w:val="auto"/>
        </w:rPr>
        <w:tab/>
      </w:r>
      <w:r>
        <w:rPr>
          <w:rFonts w:ascii="Times New Roman" w:cs="Times New Roman" w:eastAsia="Times New Roman" w:hAnsi="Times New Roman"/>
          <w:sz w:val="19"/>
          <w:szCs w:val="19"/>
          <w:color w:val="auto"/>
        </w:rPr>
        <w:t>distribute the net proceeds of sale in due proportion among those members; and</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9"/>
          <w:szCs w:val="19"/>
          <w:color w:val="auto"/>
        </w:rPr>
        <w:t>authorise any person to execute an instrument to transfer the shares to the purchaser or its nominee.</w:t>
      </w:r>
    </w:p>
    <w:p>
      <w:pPr>
        <w:spacing w:after="0" w:line="2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color w:val="auto"/>
        </w:rPr>
        <w:t>The transferee of the shares has no obligation to ensure that the purchase money is distributed in accordance with this Article 8.</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19"/>
          <w:szCs w:val="19"/>
          <w:color w:val="auto"/>
        </w:rPr>
        <w:t>The transferee’s title to the shares shall not be affected by any irregularity in or invalidity of the sale proceedings.</w:t>
      </w:r>
    </w:p>
    <w:p>
      <w:pPr>
        <w:spacing w:after="0" w:line="21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8.4</w:t>
      </w:r>
      <w:r>
        <w:rPr>
          <w:sz w:val="20"/>
          <w:szCs w:val="20"/>
          <w:color w:val="auto"/>
        </w:rPr>
        <w:tab/>
      </w:r>
      <w:r>
        <w:rPr>
          <w:rFonts w:ascii="Times New Roman" w:cs="Times New Roman" w:eastAsia="Times New Roman" w:hAnsi="Times New Roman"/>
          <w:sz w:val="20"/>
          <w:szCs w:val="20"/>
          <w:color w:val="auto"/>
        </w:rPr>
        <w:t>Where any member’s entitlement to a portion of the proceeds of sale amounts to less than a minimum figure determined by the Directors, that member’s portion may at the Directors’ discretion be distributed to an organisation which is a charity for the purposes of the laws of England and Wales.</w:t>
      </w:r>
    </w:p>
    <w:p>
      <w:pPr>
        <w:spacing w:after="0" w:line="397" w:lineRule="exact"/>
        <w:rPr>
          <w:sz w:val="20"/>
          <w:szCs w:val="20"/>
          <w:color w:val="auto"/>
        </w:rPr>
      </w:pPr>
    </w:p>
    <w:p>
      <w:pPr>
        <w:ind w:left="640" w:hanging="632"/>
        <w:spacing w:after="0"/>
        <w:tabs>
          <w:tab w:leader="none" w:pos="64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Capitalisation of profits and reserves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color w:val="auto"/>
        </w:rPr>
        <w:t>If so authorised by an ordinary resolution, the Directors may:</w:t>
      </w:r>
    </w:p>
    <w:p>
      <w:pPr>
        <w:spacing w:after="0" w:line="220"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20"/>
          <w:szCs w:val="20"/>
          <w:color w:val="auto"/>
        </w:rPr>
        <w:t>capitalise any sum standing to the credit of any of the Company’s reserve accounts (including any share premium account, capital redemption reserve or other undistributable reserve); and</w:t>
      </w:r>
    </w:p>
    <w:p>
      <w:pPr>
        <w:spacing w:after="0" w:line="146"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20"/>
          <w:szCs w:val="20"/>
          <w:color w:val="auto"/>
        </w:rPr>
        <w:t>capitalise any sum standing to the credit of the profit and loss account that is not required for payment of any preferential dividend.</w:t>
      </w:r>
    </w:p>
    <w:p>
      <w:pPr>
        <w:spacing w:after="0" w:line="142" w:lineRule="exact"/>
        <w:rPr>
          <w:sz w:val="20"/>
          <w:szCs w:val="20"/>
          <w:color w:val="auto"/>
        </w:rPr>
      </w:pPr>
    </w:p>
    <w:p>
      <w:pPr>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20"/>
          <w:szCs w:val="20"/>
          <w:color w:val="auto"/>
        </w:rPr>
        <w:t>Unless the ordinary resolution passed in accordance with Article 9.1 states otherwise the Directors shall set aside such capitalised sum:</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9"/>
          <w:szCs w:val="19"/>
          <w:color w:val="auto"/>
        </w:rPr>
        <w:t>for the holders of shares (“</w:t>
      </w:r>
      <w:r>
        <w:rPr>
          <w:rFonts w:ascii="Times New Roman" w:cs="Times New Roman" w:eastAsia="Times New Roman" w:hAnsi="Times New Roman"/>
          <w:sz w:val="19"/>
          <w:szCs w:val="19"/>
          <w:b w:val="1"/>
          <w:bCs w:val="1"/>
          <w:color w:val="auto"/>
        </w:rPr>
        <w:t>entitled members</w:t>
      </w:r>
      <w:r>
        <w:rPr>
          <w:rFonts w:ascii="Times New Roman" w:cs="Times New Roman" w:eastAsia="Times New Roman" w:hAnsi="Times New Roman"/>
          <w:sz w:val="19"/>
          <w:szCs w:val="19"/>
          <w:color w:val="auto"/>
        </w:rPr>
        <w:t>”); and</w:t>
      </w:r>
    </w:p>
    <w:p>
      <w:pPr>
        <w:spacing w:after="0" w:line="23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9.2.2</w:t>
      </w:r>
      <w:r>
        <w:rPr>
          <w:sz w:val="20"/>
          <w:szCs w:val="20"/>
          <w:color w:val="auto"/>
        </w:rPr>
        <w:tab/>
      </w:r>
      <w:r>
        <w:rPr>
          <w:rFonts w:ascii="Times New Roman" w:cs="Times New Roman" w:eastAsia="Times New Roman" w:hAnsi="Times New Roman"/>
          <w:sz w:val="20"/>
          <w:szCs w:val="20"/>
          <w:color w:val="auto"/>
        </w:rPr>
        <w:t>in proportion to the number of shares held by them on the date that the resolution is passed in accordance with Article 9.1 or such other date as set out in or calculated in accordance with such resolution, or in such other proportions as stated, or fixed as stated, in the resolution.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type w:val="continuous"/>
        </w:sectPr>
      </w:pPr>
    </w:p>
    <w:bookmarkStart w:id="211" w:name="page212"/>
    <w:bookmarkEnd w:id="211"/>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20"/>
          <w:szCs w:val="20"/>
          <w:color w:val="auto"/>
        </w:rPr>
        <w:t>The Directors may apply such capitalised sum in paying up new shares (or, subject to any special rights previously conferred on any shares or class of shares, new shares of any other class). The Company shall then allot such shares credited as fully paid to the entitled members or as they may direct. For the purposes of this Article 9.3, unless the ordinary resolution passed in accordance with Article 9.1 provides otherwise, if the Company holds treasury shares on the date determined in accordance with Article 9.2.2:</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9.3.1</w:t>
      </w:r>
      <w:r>
        <w:rPr>
          <w:sz w:val="20"/>
          <w:szCs w:val="20"/>
          <w:color w:val="auto"/>
        </w:rPr>
        <w:tab/>
      </w:r>
      <w:r>
        <w:rPr>
          <w:rFonts w:ascii="Times New Roman" w:cs="Times New Roman" w:eastAsia="Times New Roman" w:hAnsi="Times New Roman"/>
          <w:sz w:val="19"/>
          <w:szCs w:val="19"/>
          <w:color w:val="auto"/>
        </w:rPr>
        <w:t>it shall be treated as an entitled member; and</w:t>
      </w:r>
    </w:p>
    <w:p>
      <w:pPr>
        <w:spacing w:after="0" w:line="241"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9.3.2</w:t>
      </w:r>
      <w:r>
        <w:rPr>
          <w:sz w:val="20"/>
          <w:szCs w:val="20"/>
          <w:color w:val="auto"/>
        </w:rPr>
        <w:tab/>
      </w:r>
      <w:r>
        <w:rPr>
          <w:rFonts w:ascii="Times New Roman" w:cs="Times New Roman" w:eastAsia="Times New Roman" w:hAnsi="Times New Roman"/>
          <w:sz w:val="20"/>
          <w:szCs w:val="20"/>
          <w:color w:val="auto"/>
        </w:rPr>
        <w:t>all shares held by it as treasury shares shall be included in determining the proportions in which the capitalised sum is set aside.</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19"/>
          <w:szCs w:val="19"/>
          <w:color w:val="auto"/>
        </w:rPr>
        <w:t>To the extent a capitalised sum is appropriated from profits available for distribution it may also be applied:</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9.4.1</w:t>
      </w:r>
      <w:r>
        <w:rPr>
          <w:sz w:val="20"/>
          <w:szCs w:val="20"/>
          <w:color w:val="auto"/>
        </w:rPr>
        <w:tab/>
      </w:r>
      <w:r>
        <w:rPr>
          <w:rFonts w:ascii="Times New Roman" w:cs="Times New Roman" w:eastAsia="Times New Roman" w:hAnsi="Times New Roman"/>
          <w:sz w:val="19"/>
          <w:szCs w:val="19"/>
          <w:color w:val="auto"/>
        </w:rPr>
        <w:t>in or towards paying up any amounts unpaid on existing shares held by the entitled members; or</w:t>
      </w:r>
    </w:p>
    <w:p>
      <w:pPr>
        <w:spacing w:after="0" w:line="227"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9.4.2</w:t>
      </w:r>
      <w:r>
        <w:rPr>
          <w:sz w:val="20"/>
          <w:szCs w:val="20"/>
          <w:color w:val="auto"/>
        </w:rPr>
        <w:tab/>
      </w:r>
      <w:r>
        <w:rPr>
          <w:rFonts w:ascii="Times New Roman" w:cs="Times New Roman" w:eastAsia="Times New Roman" w:hAnsi="Times New Roman"/>
          <w:sz w:val="20"/>
          <w:szCs w:val="20"/>
          <w:color w:val="auto"/>
        </w:rPr>
        <w:t>in paying up new debentures of the Company which are then allotted credited as fully paid to the entitled members or as they may direct; or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9.4.3</w:t>
      </w:r>
      <w:r>
        <w:rPr>
          <w:sz w:val="20"/>
          <w:szCs w:val="20"/>
          <w:color w:val="auto"/>
        </w:rPr>
        <w:tab/>
      </w:r>
      <w:r>
        <w:rPr>
          <w:rFonts w:ascii="Times New Roman" w:cs="Times New Roman" w:eastAsia="Times New Roman" w:hAnsi="Times New Roman"/>
          <w:sz w:val="19"/>
          <w:szCs w:val="19"/>
          <w:color w:val="auto"/>
        </w:rPr>
        <w:t>a combination of the two.</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19"/>
          <w:szCs w:val="19"/>
          <w:color w:val="auto"/>
        </w:rPr>
        <w:t>The Directors may:</w:t>
      </w:r>
    </w:p>
    <w:p>
      <w:pPr>
        <w:spacing w:after="0" w:line="233"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9.5.1</w:t>
      </w:r>
      <w:r>
        <w:rPr>
          <w:sz w:val="20"/>
          <w:szCs w:val="20"/>
          <w:color w:val="auto"/>
        </w:rPr>
        <w:tab/>
      </w:r>
      <w:r>
        <w:rPr>
          <w:rFonts w:ascii="Times New Roman" w:cs="Times New Roman" w:eastAsia="Times New Roman" w:hAnsi="Times New Roman"/>
          <w:sz w:val="20"/>
          <w:szCs w:val="20"/>
          <w:color w:val="auto"/>
        </w:rPr>
        <w:t>make such provisions as they think fit for any fractional entitlements which might arise on a capitalisation (including to disregard such fractional entitlements or for the benefit of them to accrue to the Company); and</w:t>
      </w:r>
    </w:p>
    <w:p>
      <w:pPr>
        <w:spacing w:after="0" w:line="17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9.5.2</w:t>
      </w:r>
      <w:r>
        <w:rPr>
          <w:sz w:val="20"/>
          <w:szCs w:val="20"/>
          <w:color w:val="auto"/>
        </w:rPr>
        <w:tab/>
      </w:r>
      <w:r>
        <w:rPr>
          <w:rFonts w:ascii="Times New Roman" w:cs="Times New Roman" w:eastAsia="Times New Roman" w:hAnsi="Times New Roman"/>
          <w:sz w:val="20"/>
          <w:szCs w:val="20"/>
          <w:color w:val="auto"/>
        </w:rPr>
        <w:t>authorise any person to enter into an agreement with the Company on behalf of all of the entitled members in relation to the issue of shares or debentures pursuant to this Article 9. Any agreement made under such authority shall be binding on the entitled members.</w:t>
      </w:r>
    </w:p>
    <w:p>
      <w:pPr>
        <w:spacing w:after="0" w:line="393"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Only absolute interests recognised</w:t>
      </w:r>
    </w:p>
    <w:p>
      <w:pPr>
        <w:spacing w:after="0" w:line="219" w:lineRule="exact"/>
        <w:rPr>
          <w:rFonts w:ascii="Times New Roman" w:cs="Times New Roman" w:eastAsia="Times New Roman" w:hAnsi="Times New Roman"/>
          <w:sz w:val="20"/>
          <w:szCs w:val="20"/>
          <w:b w:val="1"/>
          <w:bCs w:val="1"/>
          <w:color w:val="auto"/>
        </w:rPr>
      </w:pPr>
    </w:p>
    <w:p>
      <w:pPr>
        <w:ind w:left="6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required by law and these Articles, the Company is not obliged to recognise any person as holding any share upon any trust nor any other right in respect of any share, except the holder’s absolute right to the share and the rights attaching to it.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 Certificates</w:t>
      </w:r>
    </w:p>
    <w:p>
      <w:pPr>
        <w:spacing w:after="0" w:line="200" w:lineRule="exact"/>
        <w:rPr>
          <w:sz w:val="20"/>
          <w:szCs w:val="20"/>
          <w:color w:val="auto"/>
        </w:rPr>
      </w:pPr>
    </w:p>
    <w:p>
      <w:pPr>
        <w:spacing w:after="0" w:line="2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Issue of share certificates</w:t>
      </w:r>
    </w:p>
    <w:p>
      <w:pPr>
        <w:spacing w:after="0" w:line="229" w:lineRule="exact"/>
        <w:rPr>
          <w:sz w:val="20"/>
          <w:szCs w:val="20"/>
          <w:color w:val="auto"/>
        </w:rPr>
      </w:pPr>
    </w:p>
    <w:p>
      <w:pPr>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20"/>
          <w:szCs w:val="20"/>
          <w:color w:val="auto"/>
        </w:rPr>
        <w:t>The Company shall issue a share certificate to every person whose name is entered in the Register in respect of shares in certificated form, except where the Legislation allows the Company not to issue a certificate.</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9"/>
          <w:szCs w:val="19"/>
          <w:color w:val="auto"/>
        </w:rPr>
        <w:t>Subject to Article 13, the Company shall issue share certificates without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212" w:name="page213"/>
    <w:bookmarkEnd w:id="212"/>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20"/>
          <w:szCs w:val="20"/>
          <w:color w:val="auto"/>
        </w:rPr>
        <w:t>The Company shall issue certificates within the time limit prescribed by the Legislation or, if earlier, within any time limit specified in the terms of the shares or under which they were issued.</w:t>
      </w:r>
    </w:p>
    <w:p>
      <w:pPr>
        <w:spacing w:after="0" w:line="146" w:lineRule="exact"/>
        <w:rPr>
          <w:sz w:val="20"/>
          <w:szCs w:val="20"/>
          <w:color w:val="auto"/>
        </w:rPr>
      </w:pPr>
    </w:p>
    <w:p>
      <w:pPr>
        <w:jc w:val="both"/>
        <w:ind w:left="640" w:right="2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20"/>
          <w:szCs w:val="20"/>
          <w:color w:val="auto"/>
        </w:rPr>
        <w:t>Where shares are held jointly by several persons, the Company is not required to issue more than one certificate in respect of those shares, and delivery of a certificate to one joint holder shall be sufficient delivery to them all.</w:t>
      </w:r>
    </w:p>
    <w:p>
      <w:pPr>
        <w:spacing w:after="0" w:line="146"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20"/>
          <w:szCs w:val="20"/>
          <w:color w:val="auto"/>
        </w:rPr>
        <w:t>Each certificate must be in respect of one class of shares only. If a member holds more than one class of shares, separate certificates must be issued to that member in respect of each class.</w:t>
      </w:r>
    </w:p>
    <w:p>
      <w:pPr>
        <w:spacing w:after="0" w:line="3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Form of share certificate</w:t>
      </w:r>
    </w:p>
    <w:p>
      <w:pPr>
        <w:spacing w:after="0" w:line="21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20"/>
          <w:szCs w:val="20"/>
          <w:color w:val="auto"/>
        </w:rPr>
        <w:t>Every share certificate may be executed by the Company by affixing the Seal or the Securities Seal (or, in the case of shares on a branch register, an official seal for use in the relevant territory) or otherwise in any manner permitted by the Legislation. The Directors may by resolution decide, either generally or in any particular case or cases, that any signatures on any share certificates need not be autographic but may be applied to the certificates by some mechanical or other means, or may be printed on them.</w:t>
      </w:r>
    </w:p>
    <w:p>
      <w:pPr>
        <w:spacing w:after="0" w:line="186"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20"/>
          <w:szCs w:val="20"/>
          <w:color w:val="auto"/>
        </w:rPr>
        <w:t>Every share certificate shall specify the number and class of shares to which it relates, the nominal value of those shares, the amount paid up on them and any distinguishing numbers assigned to them.</w:t>
      </w:r>
    </w:p>
    <w:p>
      <w:pPr>
        <w:spacing w:after="0" w:line="3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20"/>
          <w:szCs w:val="20"/>
          <w:b w:val="1"/>
          <w:bCs w:val="1"/>
          <w:color w:val="auto"/>
        </w:rPr>
        <w:t>Replacement of share certificates</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20"/>
          <w:szCs w:val="20"/>
          <w:color w:val="auto"/>
        </w:rPr>
        <w:t>A member who has separate certificates in respect of shares of one class may request in writing that it be replaced with a consolidated certificate. The Company may comply with such request at its discretion.</w:t>
      </w:r>
    </w:p>
    <w:p>
      <w:pPr>
        <w:spacing w:after="0" w:line="1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20"/>
          <w:szCs w:val="20"/>
          <w:color w:val="auto"/>
        </w:rPr>
        <w:t>A member who has a consolidated share certificate may request in writing that it be replaced with two or more separate certificates representing the shares in such proportions as he may specify. The Company may comply with such request at its discretion.</w:t>
      </w:r>
    </w:p>
    <w:p>
      <w:pPr>
        <w:spacing w:after="0" w:line="17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13.3</w:t>
      </w:r>
      <w:r>
        <w:rPr>
          <w:sz w:val="20"/>
          <w:szCs w:val="20"/>
          <w:color w:val="auto"/>
        </w:rPr>
        <w:tab/>
      </w:r>
      <w:r>
        <w:rPr>
          <w:rFonts w:ascii="Times New Roman" w:cs="Times New Roman" w:eastAsia="Times New Roman" w:hAnsi="Times New Roman"/>
          <w:sz w:val="20"/>
          <w:szCs w:val="20"/>
          <w:color w:val="auto"/>
        </w:rPr>
        <w:t>If a share certificate is damaged or defaced, or alleged to have been lost, stolen or destroyed, the member shall be issued a new certificate representing the same shares upon request.</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9"/>
          <w:szCs w:val="19"/>
          <w:color w:val="auto"/>
        </w:rPr>
        <w:t>No new certificate will be issued pursuant to this Article 13 unless the relevant member has: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13.4.1</w:t>
      </w:r>
      <w:r>
        <w:rPr>
          <w:sz w:val="20"/>
          <w:szCs w:val="20"/>
          <w:color w:val="auto"/>
        </w:rPr>
        <w:tab/>
      </w:r>
      <w:r>
        <w:rPr>
          <w:rFonts w:ascii="Times New Roman" w:cs="Times New Roman" w:eastAsia="Times New Roman" w:hAnsi="Times New Roman"/>
          <w:sz w:val="19"/>
          <w:szCs w:val="19"/>
          <w:color w:val="auto"/>
        </w:rPr>
        <w:t>first delivered the old certificate or certificates to the Company for cancellation; or</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13.4.2</w:t>
      </w:r>
      <w:r>
        <w:rPr>
          <w:sz w:val="20"/>
          <w:szCs w:val="20"/>
          <w:color w:val="auto"/>
        </w:rPr>
        <w:tab/>
      </w:r>
      <w:r>
        <w:rPr>
          <w:rFonts w:ascii="Times New Roman" w:cs="Times New Roman" w:eastAsia="Times New Roman" w:hAnsi="Times New Roman"/>
          <w:sz w:val="19"/>
          <w:szCs w:val="19"/>
          <w:color w:val="auto"/>
        </w:rPr>
        <w:t>complied with such conditions as to evidence and indemnity as the Directors may think fit; and</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13.4.3</w:t>
      </w:r>
      <w:r>
        <w:rPr>
          <w:sz w:val="20"/>
          <w:szCs w:val="20"/>
          <w:color w:val="auto"/>
        </w:rPr>
        <w:tab/>
      </w:r>
      <w:r>
        <w:rPr>
          <w:rFonts w:ascii="Times New Roman" w:cs="Times New Roman" w:eastAsia="Times New Roman" w:hAnsi="Times New Roman"/>
          <w:sz w:val="19"/>
          <w:szCs w:val="19"/>
          <w:color w:val="auto"/>
        </w:rPr>
        <w:t>paid such reasonable fee as the Directors may decide.</w:t>
      </w:r>
    </w:p>
    <w:p>
      <w:pPr>
        <w:spacing w:after="0" w:line="223"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13.5</w:t>
      </w:r>
      <w:r>
        <w:rPr>
          <w:sz w:val="20"/>
          <w:szCs w:val="20"/>
          <w:color w:val="auto"/>
        </w:rPr>
        <w:tab/>
      </w:r>
      <w:r>
        <w:rPr>
          <w:rFonts w:ascii="Times New Roman" w:cs="Times New Roman" w:eastAsia="Times New Roman" w:hAnsi="Times New Roman"/>
          <w:sz w:val="20"/>
          <w:szCs w:val="20"/>
          <w:color w:val="auto"/>
        </w:rPr>
        <w:t>In the case of shares held jointly by several persons, any request pursuant to this Article 13 may be made by any one of the joint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9" w:right="339" w:bottom="1440" w:gutter="0" w:footer="0" w:header="0"/>
        </w:sectPr>
      </w:pPr>
    </w:p>
    <w:bookmarkStart w:id="213" w:name="page214"/>
    <w:bookmarkEnd w:id="213"/>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20"/>
          <w:szCs w:val="20"/>
          <w:b w:val="1"/>
          <w:bCs w:val="1"/>
          <w:color w:val="auto"/>
        </w:rPr>
        <w:t>Consolidated and balance share certificates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14.1</w:t>
      </w:r>
      <w:r>
        <w:rPr>
          <w:sz w:val="20"/>
          <w:szCs w:val="20"/>
          <w:color w:val="auto"/>
        </w:rPr>
        <w:tab/>
      </w:r>
      <w:r>
        <w:rPr>
          <w:rFonts w:ascii="Times New Roman" w:cs="Times New Roman" w:eastAsia="Times New Roman" w:hAnsi="Times New Roman"/>
          <w:sz w:val="19"/>
          <w:szCs w:val="19"/>
          <w:color w:val="auto"/>
        </w:rPr>
        <w:t>If a member’s holding of shares of a particular class increases, the Company must issue that member with either:</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14.1.1</w:t>
      </w:r>
      <w:r>
        <w:rPr>
          <w:sz w:val="20"/>
          <w:szCs w:val="20"/>
          <w:color w:val="auto"/>
        </w:rPr>
        <w:tab/>
      </w:r>
      <w:r>
        <w:rPr>
          <w:rFonts w:ascii="Times New Roman" w:cs="Times New Roman" w:eastAsia="Times New Roman" w:hAnsi="Times New Roman"/>
          <w:sz w:val="19"/>
          <w:szCs w:val="19"/>
          <w:color w:val="auto"/>
        </w:rPr>
        <w:t>a consolidated certificate in respect of all of the shares of that class held by that member; or</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14.1.2</w:t>
      </w:r>
      <w:r>
        <w:rPr>
          <w:sz w:val="20"/>
          <w:szCs w:val="20"/>
          <w:color w:val="auto"/>
        </w:rPr>
        <w:tab/>
      </w:r>
      <w:r>
        <w:rPr>
          <w:rFonts w:ascii="Times New Roman" w:cs="Times New Roman" w:eastAsia="Times New Roman" w:hAnsi="Times New Roman"/>
          <w:sz w:val="19"/>
          <w:szCs w:val="19"/>
          <w:color w:val="auto"/>
        </w:rPr>
        <w:t>a separate certificate in respect of only the number of shares of that class by which that member’s holding has increased.</w:t>
      </w:r>
    </w:p>
    <w:p>
      <w:pPr>
        <w:spacing w:after="0" w:line="223"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20"/>
          <w:szCs w:val="20"/>
          <w:color w:val="auto"/>
        </w:rPr>
        <w:t>If some only of the shares comprised in a share certificate are transferred, or the member’s holding of those shares is otherwise reduced, the Company shall issue a new certificate for the balance of such shares.</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19"/>
          <w:szCs w:val="19"/>
          <w:color w:val="auto"/>
        </w:rPr>
        <w:t>No new certificate will be issued pursuant to this Article 14 unless the relevant member has: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14.3.1</w:t>
      </w:r>
      <w:r>
        <w:rPr>
          <w:sz w:val="20"/>
          <w:szCs w:val="20"/>
          <w:color w:val="auto"/>
        </w:rPr>
        <w:tab/>
      </w:r>
      <w:r>
        <w:rPr>
          <w:rFonts w:ascii="Times New Roman" w:cs="Times New Roman" w:eastAsia="Times New Roman" w:hAnsi="Times New Roman"/>
          <w:sz w:val="19"/>
          <w:szCs w:val="19"/>
          <w:color w:val="auto"/>
        </w:rPr>
        <w:t>first delivered any old certificate or certificates that represent any of the same shares to the Company for cancellation; or</w:t>
      </w:r>
    </w:p>
    <w:p>
      <w:pPr>
        <w:spacing w:after="0" w:line="241"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14.3.2</w:t>
      </w:r>
      <w:r>
        <w:rPr>
          <w:sz w:val="20"/>
          <w:szCs w:val="20"/>
          <w:color w:val="auto"/>
        </w:rPr>
        <w:tab/>
      </w:r>
      <w:r>
        <w:rPr>
          <w:rFonts w:ascii="Times New Roman" w:cs="Times New Roman" w:eastAsia="Times New Roman" w:hAnsi="Times New Roman"/>
          <w:sz w:val="20"/>
          <w:szCs w:val="20"/>
          <w:color w:val="auto"/>
        </w:rPr>
        <w:t>complied with such conditions as to evidence and indemnity as the Directors may think fit and paid such reasonable fee as the Directors may decide.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Shares not held in Certificated Form</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20"/>
          <w:szCs w:val="20"/>
          <w:b w:val="1"/>
          <w:bCs w:val="1"/>
          <w:color w:val="auto"/>
        </w:rPr>
        <w:t>Uncertificated shares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15.1</w:t>
      </w:r>
      <w:r>
        <w:rPr>
          <w:sz w:val="20"/>
          <w:szCs w:val="20"/>
          <w:color w:val="auto"/>
        </w:rPr>
        <w:tab/>
      </w:r>
      <w:r>
        <w:rPr>
          <w:rFonts w:ascii="Times New Roman" w:cs="Times New Roman" w:eastAsia="Times New Roman" w:hAnsi="Times New Roman"/>
          <w:sz w:val="19"/>
          <w:szCs w:val="19"/>
          <w:color w:val="auto"/>
        </w:rPr>
        <w:t>In this Article 15, “</w:t>
      </w:r>
      <w:r>
        <w:rPr>
          <w:rFonts w:ascii="Times New Roman" w:cs="Times New Roman" w:eastAsia="Times New Roman" w:hAnsi="Times New Roman"/>
          <w:sz w:val="19"/>
          <w:szCs w:val="19"/>
          <w:b w:val="1"/>
          <w:bCs w:val="1"/>
          <w:color w:val="auto"/>
        </w:rPr>
        <w:t>the relevant rules</w:t>
      </w:r>
      <w:r>
        <w:rPr>
          <w:rFonts w:ascii="Times New Roman" w:cs="Times New Roman" w:eastAsia="Times New Roman" w:hAnsi="Times New Roman"/>
          <w:sz w:val="19"/>
          <w:szCs w:val="19"/>
          <w:color w:val="auto"/>
        </w:rPr>
        <w:t>” means:</w:t>
      </w:r>
    </w:p>
    <w:p>
      <w:pPr>
        <w:spacing w:after="0" w:line="23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15.1.1</w:t>
      </w:r>
      <w:r>
        <w:rPr>
          <w:sz w:val="20"/>
          <w:szCs w:val="20"/>
          <w:color w:val="auto"/>
        </w:rPr>
        <w:tab/>
      </w:r>
      <w:r>
        <w:rPr>
          <w:rFonts w:ascii="Times New Roman" w:cs="Times New Roman" w:eastAsia="Times New Roman" w:hAnsi="Times New Roman"/>
          <w:sz w:val="20"/>
          <w:szCs w:val="20"/>
          <w:color w:val="auto"/>
        </w:rPr>
        <w:t>any applicable provision of the Legislation about the holding, evidencing of title to, or transfer of shares other than in certificated form; and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15.1.2</w:t>
      </w:r>
      <w:r>
        <w:rPr>
          <w:sz w:val="20"/>
          <w:szCs w:val="20"/>
          <w:color w:val="auto"/>
        </w:rPr>
        <w:tab/>
      </w:r>
      <w:r>
        <w:rPr>
          <w:rFonts w:ascii="Times New Roman" w:cs="Times New Roman" w:eastAsia="Times New Roman" w:hAnsi="Times New Roman"/>
          <w:sz w:val="19"/>
          <w:szCs w:val="19"/>
          <w:color w:val="auto"/>
        </w:rPr>
        <w:t>any applicable legislation, rules or other arrangements made under or by virtue of such provision.</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15.2</w:t>
      </w:r>
      <w:r>
        <w:rPr>
          <w:sz w:val="20"/>
          <w:szCs w:val="20"/>
          <w:color w:val="auto"/>
        </w:rPr>
        <w:tab/>
      </w:r>
      <w:r>
        <w:rPr>
          <w:rFonts w:ascii="Times New Roman" w:cs="Times New Roman" w:eastAsia="Times New Roman" w:hAnsi="Times New Roman"/>
          <w:sz w:val="19"/>
          <w:szCs w:val="19"/>
          <w:color w:val="auto"/>
        </w:rPr>
        <w:t>The provisions of this Article 15 have effect subject to the relevant rules.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15.3</w:t>
      </w:r>
      <w:r>
        <w:rPr>
          <w:sz w:val="20"/>
          <w:szCs w:val="20"/>
          <w:color w:val="auto"/>
        </w:rPr>
        <w:tab/>
      </w:r>
      <w:r>
        <w:rPr>
          <w:rFonts w:ascii="Times New Roman" w:cs="Times New Roman" w:eastAsia="Times New Roman" w:hAnsi="Times New Roman"/>
          <w:sz w:val="19"/>
          <w:szCs w:val="19"/>
          <w:color w:val="auto"/>
        </w:rPr>
        <w:t>To the extent any provision of these Articles is inconsistent with the applicable relevant rules, it must be disregarded.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15.4</w:t>
      </w:r>
      <w:r>
        <w:rPr>
          <w:sz w:val="20"/>
          <w:szCs w:val="20"/>
          <w:color w:val="auto"/>
        </w:rPr>
        <w:tab/>
      </w:r>
      <w:r>
        <w:rPr>
          <w:rFonts w:ascii="Times New Roman" w:cs="Times New Roman" w:eastAsia="Times New Roman" w:hAnsi="Times New Roman"/>
          <w:sz w:val="19"/>
          <w:szCs w:val="19"/>
          <w:color w:val="auto"/>
        </w:rPr>
        <w:t>Any share or class of shares of the Company may be issued or held on such terms, or in such a way, that: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15.4.1</w:t>
      </w:r>
      <w:r>
        <w:rPr>
          <w:sz w:val="20"/>
          <w:szCs w:val="20"/>
          <w:color w:val="auto"/>
        </w:rPr>
        <w:tab/>
      </w:r>
      <w:r>
        <w:rPr>
          <w:rFonts w:ascii="Times New Roman" w:cs="Times New Roman" w:eastAsia="Times New Roman" w:hAnsi="Times New Roman"/>
          <w:sz w:val="19"/>
          <w:szCs w:val="19"/>
          <w:color w:val="auto"/>
        </w:rPr>
        <w:t>title to it or them is not, or must not be, evidenced by a certificate; or</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15.4.2</w:t>
      </w:r>
      <w:r>
        <w:rPr>
          <w:sz w:val="20"/>
          <w:szCs w:val="20"/>
          <w:color w:val="auto"/>
        </w:rPr>
        <w:tab/>
      </w:r>
      <w:r>
        <w:rPr>
          <w:rFonts w:ascii="Times New Roman" w:cs="Times New Roman" w:eastAsia="Times New Roman" w:hAnsi="Times New Roman"/>
          <w:sz w:val="19"/>
          <w:szCs w:val="19"/>
          <w:color w:val="auto"/>
        </w:rPr>
        <w:t>it or they may or must be transferred wholly or partly without a certificate.</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15.5</w:t>
      </w:r>
      <w:r>
        <w:rPr>
          <w:sz w:val="20"/>
          <w:szCs w:val="20"/>
          <w:color w:val="auto"/>
        </w:rPr>
        <w:tab/>
      </w:r>
      <w:r>
        <w:rPr>
          <w:rFonts w:ascii="Times New Roman" w:cs="Times New Roman" w:eastAsia="Times New Roman" w:hAnsi="Times New Roman"/>
          <w:sz w:val="19"/>
          <w:szCs w:val="19"/>
          <w:color w:val="auto"/>
        </w:rPr>
        <w:t>The Directors have power to take such steps as they think fit in relation to:</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15.5.1</w:t>
      </w:r>
      <w:r>
        <w:rPr>
          <w:sz w:val="20"/>
          <w:szCs w:val="20"/>
          <w:color w:val="auto"/>
        </w:rPr>
        <w:tab/>
      </w:r>
      <w:r>
        <w:rPr>
          <w:rFonts w:ascii="Times New Roman" w:cs="Times New Roman" w:eastAsia="Times New Roman" w:hAnsi="Times New Roman"/>
          <w:sz w:val="19"/>
          <w:szCs w:val="19"/>
          <w:color w:val="auto"/>
        </w:rPr>
        <w:t>the evidencing of and transfer of title to uncertificated shares (including in connection with the issue of such shares);</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15.5.2</w:t>
      </w:r>
      <w:r>
        <w:rPr>
          <w:sz w:val="20"/>
          <w:szCs w:val="20"/>
          <w:color w:val="auto"/>
        </w:rPr>
        <w:tab/>
      </w:r>
      <w:r>
        <w:rPr>
          <w:rFonts w:ascii="Times New Roman" w:cs="Times New Roman" w:eastAsia="Times New Roman" w:hAnsi="Times New Roman"/>
          <w:sz w:val="19"/>
          <w:szCs w:val="19"/>
          <w:color w:val="auto"/>
        </w:rPr>
        <w:t>any records relating to the holding of uncertificated shares;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type w:val="continuous"/>
        </w:sectPr>
      </w:pPr>
    </w:p>
    <w:bookmarkStart w:id="214" w:name="page215"/>
    <w:bookmarkEnd w:id="214"/>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15.5.3</w:t>
      </w:r>
      <w:r>
        <w:rPr>
          <w:sz w:val="20"/>
          <w:szCs w:val="20"/>
          <w:color w:val="auto"/>
        </w:rPr>
        <w:tab/>
      </w:r>
      <w:r>
        <w:rPr>
          <w:rFonts w:ascii="Times New Roman" w:cs="Times New Roman" w:eastAsia="Times New Roman" w:hAnsi="Times New Roman"/>
          <w:sz w:val="19"/>
          <w:szCs w:val="19"/>
          <w:color w:val="auto"/>
        </w:rPr>
        <w:t>the conversion of certificated shares into uncertificated shares; or</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15.5.4</w:t>
      </w:r>
      <w:r>
        <w:rPr>
          <w:sz w:val="20"/>
          <w:szCs w:val="20"/>
          <w:color w:val="auto"/>
        </w:rPr>
        <w:tab/>
      </w:r>
      <w:r>
        <w:rPr>
          <w:rFonts w:ascii="Times New Roman" w:cs="Times New Roman" w:eastAsia="Times New Roman" w:hAnsi="Times New Roman"/>
          <w:sz w:val="19"/>
          <w:szCs w:val="19"/>
          <w:color w:val="auto"/>
        </w:rPr>
        <w:t>the conversion of uncertificated shares into certificated shares.</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15.6</w:t>
      </w:r>
      <w:r>
        <w:rPr>
          <w:sz w:val="20"/>
          <w:szCs w:val="20"/>
          <w:color w:val="auto"/>
        </w:rPr>
        <w:tab/>
      </w:r>
      <w:r>
        <w:rPr>
          <w:rFonts w:ascii="Times New Roman" w:cs="Times New Roman" w:eastAsia="Times New Roman" w:hAnsi="Times New Roman"/>
          <w:sz w:val="19"/>
          <w:szCs w:val="19"/>
          <w:color w:val="auto"/>
        </w:rPr>
        <w:t>The Company may by notice to the holder of a share require that share: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15.6.1</w:t>
      </w:r>
      <w:r>
        <w:rPr>
          <w:sz w:val="20"/>
          <w:szCs w:val="20"/>
          <w:color w:val="auto"/>
        </w:rPr>
        <w:tab/>
      </w:r>
      <w:r>
        <w:rPr>
          <w:rFonts w:ascii="Times New Roman" w:cs="Times New Roman" w:eastAsia="Times New Roman" w:hAnsi="Times New Roman"/>
          <w:sz w:val="19"/>
          <w:szCs w:val="19"/>
          <w:color w:val="auto"/>
        </w:rPr>
        <w:t>if it is uncertificated, to be converted into certificated form; and</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15.6.2</w:t>
      </w:r>
      <w:r>
        <w:rPr>
          <w:sz w:val="20"/>
          <w:szCs w:val="20"/>
          <w:color w:val="auto"/>
        </w:rPr>
        <w:tab/>
      </w:r>
      <w:r>
        <w:rPr>
          <w:rFonts w:ascii="Times New Roman" w:cs="Times New Roman" w:eastAsia="Times New Roman" w:hAnsi="Times New Roman"/>
          <w:sz w:val="19"/>
          <w:szCs w:val="19"/>
          <w:color w:val="auto"/>
        </w:rPr>
        <w:t>if it is certificated, to be converted into uncertificated form,</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enable it to be dealt with in accordance with these Articles.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15.7</w:t>
      </w:r>
      <w:r>
        <w:rPr>
          <w:sz w:val="20"/>
          <w:szCs w:val="20"/>
          <w:color w:val="auto"/>
        </w:rPr>
        <w:tab/>
      </w:r>
      <w:r>
        <w:rPr>
          <w:rFonts w:ascii="Times New Roman" w:cs="Times New Roman" w:eastAsia="Times New Roman" w:hAnsi="Times New Roman"/>
          <w:sz w:val="19"/>
          <w:szCs w:val="19"/>
          <w:color w:val="auto"/>
        </w:rPr>
        <w:t>If:</w:t>
      </w:r>
    </w:p>
    <w:p>
      <w:pPr>
        <w:spacing w:after="0" w:line="220"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15.7.1</w:t>
      </w:r>
      <w:r>
        <w:rPr>
          <w:sz w:val="20"/>
          <w:szCs w:val="20"/>
          <w:color w:val="auto"/>
        </w:rPr>
        <w:tab/>
      </w:r>
      <w:r>
        <w:rPr>
          <w:rFonts w:ascii="Times New Roman" w:cs="Times New Roman" w:eastAsia="Times New Roman" w:hAnsi="Times New Roman"/>
          <w:sz w:val="20"/>
          <w:szCs w:val="20"/>
          <w:color w:val="auto"/>
        </w:rPr>
        <w:t>these Articles give the Directors power to take action, or require other persons to take action, in order to sell, transfer or otherwise dispose of shares; and</w:t>
      </w:r>
    </w:p>
    <w:p>
      <w:pPr>
        <w:spacing w:after="0" w:line="146"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15.7.2</w:t>
      </w:r>
      <w:r>
        <w:rPr>
          <w:sz w:val="20"/>
          <w:szCs w:val="20"/>
          <w:color w:val="auto"/>
        </w:rPr>
        <w:tab/>
      </w:r>
      <w:r>
        <w:rPr>
          <w:rFonts w:ascii="Times New Roman" w:cs="Times New Roman" w:eastAsia="Times New Roman" w:hAnsi="Times New Roman"/>
          <w:sz w:val="20"/>
          <w:szCs w:val="20"/>
          <w:color w:val="auto"/>
        </w:rPr>
        <w:t>uncertificated shares are subject to that power, but the power is expressed in terms which assume the use of a certificate or other written instrument,</w:t>
      </w:r>
    </w:p>
    <w:p>
      <w:pPr>
        <w:spacing w:after="0" w:line="160"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the Directors may take such action as is necessary or expedient to achieve the same results when exercising that power in relation to uncertificated shares.</w:t>
      </w:r>
    </w:p>
    <w:p>
      <w:pPr>
        <w:spacing w:after="0" w:line="16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15.8</w:t>
      </w:r>
      <w:r>
        <w:rPr>
          <w:sz w:val="20"/>
          <w:szCs w:val="20"/>
          <w:color w:val="auto"/>
        </w:rPr>
        <w:tab/>
      </w:r>
      <w:r>
        <w:rPr>
          <w:rFonts w:ascii="Times New Roman" w:cs="Times New Roman" w:eastAsia="Times New Roman" w:hAnsi="Times New Roman"/>
          <w:sz w:val="20"/>
          <w:szCs w:val="20"/>
          <w:color w:val="auto"/>
        </w:rPr>
        <w:t>The Directors may take such action as they consider appropriate to achieve the sale, transfer, disposal, forfeiture, re-allotment or surrender of an uncertificated share or otherwise to enforce a lien in respect of it. This may include converting such share to certificated form.</w:t>
      </w:r>
    </w:p>
    <w:p>
      <w:pPr>
        <w:spacing w:after="0" w:line="18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15.9</w:t>
      </w:r>
      <w:r>
        <w:rPr>
          <w:sz w:val="20"/>
          <w:szCs w:val="20"/>
          <w:color w:val="auto"/>
        </w:rPr>
        <w:tab/>
      </w:r>
      <w:r>
        <w:rPr>
          <w:rFonts w:ascii="Times New Roman" w:cs="Times New Roman" w:eastAsia="Times New Roman" w:hAnsi="Times New Roman"/>
          <w:sz w:val="20"/>
          <w:szCs w:val="20"/>
          <w:color w:val="auto"/>
        </w:rPr>
        <w:t>Unless the Directors resolve otherwise, shares which a member holds in uncertificated form must be treated as separate holdings from any shares which that member holds in certificated form.</w:t>
      </w:r>
    </w:p>
    <w:p>
      <w:pPr>
        <w:spacing w:after="0" w:line="173"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15.10</w:t>
      </w:r>
      <w:r>
        <w:rPr>
          <w:sz w:val="20"/>
          <w:szCs w:val="20"/>
          <w:color w:val="auto"/>
        </w:rPr>
        <w:tab/>
      </w:r>
      <w:r>
        <w:rPr>
          <w:rFonts w:ascii="Times New Roman" w:cs="Times New Roman" w:eastAsia="Times New Roman" w:hAnsi="Times New Roman"/>
          <w:sz w:val="20"/>
          <w:szCs w:val="20"/>
          <w:color w:val="auto"/>
        </w:rPr>
        <w:t>A class of shares must not be treated as two classes simply because some shares of that class are held in certificated form and others are held in uncertificated form.</w:t>
      </w:r>
    </w:p>
    <w:p>
      <w:pPr>
        <w:spacing w:after="0" w:line="173"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15.11</w:t>
      </w:r>
      <w:r>
        <w:rPr>
          <w:sz w:val="20"/>
          <w:szCs w:val="20"/>
          <w:color w:val="auto"/>
        </w:rPr>
        <w:tab/>
      </w:r>
      <w:r>
        <w:rPr>
          <w:rFonts w:ascii="Times New Roman" w:cs="Times New Roman" w:eastAsia="Times New Roman" w:hAnsi="Times New Roman"/>
          <w:sz w:val="19"/>
          <w:szCs w:val="19"/>
          <w:color w:val="auto"/>
        </w:rPr>
        <w:t>The Company shall be entitled to assume that the entries on any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Calls on Shares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20"/>
          <w:szCs w:val="20"/>
          <w:b w:val="1"/>
          <w:bCs w:val="1"/>
          <w:color w:val="auto"/>
        </w:rPr>
        <w:t>Sums due on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16.1</w:t>
      </w:r>
      <w:r>
        <w:rPr>
          <w:sz w:val="20"/>
          <w:szCs w:val="20"/>
          <w:color w:val="auto"/>
        </w:rPr>
        <w:tab/>
      </w:r>
      <w:r>
        <w:rPr>
          <w:rFonts w:ascii="Times New Roman" w:cs="Times New Roman" w:eastAsia="Times New Roman" w:hAnsi="Times New Roman"/>
          <w:sz w:val="20"/>
          <w:szCs w:val="20"/>
          <w:color w:val="auto"/>
        </w:rPr>
        <w:t>For the purposes of these Articles, any sum (whether on account of the nominal value of the share or by way of premium) which by the terms of allotment of a share becomes payable upon allotment, or at any fixed date, shall be deemed to be a call duly made and payable on the date on which it is payable.</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type w:val="continuous"/>
        </w:sectPr>
      </w:pPr>
    </w:p>
    <w:bookmarkStart w:id="215" w:name="page216"/>
    <w:bookmarkEnd w:id="215"/>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16.2</w:t>
      </w:r>
      <w:r>
        <w:rPr>
          <w:sz w:val="20"/>
          <w:szCs w:val="20"/>
          <w:color w:val="auto"/>
        </w:rPr>
        <w:tab/>
      </w:r>
      <w:r>
        <w:rPr>
          <w:rFonts w:ascii="Times New Roman" w:cs="Times New Roman" w:eastAsia="Times New Roman" w:hAnsi="Times New Roman"/>
          <w:sz w:val="20"/>
          <w:szCs w:val="20"/>
          <w:color w:val="auto"/>
        </w:rPr>
        <w:t>In case of non-payment, all the relevant provisions of these Articles as to payment of interest and expenses, forfeiture or otherwise shall apply as if such sum had become payable by virtue of a call duly made and notified.</w:t>
      </w:r>
    </w:p>
    <w:p>
      <w:pPr>
        <w:spacing w:after="0" w:line="36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 to differentiate between holders</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the allotment of shares, the Directors may provide that the amount of calls to be paid on those shares and the times of payment are different for different holders of those shares.</w:t>
      </w:r>
    </w:p>
    <w:p>
      <w:pPr>
        <w:spacing w:after="0" w:line="38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Calls</w:t>
      </w:r>
    </w:p>
    <w:p>
      <w:pPr>
        <w:spacing w:after="0" w:line="229" w:lineRule="exact"/>
        <w:rPr>
          <w:sz w:val="20"/>
          <w:szCs w:val="20"/>
          <w:color w:val="auto"/>
        </w:rPr>
      </w:pPr>
    </w:p>
    <w:p>
      <w:pPr>
        <w:jc w:val="both"/>
        <w:ind w:left="660" w:right="20" w:hanging="647"/>
        <w:spacing w:after="0" w:line="27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18.1</w:t>
      </w:r>
      <w:r>
        <w:rPr>
          <w:sz w:val="20"/>
          <w:szCs w:val="20"/>
          <w:color w:val="auto"/>
        </w:rPr>
        <w:tab/>
      </w:r>
      <w:r>
        <w:rPr>
          <w:rFonts w:ascii="Times New Roman" w:cs="Times New Roman" w:eastAsia="Times New Roman" w:hAnsi="Times New Roman"/>
          <w:sz w:val="20"/>
          <w:szCs w:val="20"/>
          <w:color w:val="auto"/>
        </w:rPr>
        <w:t>Subject to the terms of allotment of the shares, the Directors may make a “</w:t>
      </w:r>
      <w:r>
        <w:rPr>
          <w:rFonts w:ascii="Times New Roman" w:cs="Times New Roman" w:eastAsia="Times New Roman" w:hAnsi="Times New Roman"/>
          <w:sz w:val="20"/>
          <w:szCs w:val="20"/>
          <w:b w:val="1"/>
          <w:bCs w:val="1"/>
          <w:color w:val="auto"/>
        </w:rPr>
        <w:t>call</w:t>
      </w:r>
      <w:r>
        <w:rPr>
          <w:rFonts w:ascii="Times New Roman" w:cs="Times New Roman" w:eastAsia="Times New Roman" w:hAnsi="Times New Roman"/>
          <w:sz w:val="20"/>
          <w:szCs w:val="20"/>
          <w:color w:val="auto"/>
        </w:rPr>
        <w:t>” by requiring a member to pay to the Company any money that is payable on the shares such member holds as at the date of the call.</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18.2</w:t>
      </w:r>
      <w:r>
        <w:rPr>
          <w:sz w:val="20"/>
          <w:szCs w:val="20"/>
          <w:color w:val="auto"/>
        </w:rPr>
        <w:tab/>
      </w:r>
      <w:r>
        <w:rPr>
          <w:rFonts w:ascii="Times New Roman" w:cs="Times New Roman" w:eastAsia="Times New Roman" w:hAnsi="Times New Roman"/>
          <w:sz w:val="19"/>
          <w:szCs w:val="19"/>
          <w:color w:val="auto"/>
        </w:rPr>
        <w:t>A call shall be deemed to have been made at the time when the resolution of the Directors authorising the call was passed.</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18.3</w:t>
      </w:r>
      <w:r>
        <w:rPr>
          <w:sz w:val="20"/>
          <w:szCs w:val="20"/>
          <w:color w:val="auto"/>
        </w:rPr>
        <w:tab/>
      </w:r>
      <w:r>
        <w:rPr>
          <w:rFonts w:ascii="Times New Roman" w:cs="Times New Roman" w:eastAsia="Times New Roman" w:hAnsi="Times New Roman"/>
          <w:sz w:val="20"/>
          <w:szCs w:val="20"/>
          <w:color w:val="auto"/>
        </w:rPr>
        <w:t>Notice of a call must be given to the relevant member and may specify the time or times and place where payment is required to be made.</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18.4</w:t>
      </w:r>
      <w:r>
        <w:rPr>
          <w:sz w:val="20"/>
          <w:szCs w:val="20"/>
          <w:color w:val="auto"/>
        </w:rPr>
        <w:tab/>
      </w:r>
      <w:r>
        <w:rPr>
          <w:rFonts w:ascii="Times New Roman" w:cs="Times New Roman" w:eastAsia="Times New Roman" w:hAnsi="Times New Roman"/>
          <w:sz w:val="19"/>
          <w:szCs w:val="19"/>
          <w:color w:val="auto"/>
        </w:rPr>
        <w:t>A call may be made payable by instalments.</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18.5</w:t>
      </w:r>
      <w:r>
        <w:rPr>
          <w:sz w:val="20"/>
          <w:szCs w:val="20"/>
          <w:color w:val="auto"/>
        </w:rPr>
        <w:tab/>
      </w:r>
      <w:r>
        <w:rPr>
          <w:rFonts w:ascii="Times New Roman" w:cs="Times New Roman" w:eastAsia="Times New Roman" w:hAnsi="Times New Roman"/>
          <w:sz w:val="20"/>
          <w:szCs w:val="20"/>
          <w:color w:val="auto"/>
        </w:rPr>
        <w:t>A member must pay to the Company the amount called on his shares at the time or times and place specified, but is not required to do so until 14 clear days have passed since the notice of call was sent.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18.6</w:t>
      </w:r>
      <w:r>
        <w:rPr>
          <w:sz w:val="20"/>
          <w:szCs w:val="20"/>
          <w:color w:val="auto"/>
        </w:rPr>
        <w:tab/>
      </w:r>
      <w:r>
        <w:rPr>
          <w:rFonts w:ascii="Times New Roman" w:cs="Times New Roman" w:eastAsia="Times New Roman" w:hAnsi="Times New Roman"/>
          <w:sz w:val="19"/>
          <w:szCs w:val="19"/>
          <w:color w:val="auto"/>
        </w:rPr>
        <w:t>A call may be wholly or partly revoked or postponed at any time before payment of it is made, as the Directors may decide.</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20"/>
          <w:szCs w:val="20"/>
          <w:b w:val="1"/>
          <w:bCs w:val="1"/>
          <w:color w:val="auto"/>
        </w:rPr>
        <w:t>Liability for calls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19.1</w:t>
      </w:r>
      <w:r>
        <w:rPr>
          <w:sz w:val="20"/>
          <w:szCs w:val="20"/>
          <w:color w:val="auto"/>
        </w:rPr>
        <w:tab/>
      </w:r>
      <w:r>
        <w:rPr>
          <w:rFonts w:ascii="Times New Roman" w:cs="Times New Roman" w:eastAsia="Times New Roman" w:hAnsi="Times New Roman"/>
          <w:sz w:val="19"/>
          <w:szCs w:val="19"/>
          <w:color w:val="auto"/>
        </w:rPr>
        <w:t>The joint holders of a share shall be jointly and severally liable to pay all calls in respect of such share.</w:t>
      </w:r>
    </w:p>
    <w:p>
      <w:pPr>
        <w:spacing w:after="0" w:line="216"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19.2</w:t>
      </w:r>
      <w:r>
        <w:rPr>
          <w:sz w:val="20"/>
          <w:szCs w:val="20"/>
          <w:color w:val="auto"/>
        </w:rPr>
        <w:tab/>
      </w:r>
      <w:r>
        <w:rPr>
          <w:rFonts w:ascii="Times New Roman" w:cs="Times New Roman" w:eastAsia="Times New Roman" w:hAnsi="Times New Roman"/>
          <w:sz w:val="20"/>
          <w:szCs w:val="20"/>
          <w:color w:val="auto"/>
        </w:rPr>
        <w:t>A person on whom a call is made remains liable for the call notwithstanding the subsequent transfer of the shares in respect of which the call was made.</w:t>
      </w:r>
    </w:p>
    <w:p>
      <w:pPr>
        <w:spacing w:after="0" w:line="3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w:t>
      </w:r>
      <w:r>
        <w:rPr>
          <w:sz w:val="20"/>
          <w:szCs w:val="20"/>
          <w:color w:val="auto"/>
        </w:rPr>
        <w:tab/>
      </w:r>
      <w:r>
        <w:rPr>
          <w:rFonts w:ascii="Times New Roman" w:cs="Times New Roman" w:eastAsia="Times New Roman" w:hAnsi="Times New Roman"/>
          <w:sz w:val="20"/>
          <w:szCs w:val="20"/>
          <w:b w:val="1"/>
          <w:bCs w:val="1"/>
          <w:color w:val="auto"/>
        </w:rPr>
        <w:t>Interest on overdue amounts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Times New Roman" w:cs="Times New Roman" w:eastAsia="Times New Roman" w:hAnsi="Times New Roman"/>
          <w:sz w:val="20"/>
          <w:szCs w:val="20"/>
          <w:color w:val="auto"/>
        </w:rPr>
        <w:t>If a sum called in respect of a share is not paid by the time it is due for payment, the member from whom the sum is due shall pay interest on the sum from the time payment was due to the time of actual payment at such rate as the Directors may decide (save that such rate may not exceed the Bank of England base rate by more than five per cent. per annum).</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color w:val="auto"/>
        </w:rPr>
        <w:t>The Directors may waive payment of such interest wholly or in part at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09" w:right="339" w:bottom="1440" w:gutter="0" w:footer="0" w:header="0"/>
        </w:sectPr>
      </w:pPr>
    </w:p>
    <w:bookmarkStart w:id="216" w:name="page217"/>
    <w:bookmarkEnd w:id="216"/>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20"/>
          <w:szCs w:val="20"/>
          <w:b w:val="1"/>
          <w:bCs w:val="1"/>
          <w:color w:val="auto"/>
        </w:rPr>
        <w:t>Payment of calls in advance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20"/>
          <w:szCs w:val="20"/>
          <w:color w:val="auto"/>
        </w:rPr>
        <w:t>Any member may pay to the Company all or any part of the amount (whether on account of the nominal value of the shares or by way of premium) uncalled and unpaid upon the shares held by him. The Directors may accept or refuse such payment, as they think fit.</w:t>
      </w:r>
    </w:p>
    <w:p>
      <w:pPr>
        <w:spacing w:after="0" w:line="168"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20"/>
          <w:szCs w:val="20"/>
          <w:color w:val="auto"/>
        </w:rPr>
        <w:t>Any payment in advance of calls shall, to the extent of such payment, extinguish the liability upon the shares in respect of which it is made.</w:t>
      </w:r>
    </w:p>
    <w:p>
      <w:pPr>
        <w:spacing w:after="0" w:line="1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20"/>
          <w:szCs w:val="20"/>
          <w:color w:val="auto"/>
        </w:rPr>
        <w:t>The Company may pay interest upon the money so received (until the same would but for such advance become payable) at such rate as the member paying such sum and the Directors may agree.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Forfeiture and Lien</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20"/>
          <w:szCs w:val="20"/>
          <w:b w:val="1"/>
          <w:bCs w:val="1"/>
          <w:color w:val="auto"/>
        </w:rPr>
        <w:t>Notice on failure to pay a call</w:t>
      </w:r>
    </w:p>
    <w:p>
      <w:pPr>
        <w:spacing w:after="0" w:line="22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22.1</w:t>
      </w:r>
      <w:r>
        <w:rPr>
          <w:sz w:val="20"/>
          <w:szCs w:val="20"/>
          <w:color w:val="auto"/>
        </w:rPr>
        <w:tab/>
      </w:r>
      <w:r>
        <w:rPr>
          <w:rFonts w:ascii="Times New Roman" w:cs="Times New Roman" w:eastAsia="Times New Roman" w:hAnsi="Times New Roman"/>
          <w:sz w:val="20"/>
          <w:szCs w:val="20"/>
          <w:color w:val="auto"/>
        </w:rPr>
        <w:t>If a member fails to pay in full any call or instalment of a call on or before the due date for payment, the Directors may at any time serve a notice in writing on him requiring payment of:</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22.1.1</w:t>
      </w:r>
      <w:r>
        <w:rPr>
          <w:sz w:val="20"/>
          <w:szCs w:val="20"/>
          <w:color w:val="auto"/>
        </w:rPr>
        <w:tab/>
      </w:r>
      <w:r>
        <w:rPr>
          <w:rFonts w:ascii="Times New Roman" w:cs="Times New Roman" w:eastAsia="Times New Roman" w:hAnsi="Times New Roman"/>
          <w:sz w:val="19"/>
          <w:szCs w:val="19"/>
          <w:color w:val="auto"/>
        </w:rPr>
        <w:t>so much of the call or instalment as is due but unpaid;</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22.1.2</w:t>
      </w:r>
      <w:r>
        <w:rPr>
          <w:sz w:val="20"/>
          <w:szCs w:val="20"/>
          <w:color w:val="auto"/>
        </w:rPr>
        <w:tab/>
      </w:r>
      <w:r>
        <w:rPr>
          <w:rFonts w:ascii="Times New Roman" w:cs="Times New Roman" w:eastAsia="Times New Roman" w:hAnsi="Times New Roman"/>
          <w:sz w:val="19"/>
          <w:szCs w:val="19"/>
          <w:color w:val="auto"/>
        </w:rPr>
        <w:t>any interest which may have accrued on the unpaid amount; and</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22.1.3</w:t>
      </w:r>
      <w:r>
        <w:rPr>
          <w:sz w:val="20"/>
          <w:szCs w:val="20"/>
          <w:color w:val="auto"/>
        </w:rPr>
        <w:tab/>
      </w:r>
      <w:r>
        <w:rPr>
          <w:rFonts w:ascii="Times New Roman" w:cs="Times New Roman" w:eastAsia="Times New Roman" w:hAnsi="Times New Roman"/>
          <w:sz w:val="19"/>
          <w:szCs w:val="19"/>
          <w:color w:val="auto"/>
        </w:rPr>
        <w:t>any expenses incurred by the Company by reason of such non-payment.</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22.2</w:t>
      </w:r>
      <w:r>
        <w:rPr>
          <w:sz w:val="20"/>
          <w:szCs w:val="20"/>
          <w:color w:val="auto"/>
        </w:rPr>
        <w:tab/>
      </w:r>
      <w:r>
        <w:rPr>
          <w:rFonts w:ascii="Times New Roman" w:cs="Times New Roman" w:eastAsia="Times New Roman" w:hAnsi="Times New Roman"/>
          <w:sz w:val="19"/>
          <w:szCs w:val="19"/>
          <w:color w:val="auto"/>
        </w:rPr>
        <w:t>The notice shall state: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22.2.1</w:t>
      </w:r>
      <w:r>
        <w:rPr>
          <w:sz w:val="20"/>
          <w:szCs w:val="20"/>
          <w:color w:val="auto"/>
        </w:rPr>
        <w:tab/>
      </w:r>
      <w:r>
        <w:rPr>
          <w:rFonts w:ascii="Times New Roman" w:cs="Times New Roman" w:eastAsia="Times New Roman" w:hAnsi="Times New Roman"/>
          <w:sz w:val="19"/>
          <w:szCs w:val="19"/>
          <w:color w:val="auto"/>
        </w:rPr>
        <w:t>a date (not being less than 14 clear days from the date of service of the notice) on or before which the payment is to be made;</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22.2.2</w:t>
      </w:r>
      <w:r>
        <w:rPr>
          <w:sz w:val="20"/>
          <w:szCs w:val="20"/>
          <w:color w:val="auto"/>
        </w:rPr>
        <w:tab/>
      </w:r>
      <w:r>
        <w:rPr>
          <w:rFonts w:ascii="Times New Roman" w:cs="Times New Roman" w:eastAsia="Times New Roman" w:hAnsi="Times New Roman"/>
          <w:sz w:val="19"/>
          <w:szCs w:val="19"/>
          <w:color w:val="auto"/>
        </w:rPr>
        <w:t>the place where the payment is to be made; and</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22.2.3</w:t>
      </w:r>
      <w:r>
        <w:rPr>
          <w:sz w:val="20"/>
          <w:szCs w:val="20"/>
          <w:color w:val="auto"/>
        </w:rPr>
        <w:tab/>
      </w:r>
      <w:r>
        <w:rPr>
          <w:rFonts w:ascii="Times New Roman" w:cs="Times New Roman" w:eastAsia="Times New Roman" w:hAnsi="Times New Roman"/>
          <w:sz w:val="19"/>
          <w:szCs w:val="19"/>
          <w:color w:val="auto"/>
        </w:rPr>
        <w:t>that in the event of non-payment the shares on which the call has been made will be liable to be forfeited.</w:t>
      </w:r>
    </w:p>
    <w:p>
      <w:pPr>
        <w:spacing w:after="0" w:line="200" w:lineRule="exact"/>
        <w:rPr>
          <w:sz w:val="20"/>
          <w:szCs w:val="20"/>
          <w:color w:val="auto"/>
        </w:rPr>
      </w:pPr>
    </w:p>
    <w:p>
      <w:pPr>
        <w:spacing w:after="0" w:line="2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20"/>
          <w:szCs w:val="20"/>
          <w:b w:val="1"/>
          <w:bCs w:val="1"/>
          <w:color w:val="auto"/>
        </w:rPr>
        <w:t>Forfeiture for non-compliance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23.1</w:t>
      </w:r>
      <w:r>
        <w:rPr>
          <w:sz w:val="20"/>
          <w:szCs w:val="20"/>
          <w:color w:val="auto"/>
        </w:rPr>
        <w:tab/>
      </w:r>
      <w:r>
        <w:rPr>
          <w:rFonts w:ascii="Times New Roman" w:cs="Times New Roman" w:eastAsia="Times New Roman" w:hAnsi="Times New Roman"/>
          <w:sz w:val="20"/>
          <w:szCs w:val="20"/>
          <w:color w:val="auto"/>
        </w:rPr>
        <w:t>If the requirements of any notice given pursuant to Article 22 are not complied with and all calls and interest and expenses due in respect of such share remain unpaid, any share in respect of which such notice has been given may be forfeited by a resolution of the Directors to that effect.</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23.2</w:t>
      </w:r>
      <w:r>
        <w:rPr>
          <w:sz w:val="20"/>
          <w:szCs w:val="20"/>
          <w:color w:val="auto"/>
        </w:rPr>
        <w:tab/>
      </w:r>
      <w:r>
        <w:rPr>
          <w:rFonts w:ascii="Times New Roman" w:cs="Times New Roman" w:eastAsia="Times New Roman" w:hAnsi="Times New Roman"/>
          <w:sz w:val="19"/>
          <w:szCs w:val="19"/>
          <w:color w:val="auto"/>
        </w:rPr>
        <w:t>Such forfeiture shall include all dividends declared in respect of the forfeited share and not actually paid before forfeiture.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23.3</w:t>
      </w:r>
      <w:r>
        <w:rPr>
          <w:sz w:val="20"/>
          <w:szCs w:val="20"/>
          <w:color w:val="auto"/>
        </w:rPr>
        <w:tab/>
      </w:r>
      <w:r>
        <w:rPr>
          <w:rFonts w:ascii="Times New Roman" w:cs="Times New Roman" w:eastAsia="Times New Roman" w:hAnsi="Times New Roman"/>
          <w:sz w:val="19"/>
          <w:szCs w:val="19"/>
          <w:color w:val="auto"/>
        </w:rPr>
        <w:t>The Directors may accept a surrender of any share liable to be forfeited pursuant to this Article 23.</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23.4</w:t>
      </w:r>
      <w:r>
        <w:rPr>
          <w:sz w:val="20"/>
          <w:szCs w:val="20"/>
          <w:color w:val="auto"/>
        </w:rPr>
        <w:tab/>
      </w:r>
      <w:r>
        <w:rPr>
          <w:rFonts w:ascii="Times New Roman" w:cs="Times New Roman" w:eastAsia="Times New Roman" w:hAnsi="Times New Roman"/>
          <w:sz w:val="20"/>
          <w:szCs w:val="20"/>
          <w:color w:val="auto"/>
        </w:rPr>
        <w:t>When any share has been forfeited, notice of the forfeiture shall be served on the holder of the share or the person entitled to such share by transmission (as the case may be) before forfeiture. An entry of such notice having been given and of the forfeiture and the date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type w:val="continuous"/>
        </w:sectPr>
      </w:pPr>
    </w:p>
    <w:bookmarkStart w:id="217" w:name="page218"/>
    <w:bookmarkEnd w:id="217"/>
    <w:p>
      <w:pPr>
        <w:ind w:left="660" w:right="20"/>
        <w:spacing w:after="0" w:line="283" w:lineRule="auto"/>
        <w:rPr>
          <w:sz w:val="20"/>
          <w:szCs w:val="20"/>
          <w:color w:val="auto"/>
        </w:rPr>
      </w:pPr>
      <w:r>
        <w:rPr>
          <w:rFonts w:ascii="Times New Roman" w:cs="Times New Roman" w:eastAsia="Times New Roman" w:hAnsi="Times New Roman"/>
          <w:sz w:val="20"/>
          <w:szCs w:val="20"/>
          <w:color w:val="auto"/>
        </w:rPr>
        <w:t>forfeiture shall immediately be made in the Register in respect of such share. However, no forfeiture shall be invalidated by any omission to give such notice or to make such entry in the Register.</w:t>
      </w:r>
    </w:p>
    <w:p>
      <w:pPr>
        <w:spacing w:after="0" w:line="3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20"/>
          <w:szCs w:val="20"/>
          <w:b w:val="1"/>
          <w:bCs w:val="1"/>
          <w:color w:val="auto"/>
        </w:rPr>
        <w:t>Disposal of forfeited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24.1</w:t>
      </w:r>
      <w:r>
        <w:rPr>
          <w:sz w:val="20"/>
          <w:szCs w:val="20"/>
          <w:color w:val="auto"/>
        </w:rPr>
        <w:tab/>
      </w:r>
      <w:r>
        <w:rPr>
          <w:rFonts w:ascii="Times New Roman" w:cs="Times New Roman" w:eastAsia="Times New Roman" w:hAnsi="Times New Roman"/>
          <w:sz w:val="20"/>
          <w:szCs w:val="20"/>
          <w:color w:val="auto"/>
        </w:rPr>
        <w:t>A share forfeited or surrendered shall become the property of the Company and may be sold, re-allotted or otherwise disposed of either to any person (including the person who was before such forfeiture or surrender the holder of that share or entitled to it) on such terms and in such manner as the Directors shall think fit.</w:t>
      </w:r>
    </w:p>
    <w:p>
      <w:pPr>
        <w:spacing w:after="0" w:line="181"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24.2</w:t>
      </w:r>
      <w:r>
        <w:rPr>
          <w:sz w:val="20"/>
          <w:szCs w:val="20"/>
          <w:color w:val="auto"/>
        </w:rPr>
        <w:tab/>
      </w:r>
      <w:r>
        <w:rPr>
          <w:rFonts w:ascii="Times New Roman" w:cs="Times New Roman" w:eastAsia="Times New Roman" w:hAnsi="Times New Roman"/>
          <w:sz w:val="20"/>
          <w:szCs w:val="20"/>
          <w:color w:val="auto"/>
        </w:rPr>
        <w:t>At any time before a sale, re-allotment or disposal, the forfeiture or surrender may be cancelled on such terms as the Directors think fit.</w:t>
      </w:r>
    </w:p>
    <w:p>
      <w:pPr>
        <w:spacing w:after="0" w:line="17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24.3</w:t>
      </w:r>
      <w:r>
        <w:rPr>
          <w:sz w:val="20"/>
          <w:szCs w:val="20"/>
          <w:color w:val="auto"/>
        </w:rPr>
        <w:tab/>
      </w:r>
      <w:r>
        <w:rPr>
          <w:rFonts w:ascii="Times New Roman" w:cs="Times New Roman" w:eastAsia="Times New Roman" w:hAnsi="Times New Roman"/>
          <w:sz w:val="20"/>
          <w:szCs w:val="20"/>
          <w:color w:val="auto"/>
        </w:rPr>
        <w:t>The Directors may authorise any person to transfer a forfeited or surrendered share pursuant to this Article 24 and may enter the name of the transferee in respect of the transferred share in the Register even if no share certificate is lodged and may issue a new certificate to the transferee. An instrument of transfer executed by that person shall be as effective as if it had been executed by the holder of, or the person entitled by transmission to, the share. The Company may receive the consideration (if any) given for the share on its disposal.</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20"/>
          <w:szCs w:val="20"/>
          <w:b w:val="1"/>
          <w:bCs w:val="1"/>
          <w:color w:val="auto"/>
        </w:rPr>
        <w:t>Holder to remain liable despite forfeiture</w:t>
      </w:r>
    </w:p>
    <w:p>
      <w:pPr>
        <w:spacing w:after="0" w:line="216" w:lineRule="exact"/>
        <w:rPr>
          <w:sz w:val="20"/>
          <w:szCs w:val="20"/>
          <w:color w:val="auto"/>
        </w:rPr>
      </w:pPr>
    </w:p>
    <w:p>
      <w:pPr>
        <w:jc w:val="center"/>
        <w:ind w:right="5520"/>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25.1</w:t>
      </w:r>
      <w:r>
        <w:rPr>
          <w:sz w:val="20"/>
          <w:szCs w:val="20"/>
          <w:color w:val="auto"/>
        </w:rPr>
        <w:tab/>
      </w:r>
      <w:r>
        <w:rPr>
          <w:rFonts w:ascii="Times New Roman" w:cs="Times New Roman" w:eastAsia="Times New Roman" w:hAnsi="Times New Roman"/>
          <w:sz w:val="19"/>
          <w:szCs w:val="19"/>
          <w:color w:val="auto"/>
        </w:rPr>
        <w:t>A person whose shares have been forfeited or surrendered shall:</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25.1.1</w:t>
      </w:r>
      <w:r>
        <w:rPr>
          <w:sz w:val="20"/>
          <w:szCs w:val="20"/>
          <w:color w:val="auto"/>
        </w:rPr>
        <w:tab/>
      </w:r>
      <w:r>
        <w:rPr>
          <w:rFonts w:ascii="Times New Roman" w:cs="Times New Roman" w:eastAsia="Times New Roman" w:hAnsi="Times New Roman"/>
          <w:sz w:val="19"/>
          <w:szCs w:val="19"/>
          <w:color w:val="auto"/>
        </w:rPr>
        <w:t>cease to be a member in respect of those shares;</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25.1.2</w:t>
      </w:r>
      <w:r>
        <w:rPr>
          <w:sz w:val="20"/>
          <w:szCs w:val="20"/>
          <w:color w:val="auto"/>
        </w:rPr>
        <w:tab/>
      </w:r>
      <w:r>
        <w:rPr>
          <w:rFonts w:ascii="Times New Roman" w:cs="Times New Roman" w:eastAsia="Times New Roman" w:hAnsi="Times New Roman"/>
          <w:sz w:val="19"/>
          <w:szCs w:val="19"/>
          <w:color w:val="auto"/>
        </w:rPr>
        <w:t>in the case of shares held in certificated form, surrender to the Company for cancellation the certificate for such shares; and</w:t>
      </w:r>
    </w:p>
    <w:p>
      <w:pPr>
        <w:spacing w:after="0" w:line="22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25.1.3</w:t>
      </w:r>
      <w:r>
        <w:rPr>
          <w:sz w:val="20"/>
          <w:szCs w:val="20"/>
          <w:color w:val="auto"/>
        </w:rPr>
        <w:tab/>
      </w:r>
      <w:r>
        <w:rPr>
          <w:rFonts w:ascii="Times New Roman" w:cs="Times New Roman" w:eastAsia="Times New Roman" w:hAnsi="Times New Roman"/>
          <w:sz w:val="20"/>
          <w:szCs w:val="20"/>
          <w:color w:val="auto"/>
        </w:rPr>
        <w:t>remain liable to pay to the Company all moneys which at the date of forfeiture or surrender were payable by him to the Company in respect of the shares together with interest on such sum at such rate as the Directors may decide (not exceeding the Bank of England base rate by more than five per cent. per annum) from the date of forfeiture or surrender until the date of actual payment.</w:t>
      </w:r>
    </w:p>
    <w:p>
      <w:pPr>
        <w:spacing w:after="0" w:line="168"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25.2</w:t>
      </w:r>
      <w:r>
        <w:rPr>
          <w:sz w:val="20"/>
          <w:szCs w:val="20"/>
          <w:color w:val="auto"/>
        </w:rPr>
        <w:tab/>
      </w:r>
      <w:r>
        <w:rPr>
          <w:rFonts w:ascii="Times New Roman" w:cs="Times New Roman" w:eastAsia="Times New Roman" w:hAnsi="Times New Roman"/>
          <w:sz w:val="20"/>
          <w:szCs w:val="20"/>
          <w:color w:val="auto"/>
        </w:rPr>
        <w:t>The Directors may at their absolute discretion enforce payment without any allowance for the value of the shares at the time of forfeiture or surrender or for any consideration received on their disposal. They may also waive payment in whole or in part.</w:t>
      </w:r>
    </w:p>
    <w:p>
      <w:pPr>
        <w:spacing w:after="0" w:line="3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20"/>
          <w:szCs w:val="20"/>
          <w:b w:val="1"/>
          <w:bCs w:val="1"/>
          <w:color w:val="auto"/>
        </w:rPr>
        <w:t>Lien on partly-paid shares</w:t>
      </w:r>
    </w:p>
    <w:p>
      <w:pPr>
        <w:spacing w:after="0" w:line="21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26.1</w:t>
      </w:r>
      <w:r>
        <w:rPr>
          <w:sz w:val="20"/>
          <w:szCs w:val="20"/>
          <w:color w:val="auto"/>
        </w:rPr>
        <w:tab/>
      </w:r>
      <w:r>
        <w:rPr>
          <w:rFonts w:ascii="Times New Roman" w:cs="Times New Roman" w:eastAsia="Times New Roman" w:hAnsi="Times New Roman"/>
          <w:sz w:val="20"/>
          <w:szCs w:val="20"/>
          <w:color w:val="auto"/>
        </w:rPr>
        <w:t>The Company shall have a lien on every share that is not fully-paid for all moneys in respect of the share’s nominal value, or any premium at which it was issued, that have not been paid to the Company and are payable immediately or at a fixed time in the future, whether or not a call has been made on such sums.</w:t>
      </w:r>
    </w:p>
    <w:p>
      <w:pPr>
        <w:spacing w:after="0" w:line="181" w:lineRule="exact"/>
        <w:rPr>
          <w:sz w:val="20"/>
          <w:szCs w:val="20"/>
          <w:color w:val="auto"/>
        </w:rPr>
      </w:pPr>
    </w:p>
    <w:p>
      <w:pPr>
        <w:jc w:val="both"/>
        <w:ind w:left="660" w:hanging="647"/>
        <w:spacing w:after="0" w:line="310"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26.2</w:t>
      </w:r>
      <w:r>
        <w:rPr>
          <w:sz w:val="20"/>
          <w:szCs w:val="20"/>
          <w:color w:val="auto"/>
        </w:rPr>
        <w:tab/>
      </w:r>
      <w:r>
        <w:rPr>
          <w:rFonts w:ascii="Times New Roman" w:cs="Times New Roman" w:eastAsia="Times New Roman" w:hAnsi="Times New Roman"/>
          <w:sz w:val="19"/>
          <w:szCs w:val="19"/>
          <w:color w:val="auto"/>
        </w:rPr>
        <w:t>The Company’s lien over a share takes priority over the rights of any third party and extends to any dividends or other sums payable by the Company in respect of that share (including any sale proceeds if that share is sold by the Company pursuant to these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18" w:name="page219"/>
    <w:bookmarkEnd w:id="218"/>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26.3</w:t>
      </w:r>
      <w:r>
        <w:rPr>
          <w:sz w:val="20"/>
          <w:szCs w:val="20"/>
          <w:color w:val="auto"/>
        </w:rPr>
        <w:tab/>
      </w:r>
      <w:r>
        <w:rPr>
          <w:rFonts w:ascii="Times New Roman" w:cs="Times New Roman" w:eastAsia="Times New Roman" w:hAnsi="Times New Roman"/>
          <w:sz w:val="20"/>
          <w:szCs w:val="20"/>
          <w:color w:val="auto"/>
        </w:rPr>
        <w:t>The Directors may waive any lien which has arisen and may resolve that any share shall be exempt wholly or partially from the provisions of this Article 26 for such period as the Directors decide.</w:t>
      </w:r>
    </w:p>
    <w:p>
      <w:pPr>
        <w:spacing w:after="0" w:line="3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20"/>
          <w:szCs w:val="20"/>
          <w:b w:val="1"/>
          <w:bCs w:val="1"/>
          <w:color w:val="auto"/>
        </w:rPr>
        <w:t>Sale of shares subject to lien</w:t>
      </w:r>
    </w:p>
    <w:p>
      <w:pPr>
        <w:spacing w:after="0" w:line="229"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27.1</w:t>
      </w:r>
      <w:r>
        <w:rPr>
          <w:sz w:val="20"/>
          <w:szCs w:val="20"/>
          <w:color w:val="auto"/>
        </w:rPr>
        <w:tab/>
      </w:r>
      <w:r>
        <w:rPr>
          <w:rFonts w:ascii="Times New Roman" w:cs="Times New Roman" w:eastAsia="Times New Roman" w:hAnsi="Times New Roman"/>
          <w:sz w:val="20"/>
          <w:szCs w:val="20"/>
          <w:color w:val="auto"/>
        </w:rPr>
        <w:t>The Company may sell, in such manner as the Directors decide, any share in respect of which an enforcement notice has been given if that notice has not been complied with.</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27.2</w:t>
      </w:r>
      <w:r>
        <w:rPr>
          <w:sz w:val="20"/>
          <w:szCs w:val="20"/>
          <w:color w:val="auto"/>
        </w:rPr>
        <w:tab/>
      </w:r>
      <w:r>
        <w:rPr>
          <w:rFonts w:ascii="Times New Roman" w:cs="Times New Roman" w:eastAsia="Times New Roman" w:hAnsi="Times New Roman"/>
          <w:sz w:val="19"/>
          <w:szCs w:val="19"/>
          <w:color w:val="auto"/>
        </w:rPr>
        <w:t>An enforcement notice: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27.2.1</w:t>
      </w:r>
      <w:r>
        <w:rPr>
          <w:sz w:val="20"/>
          <w:szCs w:val="20"/>
          <w:color w:val="auto"/>
        </w:rPr>
        <w:tab/>
      </w:r>
      <w:r>
        <w:rPr>
          <w:rFonts w:ascii="Times New Roman" w:cs="Times New Roman" w:eastAsia="Times New Roman" w:hAnsi="Times New Roman"/>
          <w:sz w:val="19"/>
          <w:szCs w:val="19"/>
          <w:color w:val="auto"/>
        </w:rPr>
        <w:t>may only be given if a sum in respect of which the lien exists is due and has not been paid;</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27.2.2</w:t>
      </w:r>
      <w:r>
        <w:rPr>
          <w:sz w:val="20"/>
          <w:szCs w:val="20"/>
          <w:color w:val="auto"/>
        </w:rPr>
        <w:tab/>
      </w:r>
      <w:r>
        <w:rPr>
          <w:rFonts w:ascii="Times New Roman" w:cs="Times New Roman" w:eastAsia="Times New Roman" w:hAnsi="Times New Roman"/>
          <w:sz w:val="19"/>
          <w:szCs w:val="19"/>
          <w:color w:val="auto"/>
        </w:rPr>
        <w:t>must specify the share concerned;</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27.2.3</w:t>
      </w:r>
      <w:r>
        <w:rPr>
          <w:sz w:val="20"/>
          <w:szCs w:val="20"/>
          <w:color w:val="auto"/>
        </w:rPr>
        <w:tab/>
      </w:r>
      <w:r>
        <w:rPr>
          <w:rFonts w:ascii="Times New Roman" w:cs="Times New Roman" w:eastAsia="Times New Roman" w:hAnsi="Times New Roman"/>
          <w:sz w:val="19"/>
          <w:szCs w:val="19"/>
          <w:color w:val="auto"/>
        </w:rPr>
        <w:t>must require payment of the sum due on a date not less than 14 clear days from the date of the notice;</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27.2.4</w:t>
      </w:r>
      <w:r>
        <w:rPr>
          <w:sz w:val="20"/>
          <w:szCs w:val="20"/>
          <w:color w:val="auto"/>
        </w:rPr>
        <w:tab/>
      </w:r>
      <w:r>
        <w:rPr>
          <w:rFonts w:ascii="Times New Roman" w:cs="Times New Roman" w:eastAsia="Times New Roman" w:hAnsi="Times New Roman"/>
          <w:sz w:val="19"/>
          <w:szCs w:val="19"/>
          <w:color w:val="auto"/>
        </w:rPr>
        <w:t>must be addressed to the holder of, or person entitled to, that share; and</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27.2.5</w:t>
      </w:r>
      <w:r>
        <w:rPr>
          <w:sz w:val="20"/>
          <w:szCs w:val="20"/>
          <w:color w:val="auto"/>
        </w:rPr>
        <w:tab/>
      </w:r>
      <w:r>
        <w:rPr>
          <w:rFonts w:ascii="Times New Roman" w:cs="Times New Roman" w:eastAsia="Times New Roman" w:hAnsi="Times New Roman"/>
          <w:sz w:val="19"/>
          <w:szCs w:val="19"/>
          <w:color w:val="auto"/>
        </w:rPr>
        <w:t>must give notice of the Company’s intention to sell the share if the notice is not complied with.</w:t>
      </w:r>
    </w:p>
    <w:p>
      <w:pPr>
        <w:spacing w:after="0" w:line="237"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27.3</w:t>
      </w:r>
      <w:r>
        <w:rPr>
          <w:sz w:val="20"/>
          <w:szCs w:val="20"/>
          <w:color w:val="auto"/>
        </w:rPr>
        <w:tab/>
      </w:r>
      <w:r>
        <w:rPr>
          <w:rFonts w:ascii="Times New Roman" w:cs="Times New Roman" w:eastAsia="Times New Roman" w:hAnsi="Times New Roman"/>
          <w:sz w:val="20"/>
          <w:szCs w:val="20"/>
          <w:color w:val="auto"/>
        </w:rPr>
        <w:t>For the purpose of giving effect to any such sale, the Directors may authorise any person to transfer the shares sold to the purchaser or its nominee.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27.4</w:t>
      </w:r>
      <w:r>
        <w:rPr>
          <w:sz w:val="20"/>
          <w:szCs w:val="20"/>
          <w:color w:val="auto"/>
        </w:rPr>
        <w:tab/>
      </w:r>
      <w:r>
        <w:rPr>
          <w:rFonts w:ascii="Times New Roman" w:cs="Times New Roman" w:eastAsia="Times New Roman" w:hAnsi="Times New Roman"/>
          <w:sz w:val="19"/>
          <w:szCs w:val="19"/>
          <w:color w:val="auto"/>
        </w:rPr>
        <w:t>The net proceeds of such sale (after payment of the costs of the sale and of enforcing the lien) shall be applied:</w:t>
      </w:r>
    </w:p>
    <w:p>
      <w:pPr>
        <w:spacing w:after="0" w:line="220"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27.4.1</w:t>
      </w:r>
      <w:r>
        <w:rPr>
          <w:sz w:val="20"/>
          <w:szCs w:val="20"/>
          <w:color w:val="auto"/>
        </w:rPr>
        <w:tab/>
      </w:r>
      <w:r>
        <w:rPr>
          <w:rFonts w:ascii="Times New Roman" w:cs="Times New Roman" w:eastAsia="Times New Roman" w:hAnsi="Times New Roman"/>
          <w:sz w:val="20"/>
          <w:szCs w:val="20"/>
          <w:color w:val="auto"/>
        </w:rPr>
        <w:t>first, in or towards payment or satisfaction of the amount in respect of which the lien exists, to the extent that amount was due on the date of the enforcement notice; and</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27.4.2</w:t>
      </w:r>
      <w:r>
        <w:rPr>
          <w:sz w:val="20"/>
          <w:szCs w:val="20"/>
          <w:color w:val="auto"/>
        </w:rPr>
        <w:tab/>
      </w:r>
      <w:r>
        <w:rPr>
          <w:rFonts w:ascii="Times New Roman" w:cs="Times New Roman" w:eastAsia="Times New Roman" w:hAnsi="Times New Roman"/>
          <w:sz w:val="19"/>
          <w:szCs w:val="19"/>
          <w:color w:val="auto"/>
        </w:rPr>
        <w:t>secondly, to the person entitled to the shares immediately prior to the sale, provided that:</w:t>
      </w:r>
    </w:p>
    <w:p>
      <w:pPr>
        <w:spacing w:after="0" w:line="227" w:lineRule="exact"/>
        <w:rPr>
          <w:sz w:val="20"/>
          <w:szCs w:val="20"/>
          <w:color w:val="auto"/>
        </w:rPr>
      </w:pPr>
    </w:p>
    <w:p>
      <w:pPr>
        <w:ind w:left="1960" w:hanging="656"/>
        <w:spacing w:after="0" w:line="283" w:lineRule="auto"/>
        <w:tabs>
          <w:tab w:leader="none" w:pos="195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person has first delivered the certificate or certificates in respect of the shares sold to the Company for cancellation or complied with such conditions as to evidence and indemnity as the Directors may think fit; and</w:t>
      </w:r>
    </w:p>
    <w:p>
      <w:pPr>
        <w:spacing w:after="0" w:line="146" w:lineRule="exact"/>
        <w:rPr>
          <w:rFonts w:ascii="Times New Roman" w:cs="Times New Roman" w:eastAsia="Times New Roman" w:hAnsi="Times New Roman"/>
          <w:sz w:val="20"/>
          <w:szCs w:val="20"/>
          <w:color w:val="auto"/>
        </w:rPr>
      </w:pPr>
    </w:p>
    <w:p>
      <w:pPr>
        <w:jc w:val="both"/>
        <w:ind w:left="1960" w:hanging="656"/>
        <w:spacing w:after="0" w:line="310" w:lineRule="auto"/>
        <w:tabs>
          <w:tab w:leader="none" w:pos="1959"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a lien over such proceeds (equivalent to that which existed upon the shares prior to the sale) in respect of sums which become or became due after the date of the enforcement notice in respect of the shares sold.</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27.5</w:t>
      </w:r>
      <w:r>
        <w:rPr>
          <w:sz w:val="20"/>
          <w:szCs w:val="20"/>
          <w:color w:val="auto"/>
        </w:rPr>
        <w:tab/>
      </w:r>
      <w:r>
        <w:rPr>
          <w:rFonts w:ascii="Times New Roman" w:cs="Times New Roman" w:eastAsia="Times New Roman" w:hAnsi="Times New Roman"/>
          <w:sz w:val="19"/>
          <w:szCs w:val="19"/>
          <w:color w:val="auto"/>
        </w:rPr>
        <w:t>The transferee of the shares has no obligation to ensure that the purchase money is distributed in accordance with these Articles.</w:t>
      </w:r>
    </w:p>
    <w:p>
      <w:pPr>
        <w:spacing w:after="0" w:line="229"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27.6</w:t>
      </w:r>
      <w:r>
        <w:rPr>
          <w:sz w:val="20"/>
          <w:szCs w:val="20"/>
          <w:color w:val="auto"/>
        </w:rPr>
        <w:tab/>
      </w:r>
      <w:r>
        <w:rPr>
          <w:rFonts w:ascii="Times New Roman" w:cs="Times New Roman" w:eastAsia="Times New Roman" w:hAnsi="Times New Roman"/>
          <w:sz w:val="20"/>
          <w:szCs w:val="20"/>
          <w:color w:val="auto"/>
        </w:rPr>
        <w:t>The transferee’s title to the shares shall not be affected by any irregularity in or invalidity of the forfeiture, surrender or sale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219" w:name="page220"/>
    <w:bookmarkEnd w:id="219"/>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Evidence of forfeiture</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statutory declaration that the declarant is a Director or the Secretary and that a share has been duly forfeited or surrendered or sold to satisfy a lien of the Company on a date stated in the declaration shall be conclusive evidence of the facts stated in it as against all persons claiming to be entitled to the share. Subject to compliance with any other transfer formalities required by these Articles or by law, such declaration shall constitute a good title to the share.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Variation of Rights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29</w:t>
      </w:r>
      <w:r>
        <w:rPr>
          <w:sz w:val="20"/>
          <w:szCs w:val="20"/>
          <w:color w:val="auto"/>
        </w:rPr>
        <w:tab/>
      </w:r>
      <w:r>
        <w:rPr>
          <w:rFonts w:ascii="Times New Roman" w:cs="Times New Roman" w:eastAsia="Times New Roman" w:hAnsi="Times New Roman"/>
          <w:sz w:val="20"/>
          <w:szCs w:val="20"/>
          <w:b w:val="1"/>
          <w:bCs w:val="1"/>
          <w:color w:val="auto"/>
        </w:rPr>
        <w:t>Manner of variation of rights</w:t>
      </w:r>
    </w:p>
    <w:p>
      <w:pPr>
        <w:spacing w:after="0" w:line="216"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29.1</w:t>
      </w:r>
      <w:r>
        <w:rPr>
          <w:sz w:val="20"/>
          <w:szCs w:val="20"/>
          <w:color w:val="auto"/>
        </w:rPr>
        <w:tab/>
      </w:r>
      <w:r>
        <w:rPr>
          <w:rFonts w:ascii="Times New Roman" w:cs="Times New Roman" w:eastAsia="Times New Roman" w:hAnsi="Times New Roman"/>
          <w:sz w:val="20"/>
          <w:szCs w:val="20"/>
          <w:color w:val="auto"/>
        </w:rPr>
        <w:t>Whenever the share capital of the Company is divided into different classes of shares, the special rights attached to any class may be varied or abrogated:</w:t>
      </w:r>
    </w:p>
    <w:p>
      <w:pPr>
        <w:spacing w:after="0" w:line="150"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29.1.1</w:t>
      </w:r>
      <w:r>
        <w:rPr>
          <w:sz w:val="20"/>
          <w:szCs w:val="20"/>
          <w:color w:val="auto"/>
        </w:rPr>
        <w:tab/>
      </w:r>
      <w:r>
        <w:rPr>
          <w:rFonts w:ascii="Times New Roman" w:cs="Times New Roman" w:eastAsia="Times New Roman" w:hAnsi="Times New Roman"/>
          <w:sz w:val="20"/>
          <w:szCs w:val="20"/>
          <w:color w:val="auto"/>
        </w:rPr>
        <w:t>with the consent in writing of the holders of three-quarters in nominal value of the issued shares of the class, excluding any shares held as treasury shares; or</w:t>
      </w:r>
    </w:p>
    <w:p>
      <w:pPr>
        <w:spacing w:after="0" w:line="160" w:lineRule="exact"/>
        <w:rPr>
          <w:sz w:val="20"/>
          <w:szCs w:val="20"/>
          <w:color w:val="auto"/>
        </w:rPr>
      </w:pPr>
    </w:p>
    <w:p>
      <w:pPr>
        <w:ind w:left="1300" w:right="2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29.1.2</w:t>
      </w:r>
      <w:r>
        <w:rPr>
          <w:sz w:val="20"/>
          <w:szCs w:val="20"/>
          <w:color w:val="auto"/>
        </w:rPr>
        <w:tab/>
      </w:r>
      <w:r>
        <w:rPr>
          <w:rFonts w:ascii="Times New Roman" w:cs="Times New Roman" w:eastAsia="Times New Roman" w:hAnsi="Times New Roman"/>
          <w:sz w:val="20"/>
          <w:szCs w:val="20"/>
          <w:color w:val="auto"/>
        </w:rPr>
        <w:t>with the sanction of a special resolution passed at a separate meeting of the holders of the shares of the class (but not otherwise),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may be so varied or abrogated either whilst the Company is a going concern or during or in contemplation of a winding-up.</w:t>
      </w:r>
    </w:p>
    <w:p>
      <w:pPr>
        <w:spacing w:after="0" w:line="212" w:lineRule="exact"/>
        <w:rPr>
          <w:sz w:val="20"/>
          <w:szCs w:val="20"/>
          <w:color w:val="auto"/>
        </w:rPr>
      </w:pPr>
    </w:p>
    <w:p>
      <w:pPr>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29.2</w:t>
      </w:r>
      <w:r>
        <w:rPr>
          <w:sz w:val="20"/>
          <w:szCs w:val="20"/>
          <w:color w:val="auto"/>
        </w:rPr>
        <w:tab/>
      </w:r>
      <w:r>
        <w:rPr>
          <w:rFonts w:ascii="Times New Roman" w:cs="Times New Roman" w:eastAsia="Times New Roman" w:hAnsi="Times New Roman"/>
          <w:sz w:val="20"/>
          <w:szCs w:val="20"/>
          <w:color w:val="auto"/>
        </w:rPr>
        <w:t>The provisions of these Articles relating to General Meetings and to the proceedings at such meetings shall apply to separate meetings of a class of shareholders (with only such changes as are necessary), except that:</w:t>
      </w:r>
    </w:p>
    <w:p>
      <w:pPr>
        <w:spacing w:after="0" w:line="164" w:lineRule="exact"/>
        <w:rPr>
          <w:sz w:val="20"/>
          <w:szCs w:val="20"/>
          <w:color w:val="auto"/>
        </w:rPr>
      </w:pPr>
    </w:p>
    <w:p>
      <w:pPr>
        <w:ind w:left="1300" w:right="2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29.2.1</w:t>
      </w:r>
      <w:r>
        <w:rPr>
          <w:sz w:val="20"/>
          <w:szCs w:val="20"/>
          <w:color w:val="auto"/>
        </w:rPr>
        <w:tab/>
      </w:r>
      <w:r>
        <w:rPr>
          <w:rFonts w:ascii="Times New Roman" w:cs="Times New Roman" w:eastAsia="Times New Roman" w:hAnsi="Times New Roman"/>
          <w:sz w:val="20"/>
          <w:szCs w:val="20"/>
          <w:color w:val="auto"/>
        </w:rPr>
        <w:t>the necessary quorum at a separate meeting shall be two persons at least, holding or representing by proxy at least one-third in nominal value of the issued shares of the class;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29.2.2</w:t>
      </w:r>
      <w:r>
        <w:rPr>
          <w:sz w:val="20"/>
          <w:szCs w:val="20"/>
          <w:color w:val="auto"/>
        </w:rPr>
        <w:tab/>
      </w:r>
      <w:r>
        <w:rPr>
          <w:rFonts w:ascii="Times New Roman" w:cs="Times New Roman" w:eastAsia="Times New Roman" w:hAnsi="Times New Roman"/>
          <w:sz w:val="19"/>
          <w:szCs w:val="19"/>
          <w:color w:val="auto"/>
        </w:rPr>
        <w:t>at any adjourned meeting any holder of shares of the class present in person or by proxy shall be a quorum;</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29.2.3</w:t>
      </w:r>
      <w:r>
        <w:rPr>
          <w:sz w:val="20"/>
          <w:szCs w:val="20"/>
          <w:color w:val="auto"/>
        </w:rPr>
        <w:tab/>
      </w:r>
      <w:r>
        <w:rPr>
          <w:rFonts w:ascii="Times New Roman" w:cs="Times New Roman" w:eastAsia="Times New Roman" w:hAnsi="Times New Roman"/>
          <w:sz w:val="19"/>
          <w:szCs w:val="19"/>
          <w:color w:val="auto"/>
        </w:rPr>
        <w:t>any holder of shares of the class present in person or by proxy may demand a poll;</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29.2.4</w:t>
      </w:r>
      <w:r>
        <w:rPr>
          <w:sz w:val="20"/>
          <w:szCs w:val="20"/>
          <w:color w:val="auto"/>
        </w:rPr>
        <w:tab/>
      </w:r>
      <w:r>
        <w:rPr>
          <w:rFonts w:ascii="Times New Roman" w:cs="Times New Roman" w:eastAsia="Times New Roman" w:hAnsi="Times New Roman"/>
          <w:sz w:val="19"/>
          <w:szCs w:val="19"/>
          <w:color w:val="auto"/>
        </w:rPr>
        <w:t>every such holder shall on a poll have one vote for every share of the class held by him; and</w:t>
      </w:r>
    </w:p>
    <w:p>
      <w:pPr>
        <w:spacing w:after="0" w:line="227"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29.2.5</w:t>
      </w:r>
      <w:r>
        <w:rPr>
          <w:sz w:val="20"/>
          <w:szCs w:val="20"/>
          <w:color w:val="auto"/>
        </w:rPr>
        <w:tab/>
      </w:r>
      <w:r>
        <w:rPr>
          <w:rFonts w:ascii="Times New Roman" w:cs="Times New Roman" w:eastAsia="Times New Roman" w:hAnsi="Times New Roman"/>
          <w:sz w:val="20"/>
          <w:szCs w:val="20"/>
          <w:color w:val="auto"/>
        </w:rPr>
        <w:t>if a meeting is adjourned for any reason including a lack of quorum, the adjourned meeting may be held less than ten clear days after the original meeting notwithstanding Article 45.2.</w:t>
      </w:r>
    </w:p>
    <w:p>
      <w:pPr>
        <w:spacing w:after="0" w:line="156" w:lineRule="exact"/>
        <w:rPr>
          <w:sz w:val="20"/>
          <w:szCs w:val="20"/>
          <w:color w:val="auto"/>
        </w:rPr>
      </w:pPr>
    </w:p>
    <w:p>
      <w:pPr>
        <w:ind w:left="660" w:right="2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29.3</w:t>
      </w:r>
      <w:r>
        <w:rPr>
          <w:sz w:val="20"/>
          <w:szCs w:val="20"/>
          <w:color w:val="auto"/>
        </w:rPr>
        <w:tab/>
      </w:r>
      <w:r>
        <w:rPr>
          <w:rFonts w:ascii="Times New Roman" w:cs="Times New Roman" w:eastAsia="Times New Roman" w:hAnsi="Times New Roman"/>
          <w:sz w:val="19"/>
          <w:szCs w:val="19"/>
          <w:color w:val="auto"/>
        </w:rPr>
        <w:t>The provisions of this Article 29 shall apply to the variation or abrogation of the special rights attached to some only of the shares of any class as if each group of shares of the class differently treated form a separate class, the special rights of which are to be varied.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w:t>
      </w:r>
      <w:r>
        <w:rPr>
          <w:sz w:val="20"/>
          <w:szCs w:val="20"/>
          <w:color w:val="auto"/>
        </w:rPr>
        <w:tab/>
      </w:r>
      <w:r>
        <w:rPr>
          <w:rFonts w:ascii="Times New Roman" w:cs="Times New Roman" w:eastAsia="Times New Roman" w:hAnsi="Times New Roman"/>
          <w:sz w:val="20"/>
          <w:szCs w:val="20"/>
          <w:b w:val="1"/>
          <w:bCs w:val="1"/>
          <w:color w:val="auto"/>
        </w:rPr>
        <w:t>Matters not constituting variation of rights</w:t>
      </w:r>
    </w:p>
    <w:p>
      <w:pPr>
        <w:spacing w:after="0" w:line="233"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special rights attached to any class of shares having preferential rights shall not, unless otherwise expressly provided by their terms of issue, be deemed to be varied by:</w:t>
      </w:r>
    </w:p>
    <w:p>
      <w:pPr>
        <w:spacing w:after="0" w:line="16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20"/>
          <w:szCs w:val="20"/>
          <w:color w:val="auto"/>
        </w:rPr>
        <w:t>the creation or issue of further shares ranking, as regards participation in the profits or assets of the Company, in some or all respects equally with them but in no respect in priority to them; or</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19"/>
          <w:szCs w:val="19"/>
          <w:color w:val="auto"/>
        </w:rPr>
        <w:t>the purchase or redemption by the Company of any of its own shares.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Transfer of Shares</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20"/>
          <w:szCs w:val="20"/>
          <w:b w:val="1"/>
          <w:bCs w:val="1"/>
          <w:color w:val="auto"/>
        </w:rPr>
        <w:t>Form of transfer</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31.1</w:t>
      </w:r>
      <w:r>
        <w:rPr>
          <w:sz w:val="20"/>
          <w:szCs w:val="20"/>
          <w:color w:val="auto"/>
        </w:rPr>
        <w:tab/>
      </w:r>
      <w:r>
        <w:rPr>
          <w:rFonts w:ascii="Times New Roman" w:cs="Times New Roman" w:eastAsia="Times New Roman" w:hAnsi="Times New Roman"/>
          <w:sz w:val="20"/>
          <w:szCs w:val="20"/>
          <w:color w:val="auto"/>
        </w:rPr>
        <w:t>All transfers of shares which are in certificated form may be effected by transfer in writing in any usual or common form or in any other form acceptable to the Directors.</w:t>
      </w:r>
    </w:p>
    <w:p>
      <w:pPr>
        <w:spacing w:after="0" w:line="173"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31.2</w:t>
      </w:r>
      <w:r>
        <w:rPr>
          <w:sz w:val="20"/>
          <w:szCs w:val="20"/>
          <w:color w:val="auto"/>
        </w:rPr>
        <w:tab/>
      </w:r>
      <w:r>
        <w:rPr>
          <w:rFonts w:ascii="Times New Roman" w:cs="Times New Roman" w:eastAsia="Times New Roman" w:hAnsi="Times New Roman"/>
          <w:sz w:val="20"/>
          <w:szCs w:val="20"/>
          <w:color w:val="auto"/>
        </w:rPr>
        <w:t>The instrument of transfer shall be signed by or on behalf of the transferor and, if any of the shares are not fully-paid shares, by or on behalf of the transferee.</w:t>
      </w:r>
    </w:p>
    <w:p>
      <w:pPr>
        <w:spacing w:after="0" w:line="14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31.3</w:t>
      </w:r>
      <w:r>
        <w:rPr>
          <w:sz w:val="20"/>
          <w:szCs w:val="20"/>
          <w:color w:val="auto"/>
        </w:rPr>
        <w:tab/>
      </w:r>
      <w:r>
        <w:rPr>
          <w:rFonts w:ascii="Times New Roman" w:cs="Times New Roman" w:eastAsia="Times New Roman" w:hAnsi="Times New Roman"/>
          <w:sz w:val="20"/>
          <w:szCs w:val="20"/>
          <w:color w:val="auto"/>
        </w:rPr>
        <w:t>The transferor shall remain the holder of the shares concerned until the name of the transferee is entered in the Register in respect of those shares.</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31.4</w:t>
      </w:r>
      <w:r>
        <w:rPr>
          <w:sz w:val="20"/>
          <w:szCs w:val="20"/>
          <w:color w:val="auto"/>
        </w:rPr>
        <w:tab/>
      </w:r>
      <w:r>
        <w:rPr>
          <w:rFonts w:ascii="Times New Roman" w:cs="Times New Roman" w:eastAsia="Times New Roman" w:hAnsi="Times New Roman"/>
          <w:sz w:val="19"/>
          <w:szCs w:val="19"/>
          <w:color w:val="auto"/>
        </w:rPr>
        <w:t>All instruments of transfer which are registered may be retained by the Company.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31.5</w:t>
      </w:r>
      <w:r>
        <w:rPr>
          <w:sz w:val="20"/>
          <w:szCs w:val="20"/>
          <w:color w:val="auto"/>
        </w:rPr>
        <w:tab/>
      </w:r>
      <w:r>
        <w:rPr>
          <w:rFonts w:ascii="Times New Roman" w:cs="Times New Roman" w:eastAsia="Times New Roman" w:hAnsi="Times New Roman"/>
          <w:sz w:val="20"/>
          <w:szCs w:val="20"/>
          <w:color w:val="auto"/>
        </w:rPr>
        <w:t>All transfers of shares which are in uncertificated form shall be effected by means of a relevant system in such manner provided for, and subject as provided in, the Uncertificated Securities Rules. No provision of these Articles shall apply in respect of an uncertificated share to the extent that it requires or contemplates the effecting of a transfer by an instrument in writing or the production of a certificate for the share to be transferred.</w:t>
      </w:r>
    </w:p>
    <w:p>
      <w:pPr>
        <w:spacing w:after="0" w:line="3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20"/>
          <w:szCs w:val="20"/>
          <w:b w:val="1"/>
          <w:bCs w:val="1"/>
          <w:color w:val="auto"/>
        </w:rPr>
        <w:t>Right to refuse registration</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32.1</w:t>
      </w:r>
      <w:r>
        <w:rPr>
          <w:sz w:val="20"/>
          <w:szCs w:val="20"/>
          <w:color w:val="auto"/>
        </w:rPr>
        <w:tab/>
      </w:r>
      <w:r>
        <w:rPr>
          <w:rFonts w:ascii="Times New Roman" w:cs="Times New Roman" w:eastAsia="Times New Roman" w:hAnsi="Times New Roman"/>
          <w:sz w:val="20"/>
          <w:szCs w:val="20"/>
          <w:color w:val="auto"/>
        </w:rPr>
        <w:t>The Directors may decline to register any transfer of a share in certificated form (or renunciation of a renounceable letter of allotment) unless: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32.1.1</w:t>
      </w:r>
      <w:r>
        <w:rPr>
          <w:sz w:val="20"/>
          <w:szCs w:val="20"/>
          <w:color w:val="auto"/>
        </w:rPr>
        <w:tab/>
      </w:r>
      <w:r>
        <w:rPr>
          <w:rFonts w:ascii="Times New Roman" w:cs="Times New Roman" w:eastAsia="Times New Roman" w:hAnsi="Times New Roman"/>
          <w:sz w:val="19"/>
          <w:szCs w:val="19"/>
          <w:color w:val="auto"/>
        </w:rPr>
        <w:t>it is for a share that is fully paid up;</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32.1.2</w:t>
      </w:r>
      <w:r>
        <w:rPr>
          <w:sz w:val="20"/>
          <w:szCs w:val="20"/>
          <w:color w:val="auto"/>
        </w:rPr>
        <w:tab/>
      </w:r>
      <w:r>
        <w:rPr>
          <w:rFonts w:ascii="Times New Roman" w:cs="Times New Roman" w:eastAsia="Times New Roman" w:hAnsi="Times New Roman"/>
          <w:sz w:val="19"/>
          <w:szCs w:val="19"/>
          <w:color w:val="auto"/>
        </w:rPr>
        <w:t>it is for a share upon which the Company has no lien;</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32.1.3</w:t>
      </w:r>
      <w:r>
        <w:rPr>
          <w:sz w:val="20"/>
          <w:szCs w:val="20"/>
          <w:color w:val="auto"/>
        </w:rPr>
        <w:tab/>
      </w:r>
      <w:r>
        <w:rPr>
          <w:rFonts w:ascii="Times New Roman" w:cs="Times New Roman" w:eastAsia="Times New Roman" w:hAnsi="Times New Roman"/>
          <w:sz w:val="19"/>
          <w:szCs w:val="19"/>
          <w:color w:val="auto"/>
        </w:rPr>
        <w:t>the instrument of transfer is in respect of only one class of share;</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32.1.4</w:t>
      </w:r>
      <w:r>
        <w:rPr>
          <w:sz w:val="20"/>
          <w:szCs w:val="20"/>
          <w:color w:val="auto"/>
        </w:rPr>
        <w:tab/>
      </w:r>
      <w:r>
        <w:rPr>
          <w:rFonts w:ascii="Times New Roman" w:cs="Times New Roman" w:eastAsia="Times New Roman" w:hAnsi="Times New Roman"/>
          <w:sz w:val="19"/>
          <w:szCs w:val="19"/>
          <w:color w:val="auto"/>
        </w:rPr>
        <w:t>it is in favour of a single transferee or no more than four joint transferees; and</w:t>
      </w:r>
    </w:p>
    <w:p>
      <w:pPr>
        <w:spacing w:after="0" w:line="22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32.1.5</w:t>
      </w:r>
      <w:r>
        <w:rPr>
          <w:sz w:val="20"/>
          <w:szCs w:val="20"/>
          <w:color w:val="auto"/>
        </w:rPr>
        <w:tab/>
      </w:r>
      <w:r>
        <w:rPr>
          <w:rFonts w:ascii="Times New Roman" w:cs="Times New Roman" w:eastAsia="Times New Roman" w:hAnsi="Times New Roman"/>
          <w:sz w:val="20"/>
          <w:szCs w:val="20"/>
          <w:color w:val="auto"/>
        </w:rPr>
        <w:t>the instrument of transfer is lodged (duly stamped if required) at the Transfer Office accompanied (except in the case of a transfer by a person to whom the Company is not required by law to issue a certificate and to whom a certificate has not been issued or in the case of a renunciation) by the relevant share certificate(s) or such other evidence as the Directors may reasonably require to show the right of the transferor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type w:val="continuous"/>
        </w:sectPr>
      </w:pPr>
    </w:p>
    <w:bookmarkStart w:id="221" w:name="page222"/>
    <w:bookmarkEnd w:id="221"/>
    <w:p>
      <w:pPr>
        <w:ind w:left="1300" w:right="20"/>
        <w:spacing w:after="0" w:line="283" w:lineRule="auto"/>
        <w:rPr>
          <w:sz w:val="20"/>
          <w:szCs w:val="20"/>
          <w:color w:val="auto"/>
        </w:rPr>
      </w:pPr>
      <w:r>
        <w:rPr>
          <w:rFonts w:ascii="Times New Roman" w:cs="Times New Roman" w:eastAsia="Times New Roman" w:hAnsi="Times New Roman"/>
          <w:sz w:val="20"/>
          <w:szCs w:val="20"/>
          <w:color w:val="auto"/>
        </w:rPr>
        <w:t>(or person renouncing) to make the transfer or, if the instrument of transfer is executed by some other person on his behalf, the authority of that person to do so.</w:t>
      </w:r>
    </w:p>
    <w:p>
      <w:pPr>
        <w:spacing w:after="0" w:line="14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32.2</w:t>
      </w:r>
      <w:r>
        <w:rPr>
          <w:sz w:val="20"/>
          <w:szCs w:val="20"/>
          <w:color w:val="auto"/>
        </w:rPr>
        <w:tab/>
      </w:r>
      <w:r>
        <w:rPr>
          <w:rFonts w:ascii="Times New Roman" w:cs="Times New Roman" w:eastAsia="Times New Roman" w:hAnsi="Times New Roman"/>
          <w:sz w:val="20"/>
          <w:szCs w:val="20"/>
          <w:color w:val="auto"/>
        </w:rPr>
        <w:t>The Directors shall not refuse to register any transfer or renunciation of partly paid shares which are admitted to, or for which depositary instruments representing such shares are admitted to, Nasdaq, on the grounds that they are partly paid shares in circumstances where such refusal would prevent dealings in the shares of that class from taking place on an open and proper basis.</w:t>
      </w:r>
    </w:p>
    <w:p>
      <w:pPr>
        <w:spacing w:after="0" w:line="181"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32.3</w:t>
      </w:r>
      <w:r>
        <w:rPr>
          <w:sz w:val="20"/>
          <w:szCs w:val="20"/>
          <w:color w:val="auto"/>
        </w:rPr>
        <w:tab/>
      </w:r>
      <w:r>
        <w:rPr>
          <w:rFonts w:ascii="Times New Roman" w:cs="Times New Roman" w:eastAsia="Times New Roman" w:hAnsi="Times New Roman"/>
          <w:sz w:val="20"/>
          <w:szCs w:val="20"/>
          <w:color w:val="auto"/>
        </w:rPr>
        <w:t>The Directors may refuse to register a transfer of uncertificated shares in any circumstances that are allowed or required by the Uncertificated Securities Rules and the relevant system.</w:t>
      </w:r>
    </w:p>
    <w:p>
      <w:pPr>
        <w:spacing w:after="0" w:line="362"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fee on registration</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fee will be charged by the Company in respect of the registration of any transfer or other document relating to or affecting the title to any shares or otherwise for making any entry in the Register affecting the title to any shares.</w:t>
      </w:r>
    </w:p>
    <w:p>
      <w:pPr>
        <w:spacing w:after="0" w:line="38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Branch register</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Company transacts business in a country or territory referred to in Section 129 of the Companies Act 2006, it may arrange for a branch register of the members resident in that country or territory to be kept there.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Transmission of Shares</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20"/>
          <w:szCs w:val="20"/>
          <w:b w:val="1"/>
          <w:bCs w:val="1"/>
          <w:color w:val="auto"/>
        </w:rPr>
        <w:t>Persons entitled to shares on death</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35.1</w:t>
      </w:r>
      <w:r>
        <w:rPr>
          <w:sz w:val="20"/>
          <w:szCs w:val="20"/>
          <w:color w:val="auto"/>
        </w:rPr>
        <w:tab/>
      </w:r>
      <w:r>
        <w:rPr>
          <w:rFonts w:ascii="Times New Roman" w:cs="Times New Roman" w:eastAsia="Times New Roman" w:hAnsi="Times New Roman"/>
          <w:sz w:val="19"/>
          <w:szCs w:val="19"/>
          <w:color w:val="auto"/>
        </w:rPr>
        <w:t>If a member dies the only persons the Company shall recognise as having any title to his interest in the shares shall be:</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35.1.1</w:t>
      </w:r>
      <w:r>
        <w:rPr>
          <w:sz w:val="20"/>
          <w:szCs w:val="20"/>
          <w:color w:val="auto"/>
        </w:rPr>
        <w:tab/>
      </w:r>
      <w:r>
        <w:rPr>
          <w:rFonts w:ascii="Times New Roman" w:cs="Times New Roman" w:eastAsia="Times New Roman" w:hAnsi="Times New Roman"/>
          <w:sz w:val="19"/>
          <w:szCs w:val="19"/>
          <w:color w:val="auto"/>
        </w:rPr>
        <w:t>the survivors or survivor where the deceased was a joint holder; and</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35.1.2</w:t>
      </w:r>
      <w:r>
        <w:rPr>
          <w:sz w:val="20"/>
          <w:szCs w:val="20"/>
          <w:color w:val="auto"/>
        </w:rPr>
        <w:tab/>
      </w:r>
      <w:r>
        <w:rPr>
          <w:rFonts w:ascii="Times New Roman" w:cs="Times New Roman" w:eastAsia="Times New Roman" w:hAnsi="Times New Roman"/>
          <w:sz w:val="19"/>
          <w:szCs w:val="19"/>
          <w:color w:val="auto"/>
        </w:rPr>
        <w:t>the executors or administrators of the deceased where he was a sole or only surviving holder.</w:t>
      </w:r>
    </w:p>
    <w:p>
      <w:pPr>
        <w:spacing w:after="0" w:line="237"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35.2</w:t>
      </w:r>
      <w:r>
        <w:rPr>
          <w:sz w:val="20"/>
          <w:szCs w:val="20"/>
          <w:color w:val="auto"/>
        </w:rPr>
        <w:tab/>
      </w:r>
      <w:r>
        <w:rPr>
          <w:rFonts w:ascii="Times New Roman" w:cs="Times New Roman" w:eastAsia="Times New Roman" w:hAnsi="Times New Roman"/>
          <w:sz w:val="20"/>
          <w:szCs w:val="20"/>
          <w:color w:val="auto"/>
        </w:rPr>
        <w:t>Nothing in this Article 35 shall release the estate of a deceased member (whether sole or joint) from any liability in respect of any share held by him.</w:t>
      </w:r>
    </w:p>
    <w:p>
      <w:pPr>
        <w:spacing w:after="0" w:line="3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36</w:t>
      </w:r>
      <w:r>
        <w:rPr>
          <w:sz w:val="20"/>
          <w:szCs w:val="20"/>
          <w:color w:val="auto"/>
        </w:rPr>
        <w:tab/>
      </w:r>
      <w:r>
        <w:rPr>
          <w:rFonts w:ascii="Times New Roman" w:cs="Times New Roman" w:eastAsia="Times New Roman" w:hAnsi="Times New Roman"/>
          <w:sz w:val="20"/>
          <w:szCs w:val="20"/>
          <w:b w:val="1"/>
          <w:bCs w:val="1"/>
          <w:color w:val="auto"/>
        </w:rPr>
        <w:t>Election by persons entitled by transmission</w:t>
      </w:r>
    </w:p>
    <w:p>
      <w:pPr>
        <w:spacing w:after="0" w:line="216"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36.1</w:t>
      </w:r>
      <w:r>
        <w:rPr>
          <w:sz w:val="20"/>
          <w:szCs w:val="20"/>
          <w:color w:val="auto"/>
        </w:rPr>
        <w:tab/>
      </w:r>
      <w:r>
        <w:rPr>
          <w:rFonts w:ascii="Times New Roman" w:cs="Times New Roman" w:eastAsia="Times New Roman" w:hAnsi="Times New Roman"/>
          <w:sz w:val="20"/>
          <w:szCs w:val="20"/>
          <w:color w:val="auto"/>
        </w:rPr>
        <w:t>A person becoming entitled to a share in consequence of the death or bankruptcy of a member or otherwise by operation of law may either:</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36.1.1</w:t>
      </w:r>
      <w:r>
        <w:rPr>
          <w:sz w:val="20"/>
          <w:szCs w:val="20"/>
          <w:color w:val="auto"/>
        </w:rPr>
        <w:tab/>
      </w:r>
      <w:r>
        <w:rPr>
          <w:rFonts w:ascii="Times New Roman" w:cs="Times New Roman" w:eastAsia="Times New Roman" w:hAnsi="Times New Roman"/>
          <w:sz w:val="19"/>
          <w:szCs w:val="19"/>
          <w:color w:val="auto"/>
        </w:rPr>
        <w:t>be registered himself as holder of the share upon giving to the Company notice in writing to that effect; or</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36.1.2</w:t>
      </w:r>
      <w:r>
        <w:rPr>
          <w:sz w:val="20"/>
          <w:szCs w:val="20"/>
          <w:color w:val="auto"/>
        </w:rPr>
        <w:tab/>
      </w:r>
      <w:r>
        <w:rPr>
          <w:rFonts w:ascii="Times New Roman" w:cs="Times New Roman" w:eastAsia="Times New Roman" w:hAnsi="Times New Roman"/>
          <w:sz w:val="19"/>
          <w:szCs w:val="19"/>
          <w:color w:val="auto"/>
        </w:rPr>
        <w:t>transfer such share to some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20"/>
          <w:szCs w:val="20"/>
          <w:color w:val="auto"/>
        </w:rPr>
        <w:t>upon supplying to the Company such evidence as the Directors may reasonably require to show his title to the share.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36.2</w:t>
      </w:r>
      <w:r>
        <w:rPr>
          <w:sz w:val="20"/>
          <w:szCs w:val="20"/>
          <w:color w:val="auto"/>
        </w:rPr>
        <w:tab/>
      </w:r>
      <w:r>
        <w:rPr>
          <w:rFonts w:ascii="Times New Roman" w:cs="Times New Roman" w:eastAsia="Times New Roman" w:hAnsi="Times New Roman"/>
          <w:sz w:val="20"/>
          <w:szCs w:val="20"/>
          <w:color w:val="auto"/>
        </w:rPr>
        <w:t>All the limitations, restrictions and provisions of these Articles relating to the right to transfer and the registration of transfers of shares shall apply to any such notice or transfer as if the notice or transfer were a transfer made by the member registered as the holder of any such share.</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36.3</w:t>
      </w:r>
      <w:r>
        <w:rPr>
          <w:sz w:val="20"/>
          <w:szCs w:val="20"/>
          <w:color w:val="auto"/>
        </w:rPr>
        <w:tab/>
      </w:r>
      <w:r>
        <w:rPr>
          <w:rFonts w:ascii="Times New Roman" w:cs="Times New Roman" w:eastAsia="Times New Roman" w:hAnsi="Times New Roman"/>
          <w:sz w:val="19"/>
          <w:szCs w:val="19"/>
          <w:color w:val="auto"/>
        </w:rPr>
        <w:t>A person entitled by transmission to a share in uncertificated form who elects to have some other person registered shall either:</w:t>
      </w:r>
    </w:p>
    <w:p>
      <w:pPr>
        <w:spacing w:after="0" w:line="233"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36.3.1</w:t>
      </w:r>
      <w:r>
        <w:rPr>
          <w:sz w:val="20"/>
          <w:szCs w:val="20"/>
          <w:color w:val="auto"/>
        </w:rPr>
        <w:tab/>
      </w:r>
      <w:r>
        <w:rPr>
          <w:rFonts w:ascii="Times New Roman" w:cs="Times New Roman" w:eastAsia="Times New Roman" w:hAnsi="Times New Roman"/>
          <w:sz w:val="20"/>
          <w:szCs w:val="20"/>
          <w:color w:val="auto"/>
        </w:rPr>
        <w:t>procure that instructions are given by means of the relevant system to effect the transfer of such uncertificated share to that person; or</w:t>
      </w:r>
    </w:p>
    <w:p>
      <w:pPr>
        <w:spacing w:after="0" w:line="146"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36.3.2</w:t>
      </w:r>
      <w:r>
        <w:rPr>
          <w:sz w:val="20"/>
          <w:szCs w:val="20"/>
          <w:color w:val="auto"/>
        </w:rPr>
        <w:tab/>
      </w:r>
      <w:r>
        <w:rPr>
          <w:rFonts w:ascii="Times New Roman" w:cs="Times New Roman" w:eastAsia="Times New Roman" w:hAnsi="Times New Roman"/>
          <w:sz w:val="20"/>
          <w:szCs w:val="20"/>
          <w:color w:val="auto"/>
        </w:rPr>
        <w:t>change the uncertificated share to certificated form and execute an instrument of transfer of that certificated share to that person.</w:t>
      </w:r>
    </w:p>
    <w:p>
      <w:pPr>
        <w:spacing w:after="0" w:line="3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37</w:t>
      </w:r>
      <w:r>
        <w:rPr>
          <w:sz w:val="20"/>
          <w:szCs w:val="20"/>
          <w:color w:val="auto"/>
        </w:rPr>
        <w:tab/>
      </w:r>
      <w:r>
        <w:rPr>
          <w:rFonts w:ascii="Times New Roman" w:cs="Times New Roman" w:eastAsia="Times New Roman" w:hAnsi="Times New Roman"/>
          <w:sz w:val="20"/>
          <w:szCs w:val="20"/>
          <w:b w:val="1"/>
          <w:bCs w:val="1"/>
          <w:color w:val="auto"/>
        </w:rPr>
        <w:t>Rights of persons entitled by transmission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37.1</w:t>
      </w:r>
      <w:r>
        <w:rPr>
          <w:sz w:val="20"/>
          <w:szCs w:val="20"/>
          <w:color w:val="auto"/>
        </w:rPr>
        <w:tab/>
      </w:r>
      <w:r>
        <w:rPr>
          <w:rFonts w:ascii="Times New Roman" w:cs="Times New Roman" w:eastAsia="Times New Roman" w:hAnsi="Times New Roman"/>
          <w:sz w:val="19"/>
          <w:szCs w:val="19"/>
          <w:color w:val="auto"/>
        </w:rPr>
        <w:t>A person becoming entitled to a share in consequence of the death or bankruptcy of a member or otherwise by operation of law:</w:t>
      </w:r>
    </w:p>
    <w:p>
      <w:pPr>
        <w:spacing w:after="0" w:line="23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37.1.1</w:t>
      </w:r>
      <w:r>
        <w:rPr>
          <w:sz w:val="20"/>
          <w:szCs w:val="20"/>
          <w:color w:val="auto"/>
        </w:rPr>
        <w:tab/>
      </w:r>
      <w:r>
        <w:rPr>
          <w:rFonts w:ascii="Times New Roman" w:cs="Times New Roman" w:eastAsia="Times New Roman" w:hAnsi="Times New Roman"/>
          <w:sz w:val="20"/>
          <w:szCs w:val="20"/>
          <w:color w:val="auto"/>
        </w:rPr>
        <w:t>subject to Article 37.1.2, shall be entitled to the same dividends and other advantages as a registered holder of the share upon supplying to the Company such evidence as the Directors may reasonably require to show his title to the share; and</w:t>
      </w:r>
    </w:p>
    <w:p>
      <w:pPr>
        <w:spacing w:after="0" w:line="17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37.1.2</w:t>
      </w:r>
      <w:r>
        <w:rPr>
          <w:sz w:val="20"/>
          <w:szCs w:val="20"/>
          <w:color w:val="auto"/>
        </w:rPr>
        <w:tab/>
      </w:r>
      <w:r>
        <w:rPr>
          <w:rFonts w:ascii="Times New Roman" w:cs="Times New Roman" w:eastAsia="Times New Roman" w:hAnsi="Times New Roman"/>
          <w:sz w:val="20"/>
          <w:szCs w:val="20"/>
          <w:color w:val="auto"/>
        </w:rPr>
        <w:t>shall not be entitled to exercise any right in respect of the share in relation to General Meetings until he has been registered as a member in respect of the share.</w:t>
      </w:r>
    </w:p>
    <w:p>
      <w:pPr>
        <w:spacing w:after="0" w:line="16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37.2</w:t>
      </w:r>
      <w:r>
        <w:rPr>
          <w:sz w:val="20"/>
          <w:szCs w:val="20"/>
          <w:color w:val="auto"/>
        </w:rPr>
        <w:tab/>
      </w:r>
      <w:r>
        <w:rPr>
          <w:rFonts w:ascii="Times New Roman" w:cs="Times New Roman" w:eastAsia="Times New Roman" w:hAnsi="Times New Roman"/>
          <w:sz w:val="20"/>
          <w:szCs w:val="20"/>
          <w:color w:val="auto"/>
        </w:rPr>
        <w:t>A person entitled to a share who has elected for that share to be transferred to some other person pursuant to Article 36.1.2 shall cease to be entitled to any rights or advantages in relation to such share upon that other person being registered as the holder of that share.</w:t>
      </w:r>
    </w:p>
    <w:p>
      <w:pPr>
        <w:spacing w:after="0" w:line="397"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notices binding</w:t>
      </w:r>
    </w:p>
    <w:p>
      <w:pPr>
        <w:spacing w:after="0" w:line="219" w:lineRule="exact"/>
        <w:rPr>
          <w:rFonts w:ascii="Times New Roman" w:cs="Times New Roman" w:eastAsia="Times New Roman" w:hAnsi="Times New Roman"/>
          <w:sz w:val="20"/>
          <w:szCs w:val="20"/>
          <w:b w:val="1"/>
          <w:bCs w:val="1"/>
          <w:color w:val="auto"/>
        </w:rPr>
      </w:pPr>
    </w:p>
    <w:p>
      <w:pPr>
        <w:ind w:left="660" w:right="2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notice is given to a member in respect of a share, a person entitled to that share is bound by the notice if it was given to the member before the name of the person entitled was entered into the Register.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Untraced Shareholders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39</w:t>
      </w:r>
      <w:r>
        <w:rPr>
          <w:sz w:val="20"/>
          <w:szCs w:val="20"/>
          <w:color w:val="auto"/>
        </w:rPr>
        <w:tab/>
      </w:r>
      <w:r>
        <w:rPr>
          <w:rFonts w:ascii="Times New Roman" w:cs="Times New Roman" w:eastAsia="Times New Roman" w:hAnsi="Times New Roman"/>
          <w:sz w:val="20"/>
          <w:szCs w:val="20"/>
          <w:b w:val="1"/>
          <w:bCs w:val="1"/>
          <w:color w:val="auto"/>
        </w:rPr>
        <w:t>Untraced shareholders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39.1</w:t>
      </w:r>
      <w:r>
        <w:rPr>
          <w:sz w:val="20"/>
          <w:szCs w:val="20"/>
          <w:color w:val="auto"/>
        </w:rPr>
        <w:tab/>
      </w:r>
      <w:r>
        <w:rPr>
          <w:rFonts w:ascii="Times New Roman" w:cs="Times New Roman" w:eastAsia="Times New Roman" w:hAnsi="Times New Roman"/>
          <w:sz w:val="19"/>
          <w:szCs w:val="19"/>
          <w:color w:val="auto"/>
        </w:rPr>
        <w:t>The Company shall be entitled to sell the shares of a member, or a person entitled to those shares, if and provided that:</w:t>
      </w:r>
    </w:p>
    <w:p>
      <w:pPr>
        <w:spacing w:after="0" w:line="22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39.1.1</w:t>
      </w:r>
      <w:r>
        <w:rPr>
          <w:sz w:val="20"/>
          <w:szCs w:val="20"/>
          <w:color w:val="auto"/>
        </w:rPr>
        <w:tab/>
      </w:r>
      <w:r>
        <w:rPr>
          <w:rFonts w:ascii="Times New Roman" w:cs="Times New Roman" w:eastAsia="Times New Roman" w:hAnsi="Times New Roman"/>
          <w:sz w:val="20"/>
          <w:szCs w:val="20"/>
          <w:color w:val="auto"/>
        </w:rPr>
        <w:t>during the period of 12 years prior to the date of the publication of the advertisements referred to in Article 39.1.2 (or, if published on different dates, the first of them) at least three dividends in respect of the shares have become payable and no dividend in respect of those shares has been 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223" w:name="page224"/>
    <w:bookmarkEnd w:id="223"/>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39.1.2</w:t>
      </w:r>
      <w:r>
        <w:rPr>
          <w:sz w:val="20"/>
          <w:szCs w:val="20"/>
          <w:color w:val="auto"/>
        </w:rPr>
        <w:tab/>
      </w:r>
      <w:r>
        <w:rPr>
          <w:rFonts w:ascii="Times New Roman" w:cs="Times New Roman" w:eastAsia="Times New Roman" w:hAnsi="Times New Roman"/>
          <w:sz w:val="20"/>
          <w:szCs w:val="20"/>
          <w:color w:val="auto"/>
        </w:rPr>
        <w:t>the Company has given notice of its intention to sell such shares by sending a notice to the member at his address on the Register or other last known address given by the member and before sending such a notice to the member, the Company must have used reasonable efforts to trace the member or other person entitled to such shares, engaging, if considered appropriate, a professional asset reunification company or other tracing agent and/or giving notice of its intention to sell the shares by advertisements in both: (i) a national daily newspaper published in the United Kingdom; and (ii) a newspaper circulating in the area in which the last known postal address of the member or other address for service notified to the Company is located;</w:t>
      </w:r>
    </w:p>
    <w:p>
      <w:pPr>
        <w:spacing w:after="0" w:line="179"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39.1.3</w:t>
      </w:r>
      <w:r>
        <w:rPr>
          <w:sz w:val="20"/>
          <w:szCs w:val="20"/>
          <w:color w:val="auto"/>
        </w:rPr>
        <w:tab/>
      </w:r>
      <w:r>
        <w:rPr>
          <w:rFonts w:ascii="Times New Roman" w:cs="Times New Roman" w:eastAsia="Times New Roman" w:hAnsi="Times New Roman"/>
          <w:sz w:val="20"/>
          <w:szCs w:val="20"/>
          <w:color w:val="auto"/>
        </w:rPr>
        <w:t>during the period of three months following the publication of such advertisements the Company has received no communication from such member or person; and</w:t>
      </w:r>
    </w:p>
    <w:p>
      <w:pPr>
        <w:spacing w:after="0" w:line="146"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39.1.4</w:t>
      </w:r>
      <w:r>
        <w:rPr>
          <w:sz w:val="20"/>
          <w:szCs w:val="20"/>
          <w:color w:val="auto"/>
        </w:rPr>
        <w:tab/>
      </w:r>
      <w:r>
        <w:rPr>
          <w:rFonts w:ascii="Times New Roman" w:cs="Times New Roman" w:eastAsia="Times New Roman" w:hAnsi="Times New Roman"/>
          <w:sz w:val="20"/>
          <w:szCs w:val="20"/>
          <w:color w:val="auto"/>
        </w:rPr>
        <w:t>the Company has given notice to Nasdaq or the SEC of its intention to make such sale, if shares of the class concerned, or depositary instruments representing such shares, are listed on Nasdaq.</w:t>
      </w:r>
    </w:p>
    <w:p>
      <w:pPr>
        <w:spacing w:after="0" w:line="15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39.2</w:t>
      </w:r>
      <w:r>
        <w:rPr>
          <w:sz w:val="20"/>
          <w:szCs w:val="20"/>
          <w:color w:val="auto"/>
        </w:rPr>
        <w:tab/>
      </w:r>
      <w:r>
        <w:rPr>
          <w:rFonts w:ascii="Times New Roman" w:cs="Times New Roman" w:eastAsia="Times New Roman" w:hAnsi="Times New Roman"/>
          <w:sz w:val="20"/>
          <w:szCs w:val="20"/>
          <w:color w:val="auto"/>
        </w:rPr>
        <w:t>If the Company is entitled to sell any shares pursuant to Article 39.1, it shall do so at the best price reasonably obtainable at the time of sale.</w:t>
      </w:r>
    </w:p>
    <w:p>
      <w:pPr>
        <w:spacing w:after="0" w:line="17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39.3</w:t>
      </w:r>
      <w:r>
        <w:rPr>
          <w:sz w:val="20"/>
          <w:szCs w:val="20"/>
          <w:color w:val="auto"/>
        </w:rPr>
        <w:tab/>
      </w:r>
      <w:r>
        <w:rPr>
          <w:rFonts w:ascii="Times New Roman" w:cs="Times New Roman" w:eastAsia="Times New Roman" w:hAnsi="Times New Roman"/>
          <w:sz w:val="20"/>
          <w:szCs w:val="20"/>
          <w:color w:val="auto"/>
        </w:rPr>
        <w:t>To give effect to any such sale of shares, the Company may appoint any person to transfer, as transferor, the relevant shares and such transfer shall be as effective as if it had been carried out by the registered holder of or person entitled to such shares and the title of the transferee shall not be affected by any irregularity or invalidity in the proceedings relating thereto. In the case of shares in uncertificated form, the Directors may require or procure any relevant person or the Operator (as applicable) to convert the shares into certificated form prior to appointing any person to transfer, as transferor, the relevant shares.</w:t>
      </w:r>
    </w:p>
    <w:p>
      <w:pPr>
        <w:spacing w:after="0" w:line="19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39.4</w:t>
      </w:r>
      <w:r>
        <w:rPr>
          <w:sz w:val="20"/>
          <w:szCs w:val="20"/>
          <w:color w:val="auto"/>
        </w:rPr>
        <w:tab/>
      </w:r>
      <w:r>
        <w:rPr>
          <w:rFonts w:ascii="Times New Roman" w:cs="Times New Roman" w:eastAsia="Times New Roman" w:hAnsi="Times New Roman"/>
          <w:sz w:val="20"/>
          <w:szCs w:val="20"/>
          <w:color w:val="auto"/>
        </w:rPr>
        <w:t>For the purpose of giving effect to any such sale the Directors may authorise any person to transfer the shares sold to the purchaser or its nominee.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39.5</w:t>
      </w:r>
      <w:r>
        <w:rPr>
          <w:sz w:val="20"/>
          <w:szCs w:val="20"/>
          <w:color w:val="auto"/>
        </w:rPr>
        <w:tab/>
      </w:r>
      <w:r>
        <w:rPr>
          <w:rFonts w:ascii="Times New Roman" w:cs="Times New Roman" w:eastAsia="Times New Roman" w:hAnsi="Times New Roman"/>
          <w:sz w:val="19"/>
          <w:szCs w:val="19"/>
          <w:color w:val="auto"/>
        </w:rPr>
        <w:t>The transferee of the shares has no obligation to ensure that the purchase money is distributed in accordance with these Articles.</w:t>
      </w:r>
    </w:p>
    <w:p>
      <w:pPr>
        <w:spacing w:after="0" w:line="21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39.6</w:t>
      </w:r>
      <w:r>
        <w:rPr>
          <w:sz w:val="20"/>
          <w:szCs w:val="20"/>
          <w:color w:val="auto"/>
        </w:rPr>
        <w:tab/>
      </w:r>
      <w:r>
        <w:rPr>
          <w:rFonts w:ascii="Times New Roman" w:cs="Times New Roman" w:eastAsia="Times New Roman" w:hAnsi="Times New Roman"/>
          <w:sz w:val="20"/>
          <w:szCs w:val="20"/>
          <w:color w:val="auto"/>
        </w:rPr>
        <w:t>The net proceeds of such sale (after payment of the costs of the sale) shall belong to the Company. The Company shall be obliged to account to the former member or other person previously entitled for an amount equal to such proceeds and shall enter the name of such former member or other person in the books of the Company as a creditor for such amount. No trust shall be created in respect of the debt and no interest shall be payable in respect of it. The Company shall not be required to account for any money earned on the net proceeds, which may be employed in the business of the Company or invested in such investments as the Directors may from time to time think fit.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Meetings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General Meetings</w:t>
      </w:r>
    </w:p>
    <w:p>
      <w:pPr>
        <w:spacing w:after="0" w:line="219" w:lineRule="exact"/>
        <w:rPr>
          <w:rFonts w:ascii="Times New Roman" w:cs="Times New Roman" w:eastAsia="Times New Roman" w:hAnsi="Times New Roman"/>
          <w:sz w:val="20"/>
          <w:szCs w:val="20"/>
          <w:b w:val="1"/>
          <w:bCs w:val="1"/>
          <w:color w:val="auto"/>
        </w:rPr>
      </w:pPr>
    </w:p>
    <w:p>
      <w:pPr>
        <w:jc w:val="both"/>
        <w:ind w:left="660" w:right="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Annual General Meeting shall be held in each period of six months beginning with the day following the Company’s accounting reference date, at such place or places (including partly or wholly by means of an electronic facility or facilities), date and time as may be decided by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224" w:name="page225"/>
    <w:bookmarkEnd w:id="224"/>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Convening of General Meetings</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may, whenever they think fit, and shall on requisition in accordance with either the Legislation or any agreement in writing with an Approved Depositary, proceed to convene a General Meeting.</w:t>
      </w:r>
    </w:p>
    <w:p>
      <w:pPr>
        <w:spacing w:after="0" w:line="38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Attendance and Participation by Electronic Facilities</w:t>
      </w:r>
    </w:p>
    <w:p>
      <w:pPr>
        <w:spacing w:after="0" w:line="216"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42.1</w:t>
      </w:r>
      <w:r>
        <w:rPr>
          <w:sz w:val="20"/>
          <w:szCs w:val="20"/>
          <w:color w:val="auto"/>
        </w:rPr>
        <w:tab/>
      </w:r>
      <w:r>
        <w:rPr>
          <w:rFonts w:ascii="Times New Roman" w:cs="Times New Roman" w:eastAsia="Times New Roman" w:hAnsi="Times New Roman"/>
          <w:sz w:val="20"/>
          <w:szCs w:val="20"/>
          <w:color w:val="auto"/>
        </w:rPr>
        <w:t>Without prejudice to Articles 42.2, 43 and 50, the Directors may resolve to enable persons entitled to attend and participate in a General Meeting to do so by simultaneous attendance and participation by means of an electronic facility or facilities (any such General Meeting being a “</w:t>
      </w:r>
      <w:r>
        <w:rPr>
          <w:rFonts w:ascii="Times New Roman" w:cs="Times New Roman" w:eastAsia="Times New Roman" w:hAnsi="Times New Roman"/>
          <w:sz w:val="20"/>
          <w:szCs w:val="20"/>
          <w:b w:val="1"/>
          <w:bCs w:val="1"/>
          <w:color w:val="auto"/>
        </w:rPr>
        <w:t>hybrid general meeting</w:t>
      </w:r>
      <w:r>
        <w:rPr>
          <w:rFonts w:ascii="Times New Roman" w:cs="Times New Roman" w:eastAsia="Times New Roman" w:hAnsi="Times New Roman"/>
          <w:sz w:val="20"/>
          <w:szCs w:val="20"/>
          <w:color w:val="auto"/>
        </w:rPr>
        <w:t>”), and may determine the means, or all different means, of attendance and participation used in relation to the General Meeting. The members present in person or by proxy by means of an electronic facility or facilities (as so determined by the Directors) shall be counted in the quorum for, and be entitled to participate in, the General Meeting in question. That meeting shall be duly constituted and its proceedings valid if the chair of the General Meeting is satisfied that adequate facilities are available throughout the meeting to ensure that members attending the meeting by all means (including the means of an electronic facility or facilities) are able to participate in the business of the meeting, hear all persons who speak at the meeting and be heard by all other persons attending and participating in the meeting.</w:t>
      </w:r>
    </w:p>
    <w:p>
      <w:pPr>
        <w:spacing w:after="0" w:line="189"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42.2</w:t>
      </w:r>
      <w:r>
        <w:rPr>
          <w:sz w:val="20"/>
          <w:szCs w:val="20"/>
          <w:color w:val="auto"/>
        </w:rPr>
        <w:tab/>
      </w:r>
      <w:r>
        <w:rPr>
          <w:rFonts w:ascii="Times New Roman" w:cs="Times New Roman" w:eastAsia="Times New Roman" w:hAnsi="Times New Roman"/>
          <w:sz w:val="20"/>
          <w:szCs w:val="20"/>
          <w:color w:val="auto"/>
        </w:rPr>
        <w:t>Without prejudice to Articles 42.1, 43, and 50, the Directors may resolve to enable persons entitled to attend and participate in a General Meeting to do so by means of an electronic facility or facilities with no member necessarily in physical attendance (any such General Meeting being an “</w:t>
      </w:r>
      <w:r>
        <w:rPr>
          <w:rFonts w:ascii="Times New Roman" w:cs="Times New Roman" w:eastAsia="Times New Roman" w:hAnsi="Times New Roman"/>
          <w:sz w:val="20"/>
          <w:szCs w:val="20"/>
          <w:b w:val="1"/>
          <w:bCs w:val="1"/>
          <w:color w:val="auto"/>
        </w:rPr>
        <w:t>electronic general meeting</w:t>
      </w:r>
      <w:r>
        <w:rPr>
          <w:rFonts w:ascii="Times New Roman" w:cs="Times New Roman" w:eastAsia="Times New Roman" w:hAnsi="Times New Roman"/>
          <w:sz w:val="20"/>
          <w:szCs w:val="20"/>
          <w:color w:val="auto"/>
        </w:rPr>
        <w:t>”). The members present in person or by proxy by means of an electronic facility or facilities (as so determined by the Directors) shall be counted in the quorum for, and be entitled to participate in, the General Meeting in question. That meeting shall be duly constituted and its proceedings valid if the chair of the General Meeting is satisfied that adequate facilities are available throughout the meeting to ensure that members attending the meeting who are not present together at the same place are able to, by means of an electronic facility or facilities, attend, speak and vote at it.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General Meetings</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20"/>
          <w:szCs w:val="20"/>
          <w:b w:val="1"/>
          <w:bCs w:val="1"/>
          <w:color w:val="auto"/>
        </w:rPr>
        <w:t>Notice of 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43.1</w:t>
      </w:r>
      <w:r>
        <w:rPr>
          <w:sz w:val="20"/>
          <w:szCs w:val="20"/>
          <w:color w:val="auto"/>
        </w:rPr>
        <w:tab/>
      </w:r>
      <w:r>
        <w:rPr>
          <w:rFonts w:ascii="Times New Roman" w:cs="Times New Roman" w:eastAsia="Times New Roman" w:hAnsi="Times New Roman"/>
          <w:sz w:val="19"/>
          <w:szCs w:val="19"/>
          <w:color w:val="auto"/>
        </w:rPr>
        <w:t>Notices of General Meetings shall include all information required to be included by the Legislation.</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43.2</w:t>
      </w:r>
      <w:r>
        <w:rPr>
          <w:sz w:val="20"/>
          <w:szCs w:val="20"/>
          <w:color w:val="auto"/>
        </w:rPr>
        <w:tab/>
      </w:r>
      <w:r>
        <w:rPr>
          <w:rFonts w:ascii="Times New Roman" w:cs="Times New Roman" w:eastAsia="Times New Roman" w:hAnsi="Times New Roman"/>
          <w:sz w:val="20"/>
          <w:szCs w:val="20"/>
          <w:color w:val="auto"/>
        </w:rPr>
        <w:t>Notice shall be given to all members other than members who are not entitled to receive such notices from the Company under the provisions of these Articles. The Company may determine that only those persons entered on the Register at the close of business on a day decided by the Company, such day being no more than 21 clear days before the day that notice of the meeting is sent, shall be entitled to receive such a notice.</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43.3</w:t>
      </w:r>
      <w:r>
        <w:rPr>
          <w:sz w:val="20"/>
          <w:szCs w:val="20"/>
          <w:color w:val="auto"/>
        </w:rPr>
        <w:tab/>
      </w:r>
      <w:r>
        <w:rPr>
          <w:rFonts w:ascii="Times New Roman" w:cs="Times New Roman" w:eastAsia="Times New Roman" w:hAnsi="Times New Roman"/>
          <w:sz w:val="20"/>
          <w:szCs w:val="20"/>
          <w:color w:val="auto"/>
        </w:rPr>
        <w:t>For the purposes of determining which persons are entitled to attend or vote at a meeting, and how many votes such persons may cast, the Company must specify in the notice of the meeting a time, not more than 48 hours before the time fixed for the meeting, by which a person must be entered on the Register in order to have the right to attend or vote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225" w:name="page226"/>
    <w:bookmarkEnd w:id="225"/>
    <w:p>
      <w:pPr>
        <w:ind w:left="660"/>
        <w:spacing w:after="0" w:line="283" w:lineRule="auto"/>
        <w:rPr>
          <w:sz w:val="20"/>
          <w:szCs w:val="20"/>
          <w:color w:val="auto"/>
        </w:rPr>
      </w:pPr>
      <w:r>
        <w:rPr>
          <w:rFonts w:ascii="Times New Roman" w:cs="Times New Roman" w:eastAsia="Times New Roman" w:hAnsi="Times New Roman"/>
          <w:sz w:val="20"/>
          <w:szCs w:val="20"/>
          <w:color w:val="auto"/>
        </w:rPr>
        <w:t>meeting. The Directors may at their discretion resolve that, in calculating such period, no account shall be taken of any part of any day that is not a working day.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Proceedings at General Meetings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Chair</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Chair of the Directors shall preside as chair of any General Meeting at which he is present (as long as he is willing to do so). If he is not present or is unwilling, a Deputy Chair, failing whom any Director present and willing to act and, if more than one, chosen by the Directors present at the meeting, shall preside as chair. If no Director is present within 10 minutes after the time appointed for holding the meeting and willing to act as chair, a member present in person or by proxy may be elected to be the chair by a resolution of the Company passed at the meeting.</w:t>
      </w:r>
    </w:p>
    <w:p>
      <w:pPr>
        <w:spacing w:after="0" w:line="38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Requirement for Quorum</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45.1</w:t>
      </w:r>
      <w:r>
        <w:rPr>
          <w:sz w:val="20"/>
          <w:szCs w:val="20"/>
          <w:color w:val="auto"/>
        </w:rPr>
        <w:tab/>
      </w:r>
      <w:r>
        <w:rPr>
          <w:rFonts w:ascii="Times New Roman" w:cs="Times New Roman" w:eastAsia="Times New Roman" w:hAnsi="Times New Roman"/>
          <w:sz w:val="20"/>
          <w:szCs w:val="20"/>
          <w:color w:val="auto"/>
        </w:rPr>
        <w:t>No business other than the appointment of a chair shall be transacted at any General Meeting unless a quorum is present at the time when the meeting proceeds to business. A quorum shall be present if one or more members, present in person or by proxy, who together represent at least a majority of the voting rights of all of the members entitled to vote at the relevant meeting are present at the General Meeting. A General Meeting at which a quorum is present shall be competent to exercise all powers and discretions for the time being exercisable by the members.</w:t>
      </w:r>
    </w:p>
    <w:p>
      <w:pPr>
        <w:spacing w:after="0" w:line="192"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45.2</w:t>
      </w:r>
      <w:r>
        <w:rPr>
          <w:sz w:val="20"/>
          <w:szCs w:val="20"/>
          <w:color w:val="auto"/>
        </w:rPr>
        <w:tab/>
      </w:r>
      <w:r>
        <w:rPr>
          <w:rFonts w:ascii="Times New Roman" w:cs="Times New Roman" w:eastAsia="Times New Roman" w:hAnsi="Times New Roman"/>
          <w:sz w:val="20"/>
          <w:szCs w:val="20"/>
          <w:color w:val="auto"/>
        </w:rPr>
        <w:t>If within 15 minutes from the time appointed for a General Meeting (or such longer interval as the chair of the meeting may think fit to allow) a quorum is not present, or if during the meeting a quorum ceases to be present, the meeting, if convened on the requisition of members, shall be dissolved. In any other case it shall stand adjourned to such day, time and place as may have been specified for the purpose in the notice convening the meeting or (if not so specified) as the Directors may decide, provided that the adjourned meeting shall be held not less than ten clear days after the original General Meeting. If at such adjourned meeting a quorum is not present within 15 minutes from the time appointed for holding the meeting, one person entitled to vote on the business to be transacted, being a member or a proxy for a member or a duly authorised representative of a corporation which is a member, shall be a quorum and any notice of an adjourned meeting shall state this.</w:t>
      </w:r>
    </w:p>
    <w:p>
      <w:pPr>
        <w:spacing w:after="0" w:line="200" w:lineRule="exact"/>
        <w:rPr>
          <w:sz w:val="20"/>
          <w:szCs w:val="20"/>
          <w:color w:val="auto"/>
        </w:rPr>
      </w:pPr>
    </w:p>
    <w:p>
      <w:pPr>
        <w:spacing w:after="0" w:line="21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46</w:t>
      </w:r>
      <w:r>
        <w:rPr>
          <w:sz w:val="20"/>
          <w:szCs w:val="20"/>
          <w:color w:val="auto"/>
        </w:rPr>
        <w:tab/>
      </w:r>
      <w:r>
        <w:rPr>
          <w:rFonts w:ascii="Times New Roman" w:cs="Times New Roman" w:eastAsia="Times New Roman" w:hAnsi="Times New Roman"/>
          <w:sz w:val="20"/>
          <w:szCs w:val="20"/>
          <w:b w:val="1"/>
          <w:bCs w:val="1"/>
          <w:color w:val="auto"/>
        </w:rPr>
        <w:t>Adjournment</w:t>
      </w:r>
    </w:p>
    <w:p>
      <w:pPr>
        <w:spacing w:after="0" w:line="216" w:lineRule="exact"/>
        <w:rPr>
          <w:sz w:val="20"/>
          <w:szCs w:val="20"/>
          <w:color w:val="auto"/>
        </w:rPr>
      </w:pPr>
    </w:p>
    <w:p>
      <w:pPr>
        <w:jc w:val="center"/>
        <w:ind w:right="3320"/>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46.1</w:t>
      </w:r>
      <w:r>
        <w:rPr>
          <w:sz w:val="20"/>
          <w:szCs w:val="20"/>
          <w:color w:val="auto"/>
        </w:rPr>
        <w:tab/>
      </w:r>
      <w:r>
        <w:rPr>
          <w:rFonts w:ascii="Times New Roman" w:cs="Times New Roman" w:eastAsia="Times New Roman" w:hAnsi="Times New Roman"/>
          <w:sz w:val="19"/>
          <w:szCs w:val="19"/>
          <w:color w:val="auto"/>
        </w:rPr>
        <w:t>The chair of any General Meeting at which a quorum is present may adjourn the meeting if:</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46.1.1</w:t>
      </w:r>
      <w:r>
        <w:rPr>
          <w:sz w:val="20"/>
          <w:szCs w:val="20"/>
          <w:color w:val="auto"/>
        </w:rPr>
        <w:tab/>
      </w:r>
      <w:r>
        <w:rPr>
          <w:rFonts w:ascii="Times New Roman" w:cs="Times New Roman" w:eastAsia="Times New Roman" w:hAnsi="Times New Roman"/>
          <w:sz w:val="19"/>
          <w:szCs w:val="19"/>
          <w:color w:val="auto"/>
        </w:rPr>
        <w:t>the members consent to an adjournment by passing an ordinary resolution;</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46.1.2</w:t>
      </w:r>
      <w:r>
        <w:rPr>
          <w:sz w:val="20"/>
          <w:szCs w:val="20"/>
          <w:color w:val="auto"/>
        </w:rPr>
        <w:tab/>
      </w:r>
      <w:r>
        <w:rPr>
          <w:rFonts w:ascii="Times New Roman" w:cs="Times New Roman" w:eastAsia="Times New Roman" w:hAnsi="Times New Roman"/>
          <w:sz w:val="19"/>
          <w:szCs w:val="19"/>
          <w:color w:val="auto"/>
        </w:rPr>
        <w:t>the chair considers it necessary to restore order or to otherwise facilitate the proper conduct of the meeting; or</w:t>
      </w:r>
    </w:p>
    <w:p>
      <w:pPr>
        <w:spacing w:after="0" w:line="241"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46.1.3</w:t>
      </w:r>
      <w:r>
        <w:rPr>
          <w:sz w:val="20"/>
          <w:szCs w:val="20"/>
          <w:color w:val="auto"/>
        </w:rPr>
        <w:tab/>
      </w:r>
      <w:r>
        <w:rPr>
          <w:rFonts w:ascii="Times New Roman" w:cs="Times New Roman" w:eastAsia="Times New Roman" w:hAnsi="Times New Roman"/>
          <w:sz w:val="20"/>
          <w:szCs w:val="20"/>
          <w:color w:val="auto"/>
        </w:rPr>
        <w:t>the chair considers it necessary for the safety of the people attending the meeting (including if there is insufficient room at the meeting venue to accommodate everyone who wishes to, and is entitled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226" w:name="page227"/>
    <w:bookmarkEnd w:id="226"/>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46.2</w:t>
      </w:r>
      <w:r>
        <w:rPr>
          <w:sz w:val="20"/>
          <w:szCs w:val="20"/>
          <w:color w:val="auto"/>
        </w:rPr>
        <w:tab/>
      </w:r>
      <w:r>
        <w:rPr>
          <w:rFonts w:ascii="Times New Roman" w:cs="Times New Roman" w:eastAsia="Times New Roman" w:hAnsi="Times New Roman"/>
          <w:sz w:val="20"/>
          <w:szCs w:val="20"/>
          <w:color w:val="auto"/>
        </w:rPr>
        <w:t>If it appears to the chair of any General Meeting that the facilities at the principal meeting place or satellite meeting or an electronic facility or facilities or security at any General Meeting have become inadequate for the purposes referred to in Article 42 or Article 50 (as applicable), or are otherwise not sufficient to allow the meeting to be conducted substantially in accordance with the provisions set out in the notice of meeting, then the chair may, without the consent of the meeting, interrupt or adjourn the General Meeting.</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46.3</w:t>
      </w:r>
      <w:r>
        <w:rPr>
          <w:sz w:val="20"/>
          <w:szCs w:val="20"/>
          <w:color w:val="auto"/>
        </w:rPr>
        <w:tab/>
      </w:r>
      <w:r>
        <w:rPr>
          <w:rFonts w:ascii="Times New Roman" w:cs="Times New Roman" w:eastAsia="Times New Roman" w:hAnsi="Times New Roman"/>
          <w:sz w:val="19"/>
          <w:szCs w:val="19"/>
          <w:color w:val="auto"/>
        </w:rPr>
        <w:t>The chair of any General Meeting at which a quorum is present must adjourn the meeting if requested to do so by the meeting.</w:t>
      </w:r>
    </w:p>
    <w:p>
      <w:pPr>
        <w:spacing w:after="0" w:line="229"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46.4</w:t>
      </w:r>
      <w:r>
        <w:rPr>
          <w:sz w:val="20"/>
          <w:szCs w:val="20"/>
          <w:color w:val="auto"/>
        </w:rPr>
        <w:tab/>
      </w:r>
      <w:r>
        <w:rPr>
          <w:rFonts w:ascii="Times New Roman" w:cs="Times New Roman" w:eastAsia="Times New Roman" w:hAnsi="Times New Roman"/>
          <w:sz w:val="19"/>
          <w:szCs w:val="19"/>
          <w:color w:val="auto"/>
        </w:rPr>
        <w:t>If the chair of any General Meeting adjourns a meeting he may specify the time and place to which it is adjourned. Where a meeting is adjourned without specifying a new time and place, the time and place for the adjourned meeting shall be fixed by the Directors.</w:t>
      </w:r>
    </w:p>
    <w:p>
      <w:pPr>
        <w:spacing w:after="0" w:line="15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46.5</w:t>
      </w:r>
      <w:r>
        <w:rPr>
          <w:sz w:val="20"/>
          <w:szCs w:val="20"/>
          <w:color w:val="auto"/>
        </w:rPr>
        <w:tab/>
      </w:r>
      <w:r>
        <w:rPr>
          <w:rFonts w:ascii="Times New Roman" w:cs="Times New Roman" w:eastAsia="Times New Roman" w:hAnsi="Times New Roman"/>
          <w:sz w:val="20"/>
          <w:szCs w:val="20"/>
          <w:color w:val="auto"/>
        </w:rPr>
        <w:t>No business shall be transacted at any adjourned meeting except business which might lawfully have been transacted at the meeting from which the adjournment took place.</w:t>
      </w:r>
    </w:p>
    <w:p>
      <w:pPr>
        <w:spacing w:after="0" w:line="389"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adjourned meeting</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When a meeting is adjourned for 14 days or more or without specifying a new time, not less than seven clear days’ notice of the adjourned meeting shall be given in accordance with Article 43 (making such alterations as necessary). Otherwise, it shall not be necessary to give any such notice.</w:t>
      </w:r>
    </w:p>
    <w:p>
      <w:pPr>
        <w:spacing w:after="0" w:line="37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to resolutions</w:t>
      </w:r>
    </w:p>
    <w:p>
      <w:pPr>
        <w:spacing w:after="0" w:line="22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48.1</w:t>
      </w:r>
      <w:r>
        <w:rPr>
          <w:sz w:val="20"/>
          <w:szCs w:val="20"/>
          <w:color w:val="auto"/>
        </w:rPr>
        <w:tab/>
      </w:r>
      <w:r>
        <w:rPr>
          <w:rFonts w:ascii="Times New Roman" w:cs="Times New Roman" w:eastAsia="Times New Roman" w:hAnsi="Times New Roman"/>
          <w:sz w:val="20"/>
          <w:szCs w:val="20"/>
          <w:color w:val="auto"/>
        </w:rPr>
        <w:t>A special resolution to be proposed at a General Meeting may be amended by ordinary resolution provided that no amendment may be made other than a mere clerical amendment to correct a patent error.</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48.2</w:t>
      </w:r>
      <w:r>
        <w:rPr>
          <w:sz w:val="20"/>
          <w:szCs w:val="20"/>
          <w:color w:val="auto"/>
        </w:rPr>
        <w:tab/>
      </w:r>
      <w:r>
        <w:rPr>
          <w:rFonts w:ascii="Times New Roman" w:cs="Times New Roman" w:eastAsia="Times New Roman" w:hAnsi="Times New Roman"/>
          <w:sz w:val="19"/>
          <w:szCs w:val="19"/>
          <w:color w:val="auto"/>
        </w:rPr>
        <w:t>An ordinary resolution to be proposed at a General Meeting may be amended by ordinary resolution provided that:</w:t>
      </w:r>
    </w:p>
    <w:p>
      <w:pPr>
        <w:spacing w:after="0" w:line="23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48.2.1</w:t>
      </w:r>
      <w:r>
        <w:rPr>
          <w:sz w:val="20"/>
          <w:szCs w:val="20"/>
          <w:color w:val="auto"/>
        </w:rPr>
        <w:tab/>
      </w:r>
      <w:r>
        <w:rPr>
          <w:rFonts w:ascii="Times New Roman" w:cs="Times New Roman" w:eastAsia="Times New Roman" w:hAnsi="Times New Roman"/>
          <w:sz w:val="20"/>
          <w:szCs w:val="20"/>
          <w:color w:val="auto"/>
        </w:rPr>
        <w:t>in the opinion of the chair of the meeting, the amendment is within the scope of the business of the meeting as described and does not impose further obligations on the Company; and</w:t>
      </w:r>
    </w:p>
    <w:p>
      <w:pPr>
        <w:spacing w:after="0" w:line="17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48.2.2</w:t>
      </w:r>
      <w:r>
        <w:rPr>
          <w:sz w:val="20"/>
          <w:szCs w:val="20"/>
          <w:color w:val="auto"/>
        </w:rPr>
        <w:tab/>
      </w:r>
      <w:r>
        <w:rPr>
          <w:rFonts w:ascii="Times New Roman" w:cs="Times New Roman" w:eastAsia="Times New Roman" w:hAnsi="Times New Roman"/>
          <w:sz w:val="20"/>
          <w:szCs w:val="20"/>
          <w:color w:val="auto"/>
        </w:rPr>
        <w:t>notice of the proposed amendment is given to the Company by a person entitled to vote at the General Meeting in question at least 48 working hours before the meeting or adjourned meeting (as the case may be).</w:t>
      </w:r>
    </w:p>
    <w:p>
      <w:pPr>
        <w:spacing w:after="0" w:line="16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48.3</w:t>
      </w:r>
      <w:r>
        <w:rPr>
          <w:sz w:val="20"/>
          <w:szCs w:val="20"/>
          <w:color w:val="auto"/>
        </w:rPr>
        <w:tab/>
      </w:r>
      <w:r>
        <w:rPr>
          <w:rFonts w:ascii="Times New Roman" w:cs="Times New Roman" w:eastAsia="Times New Roman" w:hAnsi="Times New Roman"/>
          <w:sz w:val="20"/>
          <w:szCs w:val="20"/>
          <w:color w:val="auto"/>
        </w:rPr>
        <w:t>With the consent of the chair of a General Meeting, an amendment may be withdrawn by its proposer before it is voted on. If an amendment is proposed to any resolution under consideration but is in good faith ruled out of order by the chair of the meeting, the proceedings on the substantive resolution shall not be invalidated by any error in such ruling.</w:t>
      </w:r>
    </w:p>
    <w:p>
      <w:pPr>
        <w:spacing w:after="0" w:line="3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49</w:t>
      </w:r>
      <w:r>
        <w:rPr>
          <w:sz w:val="20"/>
          <w:szCs w:val="20"/>
          <w:color w:val="auto"/>
        </w:rPr>
        <w:tab/>
      </w:r>
      <w:r>
        <w:rPr>
          <w:rFonts w:ascii="Times New Roman" w:cs="Times New Roman" w:eastAsia="Times New Roman" w:hAnsi="Times New Roman"/>
          <w:sz w:val="20"/>
          <w:szCs w:val="20"/>
          <w:b w:val="1"/>
          <w:bCs w:val="1"/>
          <w:color w:val="auto"/>
        </w:rPr>
        <w:t>Security arrangements and orderly conduct</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49.1</w:t>
      </w:r>
      <w:r>
        <w:rPr>
          <w:sz w:val="20"/>
          <w:szCs w:val="20"/>
          <w:color w:val="auto"/>
        </w:rPr>
        <w:tab/>
      </w:r>
      <w:r>
        <w:rPr>
          <w:rFonts w:ascii="Times New Roman" w:cs="Times New Roman" w:eastAsia="Times New Roman" w:hAnsi="Times New Roman"/>
          <w:sz w:val="20"/>
          <w:szCs w:val="20"/>
          <w:color w:val="auto"/>
        </w:rPr>
        <w:t>The Directors may put in place such arrangements or restrictions as they think fit to ensure the safety and security of the attendees at a General Meeting and the orderly conduct of the meeting, including requiring attendees to submit to searches.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9" w:right="339" w:bottom="1440" w:gutter="0" w:footer="0" w:header="0"/>
        </w:sectPr>
      </w:pPr>
    </w:p>
    <w:bookmarkStart w:id="227" w:name="page228"/>
    <w:bookmarkEnd w:id="227"/>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49.2</w:t>
      </w:r>
      <w:r>
        <w:rPr>
          <w:sz w:val="20"/>
          <w:szCs w:val="20"/>
          <w:color w:val="auto"/>
        </w:rPr>
        <w:tab/>
      </w:r>
      <w:r>
        <w:rPr>
          <w:rFonts w:ascii="Times New Roman" w:cs="Times New Roman" w:eastAsia="Times New Roman" w:hAnsi="Times New Roman"/>
          <w:sz w:val="20"/>
          <w:szCs w:val="20"/>
          <w:color w:val="auto"/>
        </w:rPr>
        <w:t>The Directors may refuse entry to, or remove from, a General Meeting any member, proxy or other person who fails to comply with such arrangements or restrictions.</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49.3</w:t>
      </w:r>
      <w:r>
        <w:rPr>
          <w:sz w:val="20"/>
          <w:szCs w:val="20"/>
          <w:color w:val="auto"/>
        </w:rPr>
        <w:tab/>
      </w:r>
      <w:r>
        <w:rPr>
          <w:rFonts w:ascii="Times New Roman" w:cs="Times New Roman" w:eastAsia="Times New Roman" w:hAnsi="Times New Roman"/>
          <w:sz w:val="19"/>
          <w:szCs w:val="19"/>
          <w:color w:val="auto"/>
        </w:rPr>
        <w:t>The chair of a General Meeting may take such action as he thinks fit to maintain the proper and orderly conduct of the meeting.</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49.4</w:t>
      </w:r>
      <w:r>
        <w:rPr>
          <w:sz w:val="20"/>
          <w:szCs w:val="20"/>
          <w:color w:val="auto"/>
        </w:rPr>
        <w:tab/>
      </w:r>
      <w:r>
        <w:rPr>
          <w:rFonts w:ascii="Times New Roman" w:cs="Times New Roman" w:eastAsia="Times New Roman" w:hAnsi="Times New Roman"/>
          <w:sz w:val="20"/>
          <w:szCs w:val="20"/>
          <w:color w:val="auto"/>
        </w:rPr>
        <w:t>If a General Meeting is held as a hybrid general meeting or an electronic general meeting, the Directors may put in place such arrangements or restrictions in connection with participation by such electronic facility or facilities, including any arrangement or restriction that is necessary to ensure the identification of those taking part and the security of the electronic facility or facilities and proportionate to the achievement of those objectives. In this respect, the Directors may authorise any voting application, system or facility for hybrid general meetings or electronic general meetings as they think fit.</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w:t>
      </w:r>
      <w:r>
        <w:rPr>
          <w:sz w:val="20"/>
          <w:szCs w:val="20"/>
          <w:color w:val="auto"/>
        </w:rPr>
        <w:tab/>
      </w:r>
      <w:r>
        <w:rPr>
          <w:rFonts w:ascii="Times New Roman" w:cs="Times New Roman" w:eastAsia="Times New Roman" w:hAnsi="Times New Roman"/>
          <w:sz w:val="20"/>
          <w:szCs w:val="20"/>
          <w:b w:val="1"/>
          <w:bCs w:val="1"/>
          <w:color w:val="auto"/>
        </w:rPr>
        <w:t>Satellite meeting places</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50.1</w:t>
      </w:r>
      <w:r>
        <w:rPr>
          <w:sz w:val="20"/>
          <w:szCs w:val="20"/>
          <w:color w:val="auto"/>
        </w:rPr>
        <w:tab/>
      </w:r>
      <w:r>
        <w:rPr>
          <w:rFonts w:ascii="Times New Roman" w:cs="Times New Roman" w:eastAsia="Times New Roman" w:hAnsi="Times New Roman"/>
          <w:sz w:val="20"/>
          <w:szCs w:val="20"/>
          <w:color w:val="auto"/>
        </w:rPr>
        <w:t>To facilitate the organisation and administration of any General Meeting, the Directors may decide that the meeting shall be held at two or more locations.</w:t>
      </w:r>
    </w:p>
    <w:p>
      <w:pPr>
        <w:spacing w:after="0" w:line="16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50.2</w:t>
      </w:r>
      <w:r>
        <w:rPr>
          <w:sz w:val="20"/>
          <w:szCs w:val="20"/>
          <w:color w:val="auto"/>
        </w:rPr>
        <w:tab/>
      </w:r>
      <w:r>
        <w:rPr>
          <w:rFonts w:ascii="Times New Roman" w:cs="Times New Roman" w:eastAsia="Times New Roman" w:hAnsi="Times New Roman"/>
          <w:sz w:val="20"/>
          <w:szCs w:val="20"/>
          <w:color w:val="auto"/>
        </w:rPr>
        <w:t>For the purposes of these Articles any General Meeting taking place at two or more locations shall be treated as taking place where the chair of the meeting presides (the “</w:t>
      </w:r>
      <w:r>
        <w:rPr>
          <w:rFonts w:ascii="Times New Roman" w:cs="Times New Roman" w:eastAsia="Times New Roman" w:hAnsi="Times New Roman"/>
          <w:sz w:val="20"/>
          <w:szCs w:val="20"/>
          <w:b w:val="1"/>
          <w:bCs w:val="1"/>
          <w:color w:val="auto"/>
        </w:rPr>
        <w:t>principal meeting place</w:t>
      </w:r>
      <w:r>
        <w:rPr>
          <w:rFonts w:ascii="Times New Roman" w:cs="Times New Roman" w:eastAsia="Times New Roman" w:hAnsi="Times New Roman"/>
          <w:sz w:val="20"/>
          <w:szCs w:val="20"/>
          <w:color w:val="auto"/>
        </w:rPr>
        <w:t>”) and any other location where that meeting takes place is referred to in these Articles as a “</w:t>
      </w:r>
      <w:r>
        <w:rPr>
          <w:rFonts w:ascii="Times New Roman" w:cs="Times New Roman" w:eastAsia="Times New Roman" w:hAnsi="Times New Roman"/>
          <w:sz w:val="20"/>
          <w:szCs w:val="20"/>
          <w:b w:val="1"/>
          <w:bCs w:val="1"/>
          <w:color w:val="auto"/>
        </w:rPr>
        <w:t>satellite meeting</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50.3</w:t>
      </w:r>
      <w:r>
        <w:rPr>
          <w:sz w:val="20"/>
          <w:szCs w:val="20"/>
          <w:color w:val="auto"/>
        </w:rPr>
        <w:tab/>
      </w:r>
      <w:r>
        <w:rPr>
          <w:rFonts w:ascii="Times New Roman" w:cs="Times New Roman" w:eastAsia="Times New Roman" w:hAnsi="Times New Roman"/>
          <w:sz w:val="20"/>
          <w:szCs w:val="20"/>
          <w:color w:val="auto"/>
        </w:rPr>
        <w:t>A member present in person or by proxy at a satellite meeting may be counted in the quorum and may exercise all rights that they would have been able to exercise if they were present at the principal meeting place.</w:t>
      </w:r>
    </w:p>
    <w:p>
      <w:pPr>
        <w:spacing w:after="0" w:line="1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50.4</w:t>
      </w:r>
      <w:r>
        <w:rPr>
          <w:sz w:val="20"/>
          <w:szCs w:val="20"/>
          <w:color w:val="auto"/>
        </w:rPr>
        <w:tab/>
      </w:r>
      <w:r>
        <w:rPr>
          <w:rFonts w:ascii="Times New Roman" w:cs="Times New Roman" w:eastAsia="Times New Roman" w:hAnsi="Times New Roman"/>
          <w:sz w:val="20"/>
          <w:szCs w:val="20"/>
          <w:color w:val="auto"/>
        </w:rPr>
        <w:t>The Directors may make and change from time to time such arrangements as they shall in their absolute discretion consider appropriate to:</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50.4.1</w:t>
      </w:r>
      <w:r>
        <w:rPr>
          <w:sz w:val="20"/>
          <w:szCs w:val="20"/>
          <w:color w:val="auto"/>
        </w:rPr>
        <w:tab/>
      </w:r>
      <w:r>
        <w:rPr>
          <w:rFonts w:ascii="Times New Roman" w:cs="Times New Roman" w:eastAsia="Times New Roman" w:hAnsi="Times New Roman"/>
          <w:sz w:val="19"/>
          <w:szCs w:val="19"/>
          <w:color w:val="auto"/>
        </w:rPr>
        <w:t>ensure that all members and proxies for members wishing to attend the meeting can do so;</w:t>
      </w:r>
    </w:p>
    <w:p>
      <w:pPr>
        <w:spacing w:after="0" w:line="227"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50.4.2</w:t>
      </w:r>
      <w:r>
        <w:rPr>
          <w:sz w:val="20"/>
          <w:szCs w:val="20"/>
          <w:color w:val="auto"/>
        </w:rPr>
        <w:tab/>
      </w:r>
      <w:r>
        <w:rPr>
          <w:rFonts w:ascii="Times New Roman" w:cs="Times New Roman" w:eastAsia="Times New Roman" w:hAnsi="Times New Roman"/>
          <w:sz w:val="20"/>
          <w:szCs w:val="20"/>
          <w:color w:val="auto"/>
        </w:rPr>
        <w:t>ensure that all persons attending the meeting are able to participate in the business of the meeting and to hear anyone else addressing the meeting;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50.4.3</w:t>
      </w:r>
      <w:r>
        <w:rPr>
          <w:sz w:val="20"/>
          <w:szCs w:val="20"/>
          <w:color w:val="auto"/>
        </w:rPr>
        <w:tab/>
      </w:r>
      <w:r>
        <w:rPr>
          <w:rFonts w:ascii="Times New Roman" w:cs="Times New Roman" w:eastAsia="Times New Roman" w:hAnsi="Times New Roman"/>
          <w:sz w:val="19"/>
          <w:szCs w:val="19"/>
          <w:color w:val="auto"/>
        </w:rPr>
        <w:t>ensure the safety of persons attending the meeting and the orderly conduct of the meeting; and</w:t>
      </w:r>
    </w:p>
    <w:p>
      <w:pPr>
        <w:spacing w:after="0" w:line="241"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50.4.4</w:t>
      </w:r>
      <w:r>
        <w:rPr>
          <w:sz w:val="20"/>
          <w:szCs w:val="20"/>
          <w:color w:val="auto"/>
        </w:rPr>
        <w:tab/>
      </w:r>
      <w:r>
        <w:rPr>
          <w:rFonts w:ascii="Times New Roman" w:cs="Times New Roman" w:eastAsia="Times New Roman" w:hAnsi="Times New Roman"/>
          <w:sz w:val="20"/>
          <w:szCs w:val="20"/>
          <w:color w:val="auto"/>
        </w:rPr>
        <w:t>restrict the numbers of members and proxies at any one location to such number as can safely and conveniently be accommodated there.</w:t>
      </w:r>
    </w:p>
    <w:p>
      <w:pPr>
        <w:spacing w:after="0" w:line="14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50.5</w:t>
      </w:r>
      <w:r>
        <w:rPr>
          <w:sz w:val="20"/>
          <w:szCs w:val="20"/>
          <w:color w:val="auto"/>
        </w:rPr>
        <w:tab/>
      </w:r>
      <w:r>
        <w:rPr>
          <w:rFonts w:ascii="Times New Roman" w:cs="Times New Roman" w:eastAsia="Times New Roman" w:hAnsi="Times New Roman"/>
          <w:sz w:val="20"/>
          <w:szCs w:val="20"/>
          <w:color w:val="auto"/>
        </w:rPr>
        <w:t>The entitlement of any member or proxy to attend a satellite meeting shall be subject to any such arrangements then in force and stated by the notice of meeting or adjourned meeting to apply to the meeting.</w:t>
      </w:r>
    </w:p>
    <w:p>
      <w:pPr>
        <w:spacing w:after="0" w:line="14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50.6</w:t>
      </w:r>
      <w:r>
        <w:rPr>
          <w:sz w:val="20"/>
          <w:szCs w:val="20"/>
          <w:color w:val="auto"/>
        </w:rPr>
        <w:tab/>
      </w:r>
      <w:r>
        <w:rPr>
          <w:rFonts w:ascii="Times New Roman" w:cs="Times New Roman" w:eastAsia="Times New Roman" w:hAnsi="Times New Roman"/>
          <w:sz w:val="20"/>
          <w:szCs w:val="20"/>
          <w:color w:val="auto"/>
        </w:rPr>
        <w:t>If there is a failure of communication equipment or any other failure in the arrangements for participation in the meeting at more than one place, the Chair may adjourn the meeting in accordance with Article 46.1.2. Such an adjournment will not affect the validity of such meeting, or any business conducted at such meeting up to the point of adjournment, or any action taken pursuant to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09" w:right="339" w:bottom="1440" w:gutter="0" w:footer="0" w:header="0"/>
        </w:sectPr>
      </w:pPr>
    </w:p>
    <w:bookmarkStart w:id="228" w:name="page229"/>
    <w:bookmarkEnd w:id="228"/>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50.7</w:t>
      </w:r>
      <w:r>
        <w:rPr>
          <w:sz w:val="20"/>
          <w:szCs w:val="20"/>
          <w:color w:val="auto"/>
        </w:rPr>
        <w:tab/>
      </w:r>
      <w:r>
        <w:rPr>
          <w:rFonts w:ascii="Times New Roman" w:cs="Times New Roman" w:eastAsia="Times New Roman" w:hAnsi="Times New Roman"/>
          <w:sz w:val="20"/>
          <w:szCs w:val="20"/>
          <w:color w:val="auto"/>
        </w:rPr>
        <w:t>A person (a “</w:t>
      </w:r>
      <w:r>
        <w:rPr>
          <w:rFonts w:ascii="Times New Roman" w:cs="Times New Roman" w:eastAsia="Times New Roman" w:hAnsi="Times New Roman"/>
          <w:sz w:val="20"/>
          <w:szCs w:val="20"/>
          <w:b w:val="1"/>
          <w:bCs w:val="1"/>
          <w:color w:val="auto"/>
        </w:rPr>
        <w:t>satellite chair</w:t>
      </w:r>
      <w:r>
        <w:rPr>
          <w:rFonts w:ascii="Times New Roman" w:cs="Times New Roman" w:eastAsia="Times New Roman" w:hAnsi="Times New Roman"/>
          <w:sz w:val="20"/>
          <w:szCs w:val="20"/>
          <w:color w:val="auto"/>
        </w:rPr>
        <w:t>”) appointed by the Directors shall preside at each satellite meeting. Every satellite chair shall carry out all requests made of him by the chair of the General Meeting, may take such action as he thinks necessary to maintain the proper and orderly conduct of the satellite meeting and shall have all powers necessary or desirable for such purposes.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Polls</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b w:val="1"/>
          <w:bCs w:val="1"/>
          <w:color w:val="auto"/>
        </w:rPr>
        <w:t>Method of voting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51.1</w:t>
      </w:r>
      <w:r>
        <w:rPr>
          <w:sz w:val="20"/>
          <w:szCs w:val="20"/>
          <w:color w:val="auto"/>
        </w:rPr>
        <w:tab/>
      </w:r>
      <w:r>
        <w:rPr>
          <w:rFonts w:ascii="Times New Roman" w:cs="Times New Roman" w:eastAsia="Times New Roman" w:hAnsi="Times New Roman"/>
          <w:sz w:val="19"/>
          <w:szCs w:val="19"/>
          <w:color w:val="auto"/>
        </w:rPr>
        <w:t>Any resolution put to the vote at a General Meeting must be decided exclusively on a poll.</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Times New Roman" w:cs="Times New Roman" w:eastAsia="Times New Roman" w:hAnsi="Times New Roman"/>
          <w:sz w:val="20"/>
          <w:szCs w:val="20"/>
          <w:color w:val="auto"/>
        </w:rPr>
        <w:t>At General Meetings, resolutions shall be put to the vote by the chair of the meeting and there shall be no requirement for the resolution to be proposed or seconded by any person.</w:t>
      </w:r>
    </w:p>
    <w:p>
      <w:pPr>
        <w:spacing w:after="0" w:line="3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20"/>
          <w:szCs w:val="20"/>
          <w:b w:val="1"/>
          <w:bCs w:val="1"/>
          <w:color w:val="auto"/>
        </w:rPr>
        <w:t>Procedure on a poll</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52.1</w:t>
      </w:r>
      <w:r>
        <w:rPr>
          <w:sz w:val="20"/>
          <w:szCs w:val="20"/>
          <w:color w:val="auto"/>
        </w:rPr>
        <w:tab/>
      </w:r>
      <w:r>
        <w:rPr>
          <w:rFonts w:ascii="Times New Roman" w:cs="Times New Roman" w:eastAsia="Times New Roman" w:hAnsi="Times New Roman"/>
          <w:sz w:val="20"/>
          <w:szCs w:val="20"/>
          <w:color w:val="auto"/>
        </w:rPr>
        <w:t>A poll shall be taken in such manner (including by use of ballot or voting papers or electronic means, or any combination of means) as the chair of the meeting may direct.</w:t>
      </w:r>
    </w:p>
    <w:p>
      <w:pPr>
        <w:spacing w:after="0" w:line="16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52.2</w:t>
      </w:r>
      <w:r>
        <w:rPr>
          <w:sz w:val="20"/>
          <w:szCs w:val="20"/>
          <w:color w:val="auto"/>
        </w:rPr>
        <w:tab/>
      </w:r>
      <w:r>
        <w:rPr>
          <w:rFonts w:ascii="Times New Roman" w:cs="Times New Roman" w:eastAsia="Times New Roman" w:hAnsi="Times New Roman"/>
          <w:sz w:val="20"/>
          <w:szCs w:val="20"/>
          <w:color w:val="auto"/>
        </w:rPr>
        <w:t>The chair of the meeting may appoint scrutineers (who need not be members) and may decide how and when the result of the poll is to be declared.</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52.3</w:t>
      </w:r>
      <w:r>
        <w:rPr>
          <w:sz w:val="20"/>
          <w:szCs w:val="20"/>
          <w:color w:val="auto"/>
        </w:rPr>
        <w:tab/>
      </w:r>
      <w:r>
        <w:rPr>
          <w:rFonts w:ascii="Times New Roman" w:cs="Times New Roman" w:eastAsia="Times New Roman" w:hAnsi="Times New Roman"/>
          <w:sz w:val="19"/>
          <w:szCs w:val="19"/>
          <w:color w:val="auto"/>
        </w:rPr>
        <w:t>The result of the poll shall be deemed to be the resolution of the meeting at which the poll was due to be conducted.</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20"/>
          <w:szCs w:val="20"/>
          <w:b w:val="1"/>
          <w:bCs w:val="1"/>
          <w:color w:val="auto"/>
        </w:rPr>
        <w:t>Timing of poll</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53.1</w:t>
      </w:r>
      <w:r>
        <w:rPr>
          <w:sz w:val="20"/>
          <w:szCs w:val="20"/>
          <w:color w:val="auto"/>
        </w:rPr>
        <w:tab/>
      </w:r>
      <w:r>
        <w:rPr>
          <w:rFonts w:ascii="Times New Roman" w:cs="Times New Roman" w:eastAsia="Times New Roman" w:hAnsi="Times New Roman"/>
          <w:sz w:val="20"/>
          <w:szCs w:val="20"/>
          <w:color w:val="auto"/>
        </w:rPr>
        <w:t>A poll on the choice of a chair or on a question of adjournment shall be taken immediately. A poll on any other question shall be taken either immediately or at such subsequent time (not being more than 30 days from the date of the meeting) and place as the chair may direct.</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53.2</w:t>
      </w:r>
      <w:r>
        <w:rPr>
          <w:sz w:val="20"/>
          <w:szCs w:val="20"/>
          <w:color w:val="auto"/>
        </w:rPr>
        <w:tab/>
      </w:r>
      <w:r>
        <w:rPr>
          <w:rFonts w:ascii="Times New Roman" w:cs="Times New Roman" w:eastAsia="Times New Roman" w:hAnsi="Times New Roman"/>
          <w:sz w:val="19"/>
          <w:szCs w:val="19"/>
          <w:color w:val="auto"/>
        </w:rPr>
        <w:t>No notice need be given of a poll not taken immediately if the time and place at which it is to be taken are announced at the meeting.</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any other case, at least seven days’ notice must be given specifying the time and place at which the poll is to be taken.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Votes of Members</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20"/>
          <w:szCs w:val="20"/>
          <w:b w:val="1"/>
          <w:bCs w:val="1"/>
          <w:color w:val="auto"/>
        </w:rPr>
        <w:t>Votes attaching to shares</w:t>
      </w:r>
    </w:p>
    <w:p>
      <w:pPr>
        <w:spacing w:after="0" w:line="22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54.1</w:t>
      </w:r>
      <w:r>
        <w:rPr>
          <w:sz w:val="20"/>
          <w:szCs w:val="20"/>
          <w:color w:val="auto"/>
        </w:rPr>
        <w:tab/>
      </w:r>
      <w:r>
        <w:rPr>
          <w:rFonts w:ascii="Times New Roman" w:cs="Times New Roman" w:eastAsia="Times New Roman" w:hAnsi="Times New Roman"/>
          <w:sz w:val="20"/>
          <w:szCs w:val="20"/>
          <w:color w:val="auto"/>
        </w:rPr>
        <w:t>Subject to Article 43.3 and to any special rights or restrictions as to voting attached by or in accordance with these Articles to any shares or any class of shares, at any General Meeting:</w:t>
      </w:r>
    </w:p>
    <w:p>
      <w:pPr>
        <w:spacing w:after="0" w:line="150"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54.1.1</w:t>
      </w:r>
      <w:r>
        <w:rPr>
          <w:sz w:val="20"/>
          <w:szCs w:val="20"/>
          <w:color w:val="auto"/>
        </w:rPr>
        <w:tab/>
      </w:r>
      <w:r>
        <w:rPr>
          <w:rFonts w:ascii="Times New Roman" w:cs="Times New Roman" w:eastAsia="Times New Roman" w:hAnsi="Times New Roman"/>
          <w:sz w:val="20"/>
          <w:szCs w:val="20"/>
          <w:color w:val="auto"/>
        </w:rPr>
        <w:t>every member who is present in person or by proxy shall have one vote for every share of which he is the holder or in respect of which his appointment as proxy has been made; and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54.1.2</w:t>
      </w:r>
      <w:r>
        <w:rPr>
          <w:sz w:val="20"/>
          <w:szCs w:val="20"/>
          <w:color w:val="auto"/>
        </w:rPr>
        <w:tab/>
      </w:r>
      <w:r>
        <w:rPr>
          <w:rFonts w:ascii="Times New Roman" w:cs="Times New Roman" w:eastAsia="Times New Roman" w:hAnsi="Times New Roman"/>
          <w:sz w:val="19"/>
          <w:szCs w:val="19"/>
          <w:color w:val="auto"/>
        </w:rPr>
        <w:t>a member or proxy entitled to more than one vote need not use all his votes or cast all the votes he uses in the same way.</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09" w:right="339" w:bottom="1440" w:gutter="0" w:footer="0" w:header="0"/>
          <w:type w:val="continuous"/>
        </w:sectPr>
      </w:pPr>
    </w:p>
    <w:bookmarkStart w:id="229" w:name="page230"/>
    <w:bookmarkEnd w:id="229"/>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54.2</w:t>
      </w:r>
      <w:r>
        <w:rPr>
          <w:sz w:val="20"/>
          <w:szCs w:val="20"/>
          <w:color w:val="auto"/>
        </w:rPr>
        <w:tab/>
      </w:r>
      <w:r>
        <w:rPr>
          <w:rFonts w:ascii="Times New Roman" w:cs="Times New Roman" w:eastAsia="Times New Roman" w:hAnsi="Times New Roman"/>
          <w:sz w:val="20"/>
          <w:szCs w:val="20"/>
          <w:color w:val="auto"/>
        </w:rPr>
        <w:t>A proxy shall not be entitled to vote where the member appointing the proxy would not have been entitled to vote on the resolution had he been present in person.</w:t>
      </w:r>
    </w:p>
    <w:p>
      <w:pPr>
        <w:spacing w:after="0" w:line="362"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Votes of joint holders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case of joint holders of a share, the vote of the senior holder who tenders a vote, whether in person or by proxy, shall be accepted to the exclusion of the votes of the other joint holders, and for this purpose seniority shall be determined by the order in which the names appear in the Register in respect of the share.</w:t>
      </w:r>
    </w:p>
    <w:p>
      <w:pPr>
        <w:spacing w:after="0" w:line="39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Validity and result of vote</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objection shall be raised as to the qualification of any voter or the admissibility of any vote except at the meeting or adjourned meeting at which the vote is tendered. Every vote not disallowed at such meeting shall be valid for all purposes. Any such objection shall be referred to the chair of the meeting, whose decision shall be final and conclusive.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Proxies and Corporate Representatives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57</w:t>
      </w:r>
      <w:r>
        <w:rPr>
          <w:sz w:val="20"/>
          <w:szCs w:val="20"/>
          <w:color w:val="auto"/>
        </w:rPr>
        <w:tab/>
      </w:r>
      <w:r>
        <w:rPr>
          <w:rFonts w:ascii="Times New Roman" w:cs="Times New Roman" w:eastAsia="Times New Roman" w:hAnsi="Times New Roman"/>
          <w:sz w:val="20"/>
          <w:szCs w:val="20"/>
          <w:b w:val="1"/>
          <w:bCs w:val="1"/>
          <w:color w:val="auto"/>
        </w:rPr>
        <w:t>Appointment of proxies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57.1</w:t>
      </w:r>
      <w:r>
        <w:rPr>
          <w:sz w:val="20"/>
          <w:szCs w:val="20"/>
          <w:color w:val="auto"/>
        </w:rPr>
        <w:tab/>
      </w:r>
      <w:r>
        <w:rPr>
          <w:rFonts w:ascii="Times New Roman" w:cs="Times New Roman" w:eastAsia="Times New Roman" w:hAnsi="Times New Roman"/>
          <w:sz w:val="19"/>
          <w:szCs w:val="19"/>
          <w:color w:val="auto"/>
        </w:rPr>
        <w:t>A member is entitled to appoint a proxy to exercise all or any of his rights to attend and to speak and vote at a General Meeting.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57.2</w:t>
      </w:r>
      <w:r>
        <w:rPr>
          <w:sz w:val="20"/>
          <w:szCs w:val="20"/>
          <w:color w:val="auto"/>
        </w:rPr>
        <w:tab/>
      </w:r>
      <w:r>
        <w:rPr>
          <w:rFonts w:ascii="Times New Roman" w:cs="Times New Roman" w:eastAsia="Times New Roman" w:hAnsi="Times New Roman"/>
          <w:sz w:val="19"/>
          <w:szCs w:val="19"/>
          <w:color w:val="auto"/>
        </w:rPr>
        <w:t>A proxy need not be a member of the Company.</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Multiple Proxies</w:t>
      </w:r>
    </w:p>
    <w:p>
      <w:pPr>
        <w:spacing w:after="0" w:line="233" w:lineRule="exact"/>
        <w:rPr>
          <w:rFonts w:ascii="Times New Roman" w:cs="Times New Roman" w:eastAsia="Times New Roman" w:hAnsi="Times New Roman"/>
          <w:sz w:val="20"/>
          <w:szCs w:val="20"/>
          <w:b w:val="1"/>
          <w:bCs w:val="1"/>
          <w:color w:val="auto"/>
        </w:rPr>
      </w:pPr>
    </w:p>
    <w:p>
      <w:pPr>
        <w:ind w:left="6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member may appoint more than one proxy in relation to a meeting provided that each proxy is appointed to exercise the rights attached to a different share or shares held by him.</w:t>
      </w:r>
    </w:p>
    <w:p>
      <w:pPr>
        <w:spacing w:after="0" w:line="35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 of proxy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59.1</w:t>
      </w:r>
      <w:r>
        <w:rPr>
          <w:sz w:val="20"/>
          <w:szCs w:val="20"/>
          <w:color w:val="auto"/>
        </w:rPr>
        <w:tab/>
      </w:r>
      <w:r>
        <w:rPr>
          <w:rFonts w:ascii="Times New Roman" w:cs="Times New Roman" w:eastAsia="Times New Roman" w:hAnsi="Times New Roman"/>
          <w:sz w:val="20"/>
          <w:szCs w:val="20"/>
          <w:color w:val="auto"/>
        </w:rPr>
        <w:t>Subject to Article 59.2, the appointment of a proxy must be in writing in any usual or common form or in any other form which the</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Directors may approve and:</w:t>
      </w:r>
    </w:p>
    <w:p>
      <w:pPr>
        <w:spacing w:after="0" w:line="207"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59.1.1</w:t>
      </w:r>
      <w:r>
        <w:rPr>
          <w:sz w:val="20"/>
          <w:szCs w:val="20"/>
          <w:color w:val="auto"/>
        </w:rPr>
        <w:tab/>
      </w:r>
      <w:r>
        <w:rPr>
          <w:rFonts w:ascii="Times New Roman" w:cs="Times New Roman" w:eastAsia="Times New Roman" w:hAnsi="Times New Roman"/>
          <w:sz w:val="20"/>
          <w:szCs w:val="20"/>
          <w:color w:val="auto"/>
        </w:rPr>
        <w:t>in the case of an individual, must either be signed by the appointor or his attorney or authenticated in accordance with Article 118; and</w:t>
      </w:r>
    </w:p>
    <w:p>
      <w:pPr>
        <w:spacing w:after="0" w:line="173"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59.1.2</w:t>
      </w:r>
      <w:r>
        <w:rPr>
          <w:sz w:val="20"/>
          <w:szCs w:val="20"/>
          <w:color w:val="auto"/>
        </w:rPr>
        <w:tab/>
      </w:r>
      <w:r>
        <w:rPr>
          <w:rFonts w:ascii="Times New Roman" w:cs="Times New Roman" w:eastAsia="Times New Roman" w:hAnsi="Times New Roman"/>
          <w:sz w:val="20"/>
          <w:szCs w:val="20"/>
          <w:color w:val="auto"/>
        </w:rPr>
        <w:t>in the case of a corporation, must be either given under its common seal or be signed on its behalf by an attorney or a duly authorised officer of the corporation or authenticated in accordance with Article 118.</w:t>
      </w:r>
    </w:p>
    <w:p>
      <w:pPr>
        <w:spacing w:after="0" w:line="14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Any signature on or authentication of such appointment need not be witnessed. Where an appointment of a proxy is signed or authenticated in accordance with Article 118 on behalf of the appointor by an attorney, the Company may treat that appointment as invalid unless the power of attorney or a notarially certified copy of the power of attorney is submitted to the Company.</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09" w:right="339" w:bottom="1440" w:gutter="0" w:footer="0" w:header="0"/>
          <w:type w:val="continuous"/>
        </w:sectPr>
      </w:pPr>
    </w:p>
    <w:bookmarkStart w:id="230" w:name="page231"/>
    <w:bookmarkEnd w:id="230"/>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59.2</w:t>
      </w:r>
      <w:r>
        <w:rPr>
          <w:sz w:val="20"/>
          <w:szCs w:val="20"/>
          <w:color w:val="auto"/>
        </w:rPr>
        <w:tab/>
      </w:r>
      <w:r>
        <w:rPr>
          <w:rFonts w:ascii="Times New Roman" w:cs="Times New Roman" w:eastAsia="Times New Roman" w:hAnsi="Times New Roman"/>
          <w:sz w:val="20"/>
          <w:szCs w:val="20"/>
          <w:color w:val="auto"/>
        </w:rPr>
        <w:t>Subject to the Companies Acts, the Directors may accept the appointment of a proxy received by electronic means on such terms and subject to such conditions as they consider fit. The appointment of a proxy received by electronic means shall not be subject to the requirements of Article 59.1.</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59.3</w:t>
      </w:r>
      <w:r>
        <w:rPr>
          <w:sz w:val="20"/>
          <w:szCs w:val="20"/>
          <w:color w:val="auto"/>
        </w:rPr>
        <w:tab/>
      </w:r>
      <w:r>
        <w:rPr>
          <w:rFonts w:ascii="Times New Roman" w:cs="Times New Roman" w:eastAsia="Times New Roman" w:hAnsi="Times New Roman"/>
          <w:sz w:val="19"/>
          <w:szCs w:val="19"/>
          <w:color w:val="auto"/>
        </w:rPr>
        <w:t>A proxy may also be appointed in accordance with Articles 125.2, 125.3 and 125.6.</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w:t>
      </w:r>
      <w:r>
        <w:rPr>
          <w:sz w:val="20"/>
          <w:szCs w:val="20"/>
          <w:color w:val="auto"/>
        </w:rPr>
        <w:tab/>
      </w:r>
      <w:r>
        <w:rPr>
          <w:rFonts w:ascii="Times New Roman" w:cs="Times New Roman" w:eastAsia="Times New Roman" w:hAnsi="Times New Roman"/>
          <w:sz w:val="20"/>
          <w:szCs w:val="20"/>
          <w:b w:val="1"/>
          <w:bCs w:val="1"/>
          <w:color w:val="auto"/>
        </w:rPr>
        <w:t>Receipt of proxy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60.1</w:t>
      </w:r>
      <w:r>
        <w:rPr>
          <w:sz w:val="20"/>
          <w:szCs w:val="20"/>
          <w:color w:val="auto"/>
        </w:rPr>
        <w:tab/>
      </w:r>
      <w:r>
        <w:rPr>
          <w:rFonts w:ascii="Times New Roman" w:cs="Times New Roman" w:eastAsia="Times New Roman" w:hAnsi="Times New Roman"/>
          <w:sz w:val="19"/>
          <w:szCs w:val="19"/>
          <w:color w:val="auto"/>
        </w:rPr>
        <w:t>An instrument appointing a proxy shall:</w:t>
      </w:r>
    </w:p>
    <w:p>
      <w:pPr>
        <w:spacing w:after="0" w:line="233"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60.1.1</w:t>
      </w:r>
      <w:r>
        <w:rPr>
          <w:sz w:val="20"/>
          <w:szCs w:val="20"/>
          <w:color w:val="auto"/>
        </w:rPr>
        <w:tab/>
      </w:r>
      <w:r>
        <w:rPr>
          <w:rFonts w:ascii="Times New Roman" w:cs="Times New Roman" w:eastAsia="Times New Roman" w:hAnsi="Times New Roman"/>
          <w:sz w:val="20"/>
          <w:szCs w:val="20"/>
          <w:color w:val="auto"/>
        </w:rPr>
        <w:t>in the case of an instrument of proxy in hard copy form, be delivered to the Transfer Office, or another place in the United Kingdom specified in the notice convening the meeting or in the form of appointment of proxy or other accompanying document sent by the Company in relation to the meeting, not less than 48 hours before the time for holding the meeting or adjourned meeting to which it relates;</w:t>
      </w:r>
    </w:p>
    <w:p>
      <w:pPr>
        <w:spacing w:after="0" w:line="18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60.1.2</w:t>
      </w:r>
      <w:r>
        <w:rPr>
          <w:sz w:val="20"/>
          <w:szCs w:val="20"/>
          <w:color w:val="auto"/>
        </w:rPr>
        <w:tab/>
      </w:r>
      <w:r>
        <w:rPr>
          <w:rFonts w:ascii="Times New Roman" w:cs="Times New Roman" w:eastAsia="Times New Roman" w:hAnsi="Times New Roman"/>
          <w:sz w:val="20"/>
          <w:szCs w:val="20"/>
          <w:color w:val="auto"/>
        </w:rPr>
        <w:t>in the case of an appointment of proxy sent by electronic means, be received at the electronic address specified in the notice convening the meeting, or in the form of appointment of proxy or other accompanying document sent by the Company in relation to the meeting, not less than 48 hours before the time for holding the meeting or adjourned meeting to which it relates; and</w:t>
      </w:r>
    </w:p>
    <w:p>
      <w:pPr>
        <w:spacing w:after="0" w:line="172"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60.1.3</w:t>
      </w:r>
      <w:r>
        <w:rPr>
          <w:sz w:val="20"/>
          <w:szCs w:val="20"/>
          <w:color w:val="auto"/>
        </w:rPr>
        <w:tab/>
      </w:r>
      <w:r>
        <w:rPr>
          <w:rFonts w:ascii="Times New Roman" w:cs="Times New Roman" w:eastAsia="Times New Roman" w:hAnsi="Times New Roman"/>
          <w:sz w:val="20"/>
          <w:szCs w:val="20"/>
          <w:color w:val="auto"/>
        </w:rPr>
        <w:t>in the case of a poll taken subsequently to the date of the meeting or adjourned meeting, be received as aforesaid not less than 24 hours (or such shorter time as the Directors may determine) before the time appointed for the taking of the poll,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in default shall not be treated as valid.</w:t>
      </w:r>
    </w:p>
    <w:p>
      <w:pPr>
        <w:spacing w:after="0" w:line="212"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60.2</w:t>
      </w:r>
      <w:r>
        <w:rPr>
          <w:sz w:val="20"/>
          <w:szCs w:val="20"/>
          <w:color w:val="auto"/>
        </w:rPr>
        <w:tab/>
      </w:r>
      <w:r>
        <w:rPr>
          <w:rFonts w:ascii="Times New Roman" w:cs="Times New Roman" w:eastAsia="Times New Roman" w:hAnsi="Times New Roman"/>
          <w:sz w:val="20"/>
          <w:szCs w:val="20"/>
          <w:color w:val="auto"/>
        </w:rPr>
        <w:t>The Directors may at their discretion resolve that, in calculating the periods mentioned in Article 60.1, no account shall be taken of any part of any day that is not a working day.</w:t>
      </w:r>
    </w:p>
    <w:p>
      <w:pPr>
        <w:spacing w:after="0" w:line="14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60.3</w:t>
      </w:r>
      <w:r>
        <w:rPr>
          <w:sz w:val="20"/>
          <w:szCs w:val="20"/>
          <w:color w:val="auto"/>
        </w:rPr>
        <w:tab/>
      </w:r>
      <w:r>
        <w:rPr>
          <w:rFonts w:ascii="Times New Roman" w:cs="Times New Roman" w:eastAsia="Times New Roman" w:hAnsi="Times New Roman"/>
          <w:sz w:val="20"/>
          <w:szCs w:val="20"/>
          <w:color w:val="auto"/>
        </w:rPr>
        <w:t>In relation to any shares in uncertificated form, the Directors may permit a proxy to be appointed by electronic means or by means of a website in the form of an Uncertificated Proxy Instruction and may permit any supplement to, or amendment or revocation of, any Uncertificated Proxy Instruction to be made by a further Uncertificated Proxy Instruction. The Directors may prescribe the method of determining the time at which any Uncertificated Proxy Instruction is to be treated as received by the Company. The Directors may treat any Uncertificated Proxy Instruction purporting or expressed to be sent on behalf of a holder of a share as sufficient evidence of the authority of the person sending the instruction to send it on behalf of that holder.</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60.4</w:t>
      </w:r>
      <w:r>
        <w:rPr>
          <w:sz w:val="20"/>
          <w:szCs w:val="20"/>
          <w:color w:val="auto"/>
        </w:rPr>
        <w:tab/>
      </w:r>
      <w:r>
        <w:rPr>
          <w:rFonts w:ascii="Times New Roman" w:cs="Times New Roman" w:eastAsia="Times New Roman" w:hAnsi="Times New Roman"/>
          <w:sz w:val="20"/>
          <w:szCs w:val="20"/>
          <w:color w:val="auto"/>
        </w:rPr>
        <w:t>Unless the contrary is stated on the proxy form, the appointment of a proxy shall be as valid for any adjournment of a meeting as it is for the meeting to which it relates. The appointment of a proxy shall be valid for 12 months from the date of execution or, in the case of an appointment of proxy delivered by electronic means, for 12 months from the date of delivery unless otherwise specified by the Directors.</w:t>
      </w:r>
    </w:p>
    <w:p>
      <w:pPr>
        <w:spacing w:after="0" w:line="388"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of proxy</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Legislation, a proxy (including, without limitation, an Appointed Proxy (as defined in Article 125.2)) shall have the right to exercise all or any of the rights of his</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09" w:right="339" w:bottom="1440" w:gutter="0" w:footer="0" w:header="0"/>
          <w:type w:val="continuous"/>
        </w:sectPr>
      </w:pPr>
    </w:p>
    <w:bookmarkStart w:id="231" w:name="page232"/>
    <w:bookmarkEnd w:id="231"/>
    <w:p>
      <w:pPr>
        <w:ind w:left="660"/>
        <w:spacing w:after="0" w:line="283" w:lineRule="auto"/>
        <w:rPr>
          <w:sz w:val="20"/>
          <w:szCs w:val="20"/>
          <w:color w:val="auto"/>
        </w:rPr>
      </w:pPr>
      <w:r>
        <w:rPr>
          <w:rFonts w:ascii="Times New Roman" w:cs="Times New Roman" w:eastAsia="Times New Roman" w:hAnsi="Times New Roman"/>
          <w:sz w:val="20"/>
          <w:szCs w:val="20"/>
          <w:color w:val="auto"/>
        </w:rPr>
        <w:t>appointor, or (where more than one proxy is appointed by a member) all or any of the rights attached to the shares in respect of which he is appointed the proxy to attend, and to speak and vote at, a General Meeting.</w:t>
      </w:r>
    </w:p>
    <w:p>
      <w:pPr>
        <w:spacing w:after="0" w:line="3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b w:val="1"/>
          <w:bCs w:val="1"/>
          <w:color w:val="auto"/>
        </w:rPr>
        <w:t>Termination of proxy’s authority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62.1</w:t>
      </w:r>
      <w:r>
        <w:rPr>
          <w:sz w:val="20"/>
          <w:szCs w:val="20"/>
          <w:color w:val="auto"/>
        </w:rPr>
        <w:tab/>
      </w:r>
      <w:r>
        <w:rPr>
          <w:rFonts w:ascii="Times New Roman" w:cs="Times New Roman" w:eastAsia="Times New Roman" w:hAnsi="Times New Roman"/>
          <w:sz w:val="20"/>
          <w:szCs w:val="20"/>
          <w:color w:val="auto"/>
        </w:rPr>
        <w:t>Neither the death or insanity of a member who has appointed a proxy, nor the revocation or termination by a member of the appointment of a proxy (or of the authority under which the appointment was made), shall invalidate the proxy or the exercise of any of the rights of the proxy, unless notice of such death, insanity, revocation or termination shall have been received by the Company in accordance with Article 62.2.</w:t>
      </w:r>
    </w:p>
    <w:p>
      <w:pPr>
        <w:spacing w:after="0" w:line="17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62.2</w:t>
      </w:r>
      <w:r>
        <w:rPr>
          <w:sz w:val="20"/>
          <w:szCs w:val="20"/>
          <w:color w:val="auto"/>
        </w:rPr>
        <w:tab/>
      </w:r>
      <w:r>
        <w:rPr>
          <w:rFonts w:ascii="Times New Roman" w:cs="Times New Roman" w:eastAsia="Times New Roman" w:hAnsi="Times New Roman"/>
          <w:sz w:val="20"/>
          <w:szCs w:val="20"/>
          <w:color w:val="auto"/>
        </w:rPr>
        <w:t>Any such notice of death, insanity, revocation or termination must be in writing and be received at the address or one of the addresses (if any) specified for receipt of proxies in, or by way of note to, or in any document accompanying, the notice convening the meeting to which the appointment of the proxy relates (or if no address is so specified, at the Transfer Office) no later than the last time at which an appointment of a proxy should have been received in order for it to be valid for use at the meeting or on the holding of the poll at which the rights of the proxy were exercised.</w:t>
      </w:r>
    </w:p>
    <w:p>
      <w:pPr>
        <w:spacing w:after="0" w:line="389"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Corporations acting by representatives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Legislation, any corporation which is a member of the Company may by resolution of its directors or other governing body authorise a person or persons to act as its representative or representatives at any General Meeting.</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Default Shares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20"/>
          <w:szCs w:val="20"/>
          <w:b w:val="1"/>
          <w:bCs w:val="1"/>
          <w:color w:val="auto"/>
        </w:rPr>
        <w:t>Restriction on voting in particular circumstances</w:t>
      </w:r>
    </w:p>
    <w:p>
      <w:pPr>
        <w:spacing w:after="0" w:line="21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64.1</w:t>
      </w:r>
      <w:r>
        <w:rPr>
          <w:sz w:val="20"/>
          <w:szCs w:val="20"/>
          <w:color w:val="auto"/>
        </w:rPr>
        <w:tab/>
      </w:r>
      <w:r>
        <w:rPr>
          <w:rFonts w:ascii="Times New Roman" w:cs="Times New Roman" w:eastAsia="Times New Roman" w:hAnsi="Times New Roman"/>
          <w:sz w:val="20"/>
          <w:szCs w:val="20"/>
          <w:color w:val="auto"/>
        </w:rPr>
        <w:t>Unless the Directors resolve otherwise, no member shall be entitled in respect of any share held by him to vote either personally or by proxy, or to exercise any other right conferred by membership in relation to General Meetings, if any call or other sum due from him to the Company in respect of that share remains unpaid.</w:t>
      </w:r>
    </w:p>
    <w:p>
      <w:pPr>
        <w:spacing w:after="0" w:line="18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64.2</w:t>
      </w:r>
      <w:r>
        <w:rPr>
          <w:sz w:val="20"/>
          <w:szCs w:val="20"/>
          <w:color w:val="auto"/>
        </w:rPr>
        <w:tab/>
      </w:r>
      <w:r>
        <w:rPr>
          <w:rFonts w:ascii="Times New Roman" w:cs="Times New Roman" w:eastAsia="Times New Roman" w:hAnsi="Times New Roman"/>
          <w:sz w:val="20"/>
          <w:szCs w:val="20"/>
          <w:color w:val="auto"/>
        </w:rPr>
        <w:t>If any member, or any other person appearing to be interested in shares (within the meaning of Part 22 of the Companies Act 2006) held by such member, has been duly served with a notice under Section 793 of the Companies Act 2006 and is in default for a period of 14 days in supplying to the Company the information required by that notice, then (unless the Directors otherwise determine) in respect of:</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64.2.1</w:t>
      </w:r>
      <w:r>
        <w:rPr>
          <w:sz w:val="20"/>
          <w:szCs w:val="20"/>
          <w:color w:val="auto"/>
        </w:rPr>
        <w:tab/>
      </w:r>
      <w:r>
        <w:rPr>
          <w:rFonts w:ascii="Times New Roman" w:cs="Times New Roman" w:eastAsia="Times New Roman" w:hAnsi="Times New Roman"/>
          <w:sz w:val="20"/>
          <w:szCs w:val="20"/>
          <w:color w:val="auto"/>
        </w:rPr>
        <w:t>the shares comprising the shareholding account in the Register which comprises or includes the shares in relation to which the default occurred (all or the relevant number as appropriate of such shares being the “</w:t>
      </w:r>
      <w:r>
        <w:rPr>
          <w:rFonts w:ascii="Times New Roman" w:cs="Times New Roman" w:eastAsia="Times New Roman" w:hAnsi="Times New Roman"/>
          <w:sz w:val="20"/>
          <w:szCs w:val="20"/>
          <w:b w:val="1"/>
          <w:bCs w:val="1"/>
          <w:color w:val="auto"/>
        </w:rPr>
        <w:t>default shares</w:t>
      </w:r>
      <w:r>
        <w:rPr>
          <w:rFonts w:ascii="Times New Roman" w:cs="Times New Roman" w:eastAsia="Times New Roman" w:hAnsi="Times New Roman"/>
          <w:sz w:val="20"/>
          <w:szCs w:val="20"/>
          <w:color w:val="auto"/>
        </w:rPr>
        <w:t>”, which expression shall include any further shares which are issued in respect of such shares); and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64.2.2</w:t>
      </w:r>
      <w:r>
        <w:rPr>
          <w:sz w:val="20"/>
          <w:szCs w:val="20"/>
          <w:color w:val="auto"/>
        </w:rPr>
        <w:tab/>
      </w:r>
      <w:r>
        <w:rPr>
          <w:rFonts w:ascii="Times New Roman" w:cs="Times New Roman" w:eastAsia="Times New Roman" w:hAnsi="Times New Roman"/>
          <w:sz w:val="19"/>
          <w:szCs w:val="19"/>
          <w:color w:val="auto"/>
        </w:rPr>
        <w:t>any other shares held by the member,</w:t>
      </w:r>
    </w:p>
    <w:p>
      <w:pPr>
        <w:spacing w:after="0" w:line="241"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the member shall not (for so long as the default continues), nor shall any transferee to whom any of such shares are transferred (other than pursuant to an approved transfer or pursuant to</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type w:val="continuous"/>
        </w:sectPr>
      </w:pPr>
    </w:p>
    <w:bookmarkStart w:id="232" w:name="page233"/>
    <w:bookmarkEnd w:id="232"/>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Article 64.3.2), be entitled to attend or vote either personally or by proxy at a General Meeting or to exercise any other right conferred by membership in relation to General Meetings.</w:t>
      </w:r>
    </w:p>
    <w:p>
      <w:pPr>
        <w:spacing w:after="0" w:line="142"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64.3</w:t>
      </w:r>
      <w:r>
        <w:rPr>
          <w:sz w:val="20"/>
          <w:szCs w:val="20"/>
          <w:color w:val="auto"/>
        </w:rPr>
        <w:tab/>
      </w:r>
      <w:r>
        <w:rPr>
          <w:rFonts w:ascii="Times New Roman" w:cs="Times New Roman" w:eastAsia="Times New Roman" w:hAnsi="Times New Roman"/>
          <w:sz w:val="20"/>
          <w:szCs w:val="20"/>
          <w:color w:val="auto"/>
        </w:rPr>
        <w:t>Where the default shares represent 0.25 per cent. or more of the issued shares of the class in question, the Directors may in their absolute discretion by notice in writing (a “</w:t>
      </w:r>
      <w:r>
        <w:rPr>
          <w:rFonts w:ascii="Times New Roman" w:cs="Times New Roman" w:eastAsia="Times New Roman" w:hAnsi="Times New Roman"/>
          <w:sz w:val="20"/>
          <w:szCs w:val="20"/>
          <w:b w:val="1"/>
          <w:bCs w:val="1"/>
          <w:color w:val="auto"/>
        </w:rPr>
        <w:t>direction notice</w:t>
      </w:r>
      <w:r>
        <w:rPr>
          <w:rFonts w:ascii="Times New Roman" w:cs="Times New Roman" w:eastAsia="Times New Roman" w:hAnsi="Times New Roman"/>
          <w:sz w:val="20"/>
          <w:szCs w:val="20"/>
          <w:color w:val="auto"/>
        </w:rPr>
        <w:t>”) to such member direct that:</w:t>
      </w:r>
    </w:p>
    <w:p>
      <w:pPr>
        <w:spacing w:after="0" w:line="150"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64.3.1</w:t>
      </w:r>
      <w:r>
        <w:rPr>
          <w:sz w:val="20"/>
          <w:szCs w:val="20"/>
          <w:color w:val="auto"/>
        </w:rPr>
        <w:tab/>
      </w:r>
      <w:r>
        <w:rPr>
          <w:rFonts w:ascii="Times New Roman" w:cs="Times New Roman" w:eastAsia="Times New Roman" w:hAnsi="Times New Roman"/>
          <w:sz w:val="20"/>
          <w:szCs w:val="20"/>
          <w:color w:val="auto"/>
        </w:rPr>
        <w:t>any dividend or part of a dividend (including shares to be issued in lieu of a dividend) or other money which would otherwise be payable in respect of the default shares shall be retained by the Company without any liability to pay interest on it when such dividend or other money is finally paid to the member; and/or</w:t>
      </w:r>
    </w:p>
    <w:p>
      <w:pPr>
        <w:spacing w:after="0" w:line="161"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18"/>
          <w:szCs w:val="18"/>
          <w:b w:val="1"/>
          <w:bCs w:val="1"/>
          <w:color w:val="auto"/>
        </w:rPr>
        <w:t>64.3.2</w:t>
      </w:r>
      <w:r>
        <w:rPr>
          <w:sz w:val="20"/>
          <w:szCs w:val="20"/>
          <w:color w:val="auto"/>
        </w:rPr>
        <w:tab/>
      </w:r>
      <w:r>
        <w:rPr>
          <w:rFonts w:ascii="Times New Roman" w:cs="Times New Roman" w:eastAsia="Times New Roman" w:hAnsi="Times New Roman"/>
          <w:sz w:val="19"/>
          <w:szCs w:val="19"/>
          <w:color w:val="auto"/>
        </w:rPr>
        <w:t>no transfer of any of the shares held by such member shall be registered unless the transfer is an approved transfer or:</w:t>
      </w:r>
    </w:p>
    <w:p>
      <w:pPr>
        <w:spacing w:after="0" w:line="241" w:lineRule="exact"/>
        <w:rPr>
          <w:sz w:val="20"/>
          <w:szCs w:val="20"/>
          <w:color w:val="auto"/>
        </w:rPr>
      </w:pPr>
    </w:p>
    <w:p>
      <w:pPr>
        <w:ind w:left="1940" w:hanging="636"/>
        <w:spacing w:after="0"/>
        <w:tabs>
          <w:tab w:leader="none" w:pos="194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 is not himself in default as regards supplying the information required; and</w:t>
      </w:r>
    </w:p>
    <w:p>
      <w:pPr>
        <w:spacing w:after="0" w:line="215" w:lineRule="exact"/>
        <w:rPr>
          <w:rFonts w:ascii="Times New Roman" w:cs="Times New Roman" w:eastAsia="Times New Roman" w:hAnsi="Times New Roman"/>
          <w:sz w:val="20"/>
          <w:szCs w:val="20"/>
          <w:color w:val="auto"/>
        </w:rPr>
      </w:pPr>
    </w:p>
    <w:p>
      <w:pPr>
        <w:jc w:val="both"/>
        <w:ind w:left="1960" w:right="20" w:hanging="656"/>
        <w:spacing w:after="0" w:line="268" w:lineRule="auto"/>
        <w:tabs>
          <w:tab w:leader="none" w:pos="195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is of part only of the member’s holding and, when presented for registration, is accompanied by a certificate by the member in a form satisfactory to the Directors to the effect that after due and careful enquiry the member is satisfied that none of the shares the subject of the transfer are default shares.</w:t>
      </w:r>
    </w:p>
    <w:p>
      <w:pPr>
        <w:spacing w:after="0" w:line="15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64.4</w:t>
      </w:r>
      <w:r>
        <w:rPr>
          <w:sz w:val="20"/>
          <w:szCs w:val="20"/>
          <w:color w:val="auto"/>
        </w:rPr>
        <w:tab/>
      </w:r>
      <w:r>
        <w:rPr>
          <w:rFonts w:ascii="Times New Roman" w:cs="Times New Roman" w:eastAsia="Times New Roman" w:hAnsi="Times New Roman"/>
          <w:sz w:val="20"/>
          <w:szCs w:val="20"/>
          <w:color w:val="auto"/>
        </w:rPr>
        <w:t>For the purposes of ensuring Article 64.3.2 can apply to all shares held by a member, the Company may in accordance with the Uncertificated Securities Rules, issue a written notification to the Operator requiring conversion into certificated form of any share held by the member in uncertificated form.</w:t>
      </w:r>
    </w:p>
    <w:p>
      <w:pPr>
        <w:spacing w:after="0" w:line="181"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64.5</w:t>
      </w:r>
      <w:r>
        <w:rPr>
          <w:sz w:val="20"/>
          <w:szCs w:val="20"/>
          <w:color w:val="auto"/>
        </w:rPr>
        <w:tab/>
      </w:r>
      <w:r>
        <w:rPr>
          <w:rFonts w:ascii="Times New Roman" w:cs="Times New Roman" w:eastAsia="Times New Roman" w:hAnsi="Times New Roman"/>
          <w:sz w:val="20"/>
          <w:szCs w:val="20"/>
          <w:color w:val="auto"/>
        </w:rPr>
        <w:t>The Company shall send a copy of the direction notice to each other person appearing to be interested in the shares which are the subject of that direction notice, but the failure or omission by the Company to do so shall not invalidate such notice.</w:t>
      </w:r>
    </w:p>
    <w:p>
      <w:pPr>
        <w:spacing w:after="0" w:line="14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64.6</w:t>
      </w:r>
      <w:r>
        <w:rPr>
          <w:sz w:val="20"/>
          <w:szCs w:val="20"/>
          <w:color w:val="auto"/>
        </w:rPr>
        <w:tab/>
      </w:r>
      <w:r>
        <w:rPr>
          <w:rFonts w:ascii="Times New Roman" w:cs="Times New Roman" w:eastAsia="Times New Roman" w:hAnsi="Times New Roman"/>
          <w:sz w:val="20"/>
          <w:szCs w:val="20"/>
          <w:color w:val="auto"/>
        </w:rPr>
        <w:t>Any direction notice shall have effect in accordance with its terms for so long as the default in respect of which the direction notice was issued continues. Any direction notice shall cease to have effect at such time as the Directors decide. Within a period of one week of the default being duly remedied, the Directors shall decide that the relevant direction notice shall cease to have effect and shall give written notice of that fact to the member as soon as reasonably practicable.</w:t>
      </w:r>
    </w:p>
    <w:p>
      <w:pPr>
        <w:spacing w:after="0" w:line="172"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64.7</w:t>
      </w:r>
      <w:r>
        <w:rPr>
          <w:sz w:val="20"/>
          <w:szCs w:val="20"/>
          <w:color w:val="auto"/>
        </w:rPr>
        <w:tab/>
      </w:r>
      <w:r>
        <w:rPr>
          <w:rFonts w:ascii="Times New Roman" w:cs="Times New Roman" w:eastAsia="Times New Roman" w:hAnsi="Times New Roman"/>
          <w:sz w:val="20"/>
          <w:szCs w:val="20"/>
          <w:color w:val="auto"/>
        </w:rPr>
        <w:t>Any direction notice shall cease to have effect in relation to any shares which are transferred by such member by means of an approved transfer or in accordance with Article 64.3.2.</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64.8</w:t>
      </w:r>
      <w:r>
        <w:rPr>
          <w:sz w:val="20"/>
          <w:szCs w:val="20"/>
          <w:color w:val="auto"/>
        </w:rPr>
        <w:tab/>
      </w:r>
      <w:r>
        <w:rPr>
          <w:rFonts w:ascii="Times New Roman" w:cs="Times New Roman" w:eastAsia="Times New Roman" w:hAnsi="Times New Roman"/>
          <w:sz w:val="19"/>
          <w:szCs w:val="19"/>
          <w:color w:val="auto"/>
        </w:rPr>
        <w:t>For the purposes of this Article 64:</w:t>
      </w:r>
    </w:p>
    <w:p>
      <w:pPr>
        <w:spacing w:after="0" w:line="220"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64.8.1</w:t>
      </w:r>
      <w:r>
        <w:rPr>
          <w:sz w:val="20"/>
          <w:szCs w:val="20"/>
          <w:color w:val="auto"/>
        </w:rPr>
        <w:tab/>
      </w:r>
      <w:r>
        <w:rPr>
          <w:rFonts w:ascii="Times New Roman" w:cs="Times New Roman" w:eastAsia="Times New Roman" w:hAnsi="Times New Roman"/>
          <w:sz w:val="19"/>
          <w:szCs w:val="19"/>
          <w:color w:val="auto"/>
        </w:rPr>
        <w:t>a person shall be treated as appearing to be interested in any shares if the member holding such shares has been served with a notice under Section 793 of the Companies Act 2006 and either: (i) the member has named such person as being so interested; or (ii) (after taking into account the response of the member to the said notice and any other relevant information) the Company knows or has reasonable cause to believe that the person in question is or may be interested in the shares; and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64.8.2</w:t>
      </w:r>
      <w:r>
        <w:rPr>
          <w:sz w:val="20"/>
          <w:szCs w:val="20"/>
          <w:color w:val="auto"/>
        </w:rPr>
        <w:tab/>
      </w:r>
      <w:r>
        <w:rPr>
          <w:rFonts w:ascii="Times New Roman" w:cs="Times New Roman" w:eastAsia="Times New Roman" w:hAnsi="Times New Roman"/>
          <w:sz w:val="19"/>
          <w:szCs w:val="19"/>
          <w:color w:val="auto"/>
        </w:rPr>
        <w:t>a transfer of shares is an “</w:t>
      </w:r>
      <w:r>
        <w:rPr>
          <w:rFonts w:ascii="Times New Roman" w:cs="Times New Roman" w:eastAsia="Times New Roman" w:hAnsi="Times New Roman"/>
          <w:sz w:val="19"/>
          <w:szCs w:val="19"/>
          <w:b w:val="1"/>
          <w:bCs w:val="1"/>
          <w:color w:val="auto"/>
        </w:rPr>
        <w:t>approved transfer</w:t>
      </w:r>
      <w:r>
        <w:rPr>
          <w:rFonts w:ascii="Times New Roman" w:cs="Times New Roman" w:eastAsia="Times New Roman" w:hAnsi="Times New Roman"/>
          <w:sz w:val="19"/>
          <w:szCs w:val="19"/>
          <w:color w:val="auto"/>
        </w:rPr>
        <w: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233" w:name="page234"/>
    <w:bookmarkEnd w:id="233"/>
    <w:p>
      <w:pPr>
        <w:ind w:left="1960" w:right="20" w:hanging="656"/>
        <w:spacing w:after="0" w:line="283" w:lineRule="auto"/>
        <w:tabs>
          <w:tab w:leader="none" w:pos="195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transfer of shares to an offeror by way or in pursuance of acceptance of a takeover offer (as defined in Section 974 of the Companies Act 2006); or</w:t>
      </w:r>
    </w:p>
    <w:p>
      <w:pPr>
        <w:spacing w:after="0" w:line="146" w:lineRule="exact"/>
        <w:rPr>
          <w:rFonts w:ascii="Times New Roman" w:cs="Times New Roman" w:eastAsia="Times New Roman" w:hAnsi="Times New Roman"/>
          <w:sz w:val="20"/>
          <w:szCs w:val="20"/>
          <w:color w:val="auto"/>
        </w:rPr>
      </w:pPr>
    </w:p>
    <w:p>
      <w:pPr>
        <w:jc w:val="both"/>
        <w:ind w:left="1960" w:hanging="656"/>
        <w:spacing w:after="0" w:line="253" w:lineRule="auto"/>
        <w:tabs>
          <w:tab w:leader="none" w:pos="195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are satisfied that the transfer is made pursuant to a genuine sale of the whole of the beneficial ownership of the shares to a party unconnected with the member, or with any person appearing to be interested in such shares, including any such sale made through Nasdaq or any other recognised investment exchange (as defined in Section 285 of the Financial Services and Markets Act 2000) or through a stock exchange on which the Company’s shares are normally traded. For the purposes of this Article 64, any associate (as that term is defined in Section 435 of the Insolvency Act 1986) shall be included amongst the persons who are connected with the member or any person appearing to be interested in such shares.</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64.9</w:t>
      </w:r>
      <w:r>
        <w:rPr>
          <w:sz w:val="20"/>
          <w:szCs w:val="20"/>
          <w:color w:val="auto"/>
        </w:rPr>
        <w:tab/>
      </w:r>
      <w:r>
        <w:rPr>
          <w:rFonts w:ascii="Times New Roman" w:cs="Times New Roman" w:eastAsia="Times New Roman" w:hAnsi="Times New Roman"/>
          <w:sz w:val="19"/>
          <w:szCs w:val="19"/>
          <w:color w:val="auto"/>
        </w:rPr>
        <w:t>The provisions of this Article 64 are in addition and without prejudice to the provisions of the Companies Acts.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Directors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number of Directors (other than any alternate Directors) shall not be less than two in number but shall not be subject to any maximum number, save that the Company may by ordinary resolution from time to time vary the minimum number and/or maximum number of Directors.</w:t>
      </w:r>
    </w:p>
    <w:p>
      <w:pPr>
        <w:spacing w:after="0" w:line="39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qualification</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Director shall not be required to hold any shares of the Company by way of qualification. A Director who is not a member of the Company shall nevertheless be entitled to attend and speak at General Meetings.</w:t>
      </w:r>
    </w:p>
    <w:p>
      <w:pPr>
        <w:spacing w:after="0" w:line="384"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fees</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67.1</w:t>
      </w:r>
      <w:r>
        <w:rPr>
          <w:sz w:val="20"/>
          <w:szCs w:val="20"/>
          <w:color w:val="auto"/>
        </w:rPr>
        <w:tab/>
      </w:r>
      <w:r>
        <w:rPr>
          <w:rFonts w:ascii="Times New Roman" w:cs="Times New Roman" w:eastAsia="Times New Roman" w:hAnsi="Times New Roman"/>
          <w:sz w:val="20"/>
          <w:szCs w:val="20"/>
          <w:color w:val="auto"/>
        </w:rPr>
        <w:t>The ordinary remuneration of the Directors (which may take the form of cash, securities issued by the Company or such other form as the Directors shall decide) shall from time to time be determined by the Directors.</w:t>
      </w:r>
    </w:p>
    <w:p>
      <w:pPr>
        <w:spacing w:after="0" w:line="14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67.2</w:t>
      </w:r>
      <w:r>
        <w:rPr>
          <w:sz w:val="20"/>
          <w:szCs w:val="20"/>
          <w:color w:val="auto"/>
        </w:rPr>
        <w:tab/>
      </w:r>
      <w:r>
        <w:rPr>
          <w:rFonts w:ascii="Times New Roman" w:cs="Times New Roman" w:eastAsia="Times New Roman" w:hAnsi="Times New Roman"/>
          <w:sz w:val="20"/>
          <w:szCs w:val="20"/>
          <w:color w:val="auto"/>
        </w:rPr>
        <w:t>Such ordinary remuneration shall (unless otherwise provided by ordinary resolution) be divisible among the Directors as they may agree or, failing agreement, equally, except that any Director who shall hold office for part only of the period in respect of which such remuneration is payable shall be entitled only to remuneration in proportion to the period during which he has held office.</w:t>
      </w:r>
    </w:p>
    <w:p>
      <w:pPr>
        <w:spacing w:after="0" w:line="377"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remuneration of Directors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Director who holds any executive office (including for this purpose the office of Chair or Deputy Chair whether or not such office is held in an executive capacity), or who serves on any committee of the Directors, or who otherwise performs services which in the opinion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234" w:name="page235"/>
    <w:bookmarkEnd w:id="234"/>
    <w:p>
      <w:pPr>
        <w:ind w:left="660"/>
        <w:spacing w:after="0" w:line="283" w:lineRule="auto"/>
        <w:rPr>
          <w:sz w:val="20"/>
          <w:szCs w:val="20"/>
          <w:color w:val="auto"/>
        </w:rPr>
      </w:pPr>
      <w:r>
        <w:rPr>
          <w:rFonts w:ascii="Times New Roman" w:cs="Times New Roman" w:eastAsia="Times New Roman" w:hAnsi="Times New Roman"/>
          <w:sz w:val="20"/>
          <w:szCs w:val="20"/>
          <w:color w:val="auto"/>
        </w:rPr>
        <w:t>the Directors are outside the scope of the ordinary duties of a Director, may be paid such extra remuneration by way of salary, commission or otherwise or may receive such other benefits as the Directors may determine.</w:t>
      </w:r>
    </w:p>
    <w:p>
      <w:pPr>
        <w:spacing w:after="0" w:line="358"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expenses</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may repay to any Director all such reasonable expenses as he may incur in attending and returning from meetings of the Directors or of any committee of the Directors or General Meetings or separate meetings of any class of members or debentures or otherwise in connection with the business of the Company.</w:t>
      </w:r>
    </w:p>
    <w:p>
      <w:pPr>
        <w:spacing w:after="0" w:line="39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Pensions and other benefits</w:t>
      </w:r>
    </w:p>
    <w:p>
      <w:pPr>
        <w:spacing w:after="0" w:line="21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70.1</w:t>
      </w:r>
      <w:r>
        <w:rPr>
          <w:sz w:val="20"/>
          <w:szCs w:val="20"/>
          <w:color w:val="auto"/>
        </w:rPr>
        <w:tab/>
      </w:r>
      <w:r>
        <w:rPr>
          <w:rFonts w:ascii="Times New Roman" w:cs="Times New Roman" w:eastAsia="Times New Roman" w:hAnsi="Times New Roman"/>
          <w:sz w:val="20"/>
          <w:szCs w:val="20"/>
          <w:color w:val="auto"/>
        </w:rPr>
        <w:t>The Directors may exercise all the powers of the Company to provide pensions or other retirement or superannuation benefits and to provide death or disability benefits or other allowances or gratuities (whether by insurance or otherwise) for any person who is or has at any time been a Director or employee of:</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70.1.1</w:t>
      </w:r>
      <w:r>
        <w:rPr>
          <w:sz w:val="20"/>
          <w:szCs w:val="20"/>
          <w:color w:val="auto"/>
        </w:rPr>
        <w:tab/>
      </w:r>
      <w:r>
        <w:rPr>
          <w:rFonts w:ascii="Times New Roman" w:cs="Times New Roman" w:eastAsia="Times New Roman" w:hAnsi="Times New Roman"/>
          <w:sz w:val="19"/>
          <w:szCs w:val="19"/>
          <w:color w:val="auto"/>
        </w:rPr>
        <w:t>the Company;</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70.1.2</w:t>
      </w:r>
      <w:r>
        <w:rPr>
          <w:sz w:val="20"/>
          <w:szCs w:val="20"/>
          <w:color w:val="auto"/>
        </w:rPr>
        <w:tab/>
      </w:r>
      <w:r>
        <w:rPr>
          <w:rFonts w:ascii="Times New Roman" w:cs="Times New Roman" w:eastAsia="Times New Roman" w:hAnsi="Times New Roman"/>
          <w:sz w:val="19"/>
          <w:szCs w:val="19"/>
          <w:color w:val="auto"/>
        </w:rPr>
        <w:t>any company which is or was a holding company or a subsidiary of the Company;</w:t>
      </w:r>
    </w:p>
    <w:p>
      <w:pPr>
        <w:spacing w:after="0" w:line="227"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70.1.3</w:t>
      </w:r>
      <w:r>
        <w:rPr>
          <w:sz w:val="20"/>
          <w:szCs w:val="20"/>
          <w:color w:val="auto"/>
        </w:rPr>
        <w:tab/>
      </w:r>
      <w:r>
        <w:rPr>
          <w:rFonts w:ascii="Times New Roman" w:cs="Times New Roman" w:eastAsia="Times New Roman" w:hAnsi="Times New Roman"/>
          <w:sz w:val="20"/>
          <w:szCs w:val="20"/>
          <w:color w:val="auto"/>
        </w:rPr>
        <w:t>any company which is or was allied to or associated with the Company or a subsidiary or holding company of the Company; or</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70.1.4</w:t>
      </w:r>
      <w:r>
        <w:rPr>
          <w:sz w:val="20"/>
          <w:szCs w:val="20"/>
          <w:color w:val="auto"/>
        </w:rPr>
        <w:tab/>
      </w:r>
      <w:r>
        <w:rPr>
          <w:rFonts w:ascii="Times New Roman" w:cs="Times New Roman" w:eastAsia="Times New Roman" w:hAnsi="Times New Roman"/>
          <w:sz w:val="19"/>
          <w:szCs w:val="19"/>
          <w:color w:val="auto"/>
        </w:rPr>
        <w:t>a predecessor in business of the Company or of any holding company or subsidiary of the Company.</w:t>
      </w:r>
    </w:p>
    <w:p>
      <w:pPr>
        <w:spacing w:after="0" w:line="237"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70.2</w:t>
      </w:r>
      <w:r>
        <w:rPr>
          <w:sz w:val="20"/>
          <w:szCs w:val="20"/>
          <w:color w:val="auto"/>
        </w:rPr>
        <w:tab/>
      </w:r>
      <w:r>
        <w:rPr>
          <w:rFonts w:ascii="Times New Roman" w:cs="Times New Roman" w:eastAsia="Times New Roman" w:hAnsi="Times New Roman"/>
          <w:sz w:val="19"/>
          <w:szCs w:val="19"/>
          <w:color w:val="auto"/>
        </w:rPr>
        <w:t>The Directors may establish, maintain, subscribe and contribute to any scheme, institution, association, club, trust or fund and pay premiums and, subject to the Companies Acts, lend money or make payments to, guarantee or give an indemnity in respect of, or give any financial or other assistance in connection with any of the matters set out in Article 70.1 above. The Directors may procure any of such matters to be done by the Company either alone or in conjunction with any other person. Any Director or former Director shall be entitled to receive and retain for their own benefit any pension or other benefit provided under this Article and shall not have to account for it to the Company. The receipt of any such benefit will not disqualify any person from being or becoming a Director.</w:t>
      </w:r>
    </w:p>
    <w:p>
      <w:pPr>
        <w:spacing w:after="0" w:line="3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20"/>
          <w:szCs w:val="20"/>
          <w:b w:val="1"/>
          <w:bCs w:val="1"/>
          <w:color w:val="auto"/>
        </w:rPr>
        <w:t>Appointment of executive Directors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71.1</w:t>
      </w:r>
      <w:r>
        <w:rPr>
          <w:sz w:val="20"/>
          <w:szCs w:val="20"/>
          <w:color w:val="auto"/>
        </w:rPr>
        <w:tab/>
      </w:r>
      <w:r>
        <w:rPr>
          <w:rFonts w:ascii="Times New Roman" w:cs="Times New Roman" w:eastAsia="Times New Roman" w:hAnsi="Times New Roman"/>
          <w:sz w:val="20"/>
          <w:szCs w:val="20"/>
          <w:color w:val="auto"/>
        </w:rPr>
        <w:t>The Directors may from time to time appoint one or more of them to be the holder of any executive office (including, where considered appropriate, the office of Chair or Deputy Chair) on such terms and for such period as they may (subject to the provisions of the Legislation) resolve and, without prejudice to the terms of any contract entered into in any particular case, may at any time revoke or vary the terms of any such appointment.</w:t>
      </w:r>
    </w:p>
    <w:p>
      <w:pPr>
        <w:spacing w:after="0" w:line="17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71.2</w:t>
      </w:r>
      <w:r>
        <w:rPr>
          <w:sz w:val="20"/>
          <w:szCs w:val="20"/>
          <w:color w:val="auto"/>
        </w:rPr>
        <w:tab/>
      </w:r>
      <w:r>
        <w:rPr>
          <w:rFonts w:ascii="Times New Roman" w:cs="Times New Roman" w:eastAsia="Times New Roman" w:hAnsi="Times New Roman"/>
          <w:sz w:val="20"/>
          <w:szCs w:val="20"/>
          <w:color w:val="auto"/>
        </w:rPr>
        <w:t>The appointment of any Director to the office of Chair or Deputy Chair or Managing or Joint Managing or Deputy or Assistant Managing Director shall automatically terminate if he ceases to be a Director but without prejudice to any claim for damages for breach of any contract of service between him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235" w:name="page236"/>
    <w:bookmarkEnd w:id="235"/>
    <w:p>
      <w:pPr>
        <w:jc w:val="both"/>
        <w:ind w:left="652" w:hanging="647"/>
        <w:spacing w:after="0" w:line="281" w:lineRule="auto"/>
        <w:tabs>
          <w:tab w:leader="none" w:pos="632" w:val="left"/>
        </w:tabs>
        <w:rPr>
          <w:sz w:val="20"/>
          <w:szCs w:val="20"/>
          <w:color w:val="auto"/>
        </w:rPr>
      </w:pPr>
      <w:r>
        <w:rPr>
          <w:rFonts w:ascii="Times New Roman" w:cs="Times New Roman" w:eastAsia="Times New Roman" w:hAnsi="Times New Roman"/>
          <w:sz w:val="20"/>
          <w:szCs w:val="20"/>
          <w:b w:val="1"/>
          <w:bCs w:val="1"/>
          <w:color w:val="auto"/>
        </w:rPr>
        <w:t>71.3</w:t>
      </w:r>
      <w:r>
        <w:rPr>
          <w:sz w:val="20"/>
          <w:szCs w:val="20"/>
          <w:color w:val="auto"/>
        </w:rPr>
        <w:tab/>
      </w:r>
      <w:r>
        <w:rPr>
          <w:rFonts w:ascii="Times New Roman" w:cs="Times New Roman" w:eastAsia="Times New Roman" w:hAnsi="Times New Roman"/>
          <w:sz w:val="19"/>
          <w:szCs w:val="19"/>
          <w:color w:val="auto"/>
        </w:rPr>
        <w:t>The appointment of any Director to any other executive office shall not automatically terminate if he ceases to be a Director for any reason, unless the contract or resolution under which he holds office shall expressly state otherwise, in which event such termination shall be without prejudice to any claim for damages for breach of any contract of service between him and the Company.</w:t>
      </w:r>
    </w:p>
    <w:p>
      <w:pPr>
        <w:spacing w:after="0" w:line="380" w:lineRule="exact"/>
        <w:rPr>
          <w:sz w:val="20"/>
          <w:szCs w:val="20"/>
          <w:color w:val="auto"/>
        </w:rPr>
      </w:pPr>
    </w:p>
    <w:p>
      <w:pPr>
        <w:ind w:left="652" w:hanging="652"/>
        <w:spacing w:after="0"/>
        <w:tabs>
          <w:tab w:leader="none" w:pos="652"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Powers of executive Directors</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6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may entrust to and confer upon any Director holding any executive office any of the powers exercisable by them as Directors upon such terms and conditions and with such restrictions as they think fit, and either collaterally with or to the exclusion of their own powers. They may from time to time revoke, withdraw, alter or vary all or any of such delegated powers.</w:t>
      </w:r>
    </w:p>
    <w:p>
      <w:pPr>
        <w:spacing w:after="0" w:line="3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Appointment and Retirement of Directors</w:t>
      </w:r>
    </w:p>
    <w:p>
      <w:pPr>
        <w:spacing w:after="0" w:line="200" w:lineRule="exact"/>
        <w:rPr>
          <w:sz w:val="20"/>
          <w:szCs w:val="20"/>
          <w:color w:val="auto"/>
        </w:rPr>
      </w:pPr>
    </w:p>
    <w:p>
      <w:pPr>
        <w:spacing w:after="0" w:line="245" w:lineRule="exact"/>
        <w:rPr>
          <w:sz w:val="20"/>
          <w:szCs w:val="20"/>
          <w:color w:val="auto"/>
        </w:rPr>
      </w:pPr>
    </w:p>
    <w:p>
      <w:pPr>
        <w:ind w:left="652" w:hanging="652"/>
        <w:spacing w:after="0"/>
        <w:tabs>
          <w:tab w:leader="none" w:pos="652"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or appointment of additional Directors</w:t>
      </w:r>
    </w:p>
    <w:p>
      <w:pPr>
        <w:spacing w:after="0" w:line="219" w:lineRule="exact"/>
        <w:rPr>
          <w:rFonts w:ascii="Times New Roman" w:cs="Times New Roman" w:eastAsia="Times New Roman" w:hAnsi="Times New Roman"/>
          <w:sz w:val="20"/>
          <w:szCs w:val="20"/>
          <w:b w:val="1"/>
          <w:bCs w:val="1"/>
          <w:color w:val="auto"/>
        </w:rPr>
      </w:pPr>
    </w:p>
    <w:p>
      <w:pPr>
        <w:jc w:val="both"/>
        <w:ind w:left="652" w:right="2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by ordinary resolution elect, and the Directors shall have power at any time to appoint, any person to be a Director either to fill a casual vacancy or as an additional Director, but not so that the total number of Directors shall exceed the maximum number fixed by or in accordance with these Articles. Any person so appointed by the Directors shall retire at the next Annual General Meeting and shall then be eligible for re-election.</w:t>
      </w:r>
    </w:p>
    <w:p>
      <w:pPr>
        <w:spacing w:after="0" w:line="397"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at Annual General Meetings</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6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the end of each Annual General Meeting, all the Directors holding office at the date that notice is sent of that Annual General Meeting shall retire from office except for any Director appointed by the Directors after notice of that Annual General Meeting has been given and before that Annual General Meeting has been held.</w:t>
      </w:r>
    </w:p>
    <w:p>
      <w:pPr>
        <w:spacing w:after="0" w:line="373"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Re-election of retiring Director</w:t>
      </w:r>
    </w:p>
    <w:p>
      <w:pPr>
        <w:spacing w:after="0" w:line="229" w:lineRule="exact"/>
        <w:rPr>
          <w:sz w:val="20"/>
          <w:szCs w:val="20"/>
          <w:color w:val="auto"/>
        </w:rPr>
      </w:pPr>
    </w:p>
    <w:p>
      <w:pPr>
        <w:jc w:val="both"/>
        <w:ind w:left="652" w:hanging="647"/>
        <w:spacing w:after="0" w:line="281" w:lineRule="auto"/>
        <w:tabs>
          <w:tab w:leader="none" w:pos="632" w:val="left"/>
        </w:tabs>
        <w:rPr>
          <w:sz w:val="20"/>
          <w:szCs w:val="20"/>
          <w:color w:val="auto"/>
        </w:rPr>
      </w:pPr>
      <w:r>
        <w:rPr>
          <w:rFonts w:ascii="Times New Roman" w:cs="Times New Roman" w:eastAsia="Times New Roman" w:hAnsi="Times New Roman"/>
          <w:sz w:val="20"/>
          <w:szCs w:val="20"/>
          <w:b w:val="1"/>
          <w:bCs w:val="1"/>
          <w:color w:val="auto"/>
        </w:rPr>
        <w:t>75.1</w:t>
      </w:r>
      <w:r>
        <w:rPr>
          <w:sz w:val="20"/>
          <w:szCs w:val="20"/>
          <w:color w:val="auto"/>
        </w:rPr>
        <w:tab/>
      </w:r>
      <w:r>
        <w:rPr>
          <w:rFonts w:ascii="Times New Roman" w:cs="Times New Roman" w:eastAsia="Times New Roman" w:hAnsi="Times New Roman"/>
          <w:sz w:val="19"/>
          <w:szCs w:val="19"/>
          <w:color w:val="auto"/>
        </w:rPr>
        <w:t>Where a Director retires at an Annual General Meeting in accordance with Article 74 or otherwise, the Company may at the meeting by ordinary resolution fill the office being vacated by electing the retiring Director (if eligible for re-election). In the absence of such a resolution the retiring Director shall nevertheless be deemed to have been re-elected except in any of the following cases:</w:t>
      </w:r>
    </w:p>
    <w:p>
      <w:pPr>
        <w:spacing w:after="0" w:line="15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b w:val="1"/>
          <w:bCs w:val="1"/>
          <w:color w:val="auto"/>
        </w:rPr>
        <w:t>75.1.1</w:t>
      </w:r>
      <w:r>
        <w:rPr>
          <w:sz w:val="20"/>
          <w:szCs w:val="20"/>
          <w:color w:val="auto"/>
        </w:rPr>
        <w:tab/>
      </w:r>
      <w:r>
        <w:rPr>
          <w:rFonts w:ascii="Times New Roman" w:cs="Times New Roman" w:eastAsia="Times New Roman" w:hAnsi="Times New Roman"/>
          <w:sz w:val="19"/>
          <w:szCs w:val="19"/>
          <w:color w:val="auto"/>
        </w:rPr>
        <w:t>where at such meeting a resolution for the re-election of such Director is put to the meeting and lost;</w:t>
      </w:r>
    </w:p>
    <w:p>
      <w:pPr>
        <w:spacing w:after="0" w:line="241" w:lineRule="exact"/>
        <w:rPr>
          <w:sz w:val="20"/>
          <w:szCs w:val="20"/>
          <w:color w:val="auto"/>
        </w:rPr>
      </w:pPr>
    </w:p>
    <w:p>
      <w:pPr>
        <w:ind w:left="1292" w:hanging="647"/>
        <w:spacing w:after="0" w:line="283" w:lineRule="auto"/>
        <w:tabs>
          <w:tab w:leader="none" w:pos="1272" w:val="left"/>
        </w:tabs>
        <w:rPr>
          <w:sz w:val="20"/>
          <w:szCs w:val="20"/>
          <w:color w:val="auto"/>
        </w:rPr>
      </w:pPr>
      <w:r>
        <w:rPr>
          <w:rFonts w:ascii="Times New Roman" w:cs="Times New Roman" w:eastAsia="Times New Roman" w:hAnsi="Times New Roman"/>
          <w:sz w:val="18"/>
          <w:szCs w:val="18"/>
          <w:b w:val="1"/>
          <w:bCs w:val="1"/>
          <w:color w:val="auto"/>
        </w:rPr>
        <w:t>75.1.2</w:t>
      </w:r>
      <w:r>
        <w:rPr>
          <w:sz w:val="20"/>
          <w:szCs w:val="20"/>
          <w:color w:val="auto"/>
        </w:rPr>
        <w:tab/>
      </w:r>
      <w:r>
        <w:rPr>
          <w:rFonts w:ascii="Times New Roman" w:cs="Times New Roman" w:eastAsia="Times New Roman" w:hAnsi="Times New Roman"/>
          <w:sz w:val="20"/>
          <w:szCs w:val="20"/>
          <w:color w:val="auto"/>
        </w:rPr>
        <w:t>where such Director is ineligible for re-election or has given notice in writing to the Company that he is unwilling to be re-elected; or</w:t>
      </w:r>
    </w:p>
    <w:p>
      <w:pPr>
        <w:spacing w:after="0" w:line="146"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b w:val="1"/>
          <w:bCs w:val="1"/>
          <w:color w:val="auto"/>
        </w:rPr>
        <w:t>75.1.3</w:t>
      </w:r>
      <w:r>
        <w:rPr>
          <w:sz w:val="20"/>
          <w:szCs w:val="20"/>
          <w:color w:val="auto"/>
        </w:rPr>
        <w:tab/>
      </w:r>
      <w:r>
        <w:rPr>
          <w:rFonts w:ascii="Times New Roman" w:cs="Times New Roman" w:eastAsia="Times New Roman" w:hAnsi="Times New Roman"/>
          <w:sz w:val="19"/>
          <w:szCs w:val="19"/>
          <w:color w:val="auto"/>
        </w:rPr>
        <w:t>where a resolution to elect such Director is void by reason of contravention of Section 160 of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32"/>
          </w:cols>
          <w:pgMar w:left="328" w:top="1409" w:right="339" w:bottom="1440" w:gutter="0" w:footer="0" w:header="0"/>
        </w:sectPr>
      </w:pPr>
    </w:p>
    <w:bookmarkStart w:id="236" w:name="page237"/>
    <w:bookmarkEnd w:id="236"/>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75.2</w:t>
      </w:r>
      <w:r>
        <w:rPr>
          <w:sz w:val="20"/>
          <w:szCs w:val="20"/>
          <w:color w:val="auto"/>
        </w:rPr>
        <w:tab/>
      </w:r>
      <w:r>
        <w:rPr>
          <w:rFonts w:ascii="Times New Roman" w:cs="Times New Roman" w:eastAsia="Times New Roman" w:hAnsi="Times New Roman"/>
          <w:sz w:val="20"/>
          <w:szCs w:val="20"/>
          <w:color w:val="auto"/>
        </w:rPr>
        <w:t>The retirement shall not have effect until the conclusion of the meeting except where a resolution is passed to elect some other person in the place of the retiring Director or a resolution for his re-election is put to the meeting and lost. Accordingly, a retiring Director who is re-elected or deemed to have been re-elected will continue in office without a break.</w:t>
      </w:r>
    </w:p>
    <w:p>
      <w:pPr>
        <w:spacing w:after="0" w:line="3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76</w:t>
      </w:r>
      <w:r>
        <w:rPr>
          <w:sz w:val="20"/>
          <w:szCs w:val="20"/>
          <w:color w:val="auto"/>
        </w:rPr>
        <w:tab/>
      </w:r>
      <w:r>
        <w:rPr>
          <w:rFonts w:ascii="Times New Roman" w:cs="Times New Roman" w:eastAsia="Times New Roman" w:hAnsi="Times New Roman"/>
          <w:sz w:val="20"/>
          <w:szCs w:val="20"/>
          <w:b w:val="1"/>
          <w:bCs w:val="1"/>
          <w:color w:val="auto"/>
        </w:rPr>
        <w:t>Termination of office</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76.1</w:t>
      </w:r>
      <w:r>
        <w:rPr>
          <w:sz w:val="20"/>
          <w:szCs w:val="20"/>
          <w:color w:val="auto"/>
        </w:rPr>
        <w:tab/>
      </w:r>
      <w:r>
        <w:rPr>
          <w:rFonts w:ascii="Times New Roman" w:cs="Times New Roman" w:eastAsia="Times New Roman" w:hAnsi="Times New Roman"/>
          <w:sz w:val="20"/>
          <w:szCs w:val="20"/>
          <w:color w:val="auto"/>
        </w:rPr>
        <w:t>Without prejudice to the provisions for retirement (by rotation or otherwise) contained in these Articles, the office of a Director is terminated if:</w:t>
      </w:r>
    </w:p>
    <w:p>
      <w:pPr>
        <w:spacing w:after="0" w:line="164"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76.1.1</w:t>
      </w:r>
      <w:r>
        <w:rPr>
          <w:sz w:val="20"/>
          <w:szCs w:val="20"/>
          <w:color w:val="auto"/>
        </w:rPr>
        <w:tab/>
      </w:r>
      <w:r>
        <w:rPr>
          <w:rFonts w:ascii="Times New Roman" w:cs="Times New Roman" w:eastAsia="Times New Roman" w:hAnsi="Times New Roman"/>
          <w:sz w:val="20"/>
          <w:szCs w:val="20"/>
          <w:color w:val="auto"/>
        </w:rPr>
        <w:t>he becomes prohibited by law from acting as a Director or ceases to be a Director by virtue of any provision of the Companies Act 2006;</w:t>
      </w:r>
    </w:p>
    <w:p>
      <w:pPr>
        <w:spacing w:after="0" w:line="173"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76.1.2</w:t>
      </w:r>
      <w:r>
        <w:rPr>
          <w:sz w:val="20"/>
          <w:szCs w:val="20"/>
          <w:color w:val="auto"/>
        </w:rPr>
        <w:tab/>
      </w:r>
      <w:r>
        <w:rPr>
          <w:rFonts w:ascii="Times New Roman" w:cs="Times New Roman" w:eastAsia="Times New Roman" w:hAnsi="Times New Roman"/>
          <w:sz w:val="20"/>
          <w:szCs w:val="20"/>
          <w:color w:val="auto"/>
        </w:rPr>
        <w:t>the Company has received notice of his resignation or retirement from office and such resignation or retirement from office has taken effect in accordance with its terms;</w:t>
      </w:r>
    </w:p>
    <w:p>
      <w:pPr>
        <w:spacing w:after="0" w:line="17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76.1.3</w:t>
      </w:r>
      <w:r>
        <w:rPr>
          <w:sz w:val="20"/>
          <w:szCs w:val="20"/>
          <w:color w:val="auto"/>
        </w:rPr>
        <w:tab/>
      </w:r>
      <w:r>
        <w:rPr>
          <w:rFonts w:ascii="Times New Roman" w:cs="Times New Roman" w:eastAsia="Times New Roman" w:hAnsi="Times New Roman"/>
          <w:sz w:val="20"/>
          <w:szCs w:val="20"/>
          <w:color w:val="auto"/>
        </w:rPr>
        <w:t>he has a bankruptcy order made against him, compounds with his creditors generally or applies to the court for an interim order under Section 253 of the Insolvency Act 1986 in connection with a voluntary arrangement under that Act or any analogous event occurs in relation to him in another country;</w:t>
      </w:r>
    </w:p>
    <w:p>
      <w:pPr>
        <w:spacing w:after="0" w:line="18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76.1.4</w:t>
      </w:r>
      <w:r>
        <w:rPr>
          <w:sz w:val="20"/>
          <w:szCs w:val="20"/>
          <w:color w:val="auto"/>
        </w:rPr>
        <w:tab/>
      </w:r>
      <w:r>
        <w:rPr>
          <w:rFonts w:ascii="Times New Roman" w:cs="Times New Roman" w:eastAsia="Times New Roman" w:hAnsi="Times New Roman"/>
          <w:sz w:val="20"/>
          <w:szCs w:val="20"/>
          <w:color w:val="auto"/>
        </w:rPr>
        <w:t>an order is made by any court claiming jurisdiction in that behalf on the ground (however formulated) of mental disorder for his detention or for the appointment of another person (by whatever name called) to exercise powers with respect to his property or affairs;</w:t>
      </w:r>
    </w:p>
    <w:p>
      <w:pPr>
        <w:spacing w:after="0" w:line="181"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76.1.5</w:t>
      </w:r>
      <w:r>
        <w:rPr>
          <w:sz w:val="20"/>
          <w:szCs w:val="20"/>
          <w:color w:val="auto"/>
        </w:rPr>
        <w:tab/>
      </w:r>
      <w:r>
        <w:rPr>
          <w:rFonts w:ascii="Times New Roman" w:cs="Times New Roman" w:eastAsia="Times New Roman" w:hAnsi="Times New Roman"/>
          <w:sz w:val="20"/>
          <w:szCs w:val="20"/>
          <w:color w:val="auto"/>
        </w:rPr>
        <w:t>he is absent from meetings of the Directors for six consecutive months without permission and the Directors have resolved that his office be vacated; or</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76.1.6</w:t>
      </w:r>
      <w:r>
        <w:rPr>
          <w:sz w:val="20"/>
          <w:szCs w:val="20"/>
          <w:color w:val="auto"/>
        </w:rPr>
        <w:tab/>
      </w:r>
      <w:r>
        <w:rPr>
          <w:rFonts w:ascii="Times New Roman" w:cs="Times New Roman" w:eastAsia="Times New Roman" w:hAnsi="Times New Roman"/>
          <w:sz w:val="19"/>
          <w:szCs w:val="19"/>
          <w:color w:val="auto"/>
        </w:rPr>
        <w:t>notice of termination is served or deemed served on him and that notice is given by all his co-Directors for the time being.</w:t>
      </w:r>
    </w:p>
    <w:p>
      <w:pPr>
        <w:spacing w:after="0" w:line="22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76.2</w:t>
      </w:r>
      <w:r>
        <w:rPr>
          <w:sz w:val="20"/>
          <w:szCs w:val="20"/>
          <w:color w:val="auto"/>
        </w:rPr>
        <w:tab/>
      </w:r>
      <w:r>
        <w:rPr>
          <w:rFonts w:ascii="Times New Roman" w:cs="Times New Roman" w:eastAsia="Times New Roman" w:hAnsi="Times New Roman"/>
          <w:sz w:val="20"/>
          <w:szCs w:val="20"/>
          <w:color w:val="auto"/>
        </w:rPr>
        <w:t>If a Director holds an appointment to an executive office which automatically terminates on termination of his office as Director, his removal from office pursuant to this Article 76 shall be deemed an act of the Company and shall have effect without prejudice to any claim for damages for breach of any contract of service between him and the Company.</w:t>
      </w:r>
    </w:p>
    <w:p>
      <w:pPr>
        <w:spacing w:after="0" w:line="397"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Removal of Director by resolution of Company</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accordance with and subject to the provisions of the Legislation, the Company may remove any Director from office by ordinary resolution of which special notice has been given, and elect another person in place of a Director so removed from office. Such removal may take place notwithstanding any provision of these Articles or of any agreement between the Company and such Director, but shall be without prejudice to any claim he may have for damages for breach of any such agreement. In default of such election the vacancy arising upon the removal of a Director from office may be filled as a casual vacancy.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09" w:right="339" w:bottom="1440" w:gutter="0" w:footer="0" w:header="0"/>
        </w:sectPr>
      </w:pPr>
    </w:p>
    <w:bookmarkStart w:id="237" w:name="page238"/>
    <w:bookmarkEnd w:id="237"/>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Meetings and Proceedings of Directors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78</w:t>
      </w:r>
      <w:r>
        <w:rPr>
          <w:sz w:val="20"/>
          <w:szCs w:val="20"/>
          <w:color w:val="auto"/>
        </w:rPr>
        <w:tab/>
      </w:r>
      <w:r>
        <w:rPr>
          <w:rFonts w:ascii="Times New Roman" w:cs="Times New Roman" w:eastAsia="Times New Roman" w:hAnsi="Times New Roman"/>
          <w:sz w:val="20"/>
          <w:szCs w:val="20"/>
          <w:b w:val="1"/>
          <w:bCs w:val="1"/>
          <w:color w:val="auto"/>
        </w:rPr>
        <w:t>Convening of meetings of Directors</w:t>
      </w:r>
    </w:p>
    <w:p>
      <w:pPr>
        <w:spacing w:after="0" w:line="21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78.1</w:t>
      </w:r>
      <w:r>
        <w:rPr>
          <w:sz w:val="20"/>
          <w:szCs w:val="20"/>
          <w:color w:val="auto"/>
        </w:rPr>
        <w:tab/>
      </w:r>
      <w:r>
        <w:rPr>
          <w:rFonts w:ascii="Times New Roman" w:cs="Times New Roman" w:eastAsia="Times New Roman" w:hAnsi="Times New Roman"/>
          <w:sz w:val="20"/>
          <w:szCs w:val="20"/>
          <w:color w:val="auto"/>
        </w:rPr>
        <w:t>Subject to the provisions of these Articles the Directors may meet together for the despatch of business, adjourn and otherwise regulate their proceedings as they think fit. At any time, any Director may, and the Secretary at the request of a Director shall, call a meeting of the Directors by giving notice to the other Directors. Notice need not be in writing and may be sent to any address provided by the Director.</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78.2</w:t>
      </w:r>
      <w:r>
        <w:rPr>
          <w:sz w:val="20"/>
          <w:szCs w:val="20"/>
          <w:color w:val="auto"/>
        </w:rPr>
        <w:tab/>
      </w:r>
      <w:r>
        <w:rPr>
          <w:rFonts w:ascii="Times New Roman" w:cs="Times New Roman" w:eastAsia="Times New Roman" w:hAnsi="Times New Roman"/>
          <w:sz w:val="19"/>
          <w:szCs w:val="19"/>
          <w:color w:val="auto"/>
        </w:rPr>
        <w:t>Any Director may waive notice of any meeting and any such waiver may be retroactive.</w:t>
      </w:r>
    </w:p>
    <w:p>
      <w:pPr>
        <w:spacing w:after="0" w:line="21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78.3</w:t>
      </w:r>
      <w:r>
        <w:rPr>
          <w:sz w:val="20"/>
          <w:szCs w:val="20"/>
          <w:color w:val="auto"/>
        </w:rPr>
        <w:tab/>
      </w:r>
      <w:r>
        <w:rPr>
          <w:rFonts w:ascii="Times New Roman" w:cs="Times New Roman" w:eastAsia="Times New Roman" w:hAnsi="Times New Roman"/>
          <w:sz w:val="20"/>
          <w:szCs w:val="20"/>
          <w:color w:val="auto"/>
        </w:rPr>
        <w:t>The Directors, and any committee of the Directors, shall be deemed to meet together if they are in separate locations, but are linked by conference telephone or other communication equipment which allows those participating to hear and speak to each other, and a quorum in that event shall be two Directors so linked (or such other number fixed from time to time by the Directors). Such a meeting shall be deemed to take place where the largest group of Directors participating is assembled or, if there is no such group, where the chair of the meeting then is.</w:t>
      </w:r>
    </w:p>
    <w:p>
      <w:pPr>
        <w:spacing w:after="0" w:line="3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79</w:t>
      </w:r>
      <w:r>
        <w:rPr>
          <w:sz w:val="20"/>
          <w:szCs w:val="20"/>
          <w:color w:val="auto"/>
        </w:rPr>
        <w:tab/>
      </w:r>
      <w:r>
        <w:rPr>
          <w:rFonts w:ascii="Times New Roman" w:cs="Times New Roman" w:eastAsia="Times New Roman" w:hAnsi="Times New Roman"/>
          <w:sz w:val="20"/>
          <w:szCs w:val="20"/>
          <w:b w:val="1"/>
          <w:bCs w:val="1"/>
          <w:color w:val="auto"/>
        </w:rPr>
        <w:t>Quorum</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79.1</w:t>
      </w:r>
      <w:r>
        <w:rPr>
          <w:sz w:val="20"/>
          <w:szCs w:val="20"/>
          <w:color w:val="auto"/>
        </w:rPr>
        <w:tab/>
      </w:r>
      <w:r>
        <w:rPr>
          <w:rFonts w:ascii="Times New Roman" w:cs="Times New Roman" w:eastAsia="Times New Roman" w:hAnsi="Times New Roman"/>
          <w:sz w:val="20"/>
          <w:szCs w:val="20"/>
          <w:color w:val="auto"/>
        </w:rPr>
        <w:t>The quorum necessary for the transaction of business of the Directors shall be a majority of the Directors then in office who are entitled to vote on such transaction of business.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 meeting of the Directors at which a quorum is present shall be competent to exercise all powers and discretions for the time being exercisable by the Directors.</w:t>
      </w:r>
    </w:p>
    <w:p>
      <w:pPr>
        <w:spacing w:after="0" w:line="19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79.2</w:t>
      </w:r>
      <w:r>
        <w:rPr>
          <w:sz w:val="20"/>
          <w:szCs w:val="20"/>
          <w:color w:val="auto"/>
        </w:rPr>
        <w:tab/>
      </w:r>
      <w:r>
        <w:rPr>
          <w:rFonts w:ascii="Times New Roman" w:cs="Times New Roman" w:eastAsia="Times New Roman" w:hAnsi="Times New Roman"/>
          <w:sz w:val="20"/>
          <w:szCs w:val="20"/>
          <w:color w:val="auto"/>
        </w:rPr>
        <w:t>If a quorum is not present within half an hour of the time appointed for the meeting or if a quorum ceases to be present during the course of the meeting, the Directors present shall adjourn the meeting to a specified time and place not less than one day after the original date of the meeting. Notice of any such adjourned meeting (the “</w:t>
      </w:r>
      <w:r>
        <w:rPr>
          <w:rFonts w:ascii="Times New Roman" w:cs="Times New Roman" w:eastAsia="Times New Roman" w:hAnsi="Times New Roman"/>
          <w:sz w:val="20"/>
          <w:szCs w:val="20"/>
          <w:b w:val="1"/>
          <w:bCs w:val="1"/>
          <w:color w:val="auto"/>
        </w:rPr>
        <w:t>First Adjourned Meeting</w:t>
      </w:r>
      <w:r>
        <w:rPr>
          <w:rFonts w:ascii="Times New Roman" w:cs="Times New Roman" w:eastAsia="Times New Roman" w:hAnsi="Times New Roman"/>
          <w:sz w:val="20"/>
          <w:szCs w:val="20"/>
          <w:color w:val="auto"/>
        </w:rPr>
        <w:t>”) shall be given to all Directors. The quorum necessary for the transaction of business of the Directors at such First Adjourned Meeting shall be a majority of the Directors then in office who are entitled to vote on such transaction of business. If, however, a quorum is not present within half an hour of the time appointed for the First Adjourned Meeting or if a quorum ceases to be present during the course of the First Adjourned Meeting, then the Directors present shall adjourn the meeting to a specified time and place not less than one day after the date of the First Adjourned Meeting. Notice of such second adjourned meeting (the “</w:t>
      </w:r>
      <w:r>
        <w:rPr>
          <w:rFonts w:ascii="Times New Roman" w:cs="Times New Roman" w:eastAsia="Times New Roman" w:hAnsi="Times New Roman"/>
          <w:sz w:val="20"/>
          <w:szCs w:val="20"/>
          <w:b w:val="1"/>
          <w:bCs w:val="1"/>
          <w:color w:val="auto"/>
        </w:rPr>
        <w:t>Second Adjourned Meeting</w:t>
      </w:r>
      <w:r>
        <w:rPr>
          <w:rFonts w:ascii="Times New Roman" w:cs="Times New Roman" w:eastAsia="Times New Roman" w:hAnsi="Times New Roman"/>
          <w:sz w:val="20"/>
          <w:szCs w:val="20"/>
          <w:color w:val="auto"/>
        </w:rPr>
        <w:t>”) shall be given to all Directors. The quorum necessary for the transaction of business of the Directors at such Second Adjourned Meeting and any subsequent adjournment of such meeting shall be three Directors then in office who are entitled to vote on such transaction of business, two of whom shall be Independent.</w:t>
      </w:r>
    </w:p>
    <w:p>
      <w:pPr>
        <w:spacing w:after="0" w:line="200" w:lineRule="exact"/>
        <w:rPr>
          <w:sz w:val="20"/>
          <w:szCs w:val="20"/>
          <w:color w:val="auto"/>
        </w:rPr>
      </w:pP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80</w:t>
      </w:r>
      <w:r>
        <w:rPr>
          <w:sz w:val="20"/>
          <w:szCs w:val="20"/>
          <w:color w:val="auto"/>
        </w:rPr>
        <w:tab/>
      </w:r>
      <w:r>
        <w:rPr>
          <w:rFonts w:ascii="Times New Roman" w:cs="Times New Roman" w:eastAsia="Times New Roman" w:hAnsi="Times New Roman"/>
          <w:sz w:val="20"/>
          <w:szCs w:val="20"/>
          <w:b w:val="1"/>
          <w:bCs w:val="1"/>
          <w:color w:val="auto"/>
        </w:rPr>
        <w:t>Chair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80.1</w:t>
      </w:r>
      <w:r>
        <w:rPr>
          <w:sz w:val="20"/>
          <w:szCs w:val="20"/>
          <w:color w:val="auto"/>
        </w:rPr>
        <w:tab/>
      </w:r>
      <w:r>
        <w:rPr>
          <w:rFonts w:ascii="Times New Roman" w:cs="Times New Roman" w:eastAsia="Times New Roman" w:hAnsi="Times New Roman"/>
          <w:sz w:val="20"/>
          <w:szCs w:val="20"/>
          <w:color w:val="auto"/>
        </w:rPr>
        <w:t>The Directors may elect from their number a Chair and a Deputy Chair (or two or more Deputy Chairs) and decide the period for which each is to hold office. If no Chair or Deputy Chair has been appointed, or if at any meeting of the Directors no Chair or Deputy Chair is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type w:val="continuous"/>
        </w:sectPr>
      </w:pPr>
    </w:p>
    <w:bookmarkStart w:id="238" w:name="page239"/>
    <w:bookmarkEnd w:id="238"/>
    <w:p>
      <w:pPr>
        <w:ind w:left="652" w:right="20"/>
        <w:spacing w:after="0" w:line="283" w:lineRule="auto"/>
        <w:rPr>
          <w:sz w:val="20"/>
          <w:szCs w:val="20"/>
          <w:color w:val="auto"/>
        </w:rPr>
      </w:pPr>
      <w:r>
        <w:rPr>
          <w:rFonts w:ascii="Times New Roman" w:cs="Times New Roman" w:eastAsia="Times New Roman" w:hAnsi="Times New Roman"/>
          <w:sz w:val="20"/>
          <w:szCs w:val="20"/>
          <w:color w:val="auto"/>
        </w:rPr>
        <w:t>present within 10 minutes after the time appointed for holding the meeting, the Directors present may choose one of their number to be chair of the meeting.</w:t>
      </w:r>
    </w:p>
    <w:p>
      <w:pPr>
        <w:spacing w:after="0" w:line="142"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20"/>
          <w:szCs w:val="20"/>
          <w:b w:val="1"/>
          <w:bCs w:val="1"/>
          <w:color w:val="auto"/>
        </w:rPr>
        <w:t>80.2</w:t>
      </w:r>
      <w:r>
        <w:rPr>
          <w:sz w:val="20"/>
          <w:szCs w:val="20"/>
          <w:color w:val="auto"/>
        </w:rPr>
        <w:tab/>
      </w:r>
      <w:r>
        <w:rPr>
          <w:rFonts w:ascii="Times New Roman" w:cs="Times New Roman" w:eastAsia="Times New Roman" w:hAnsi="Times New Roman"/>
          <w:sz w:val="20"/>
          <w:szCs w:val="20"/>
          <w:color w:val="auto"/>
        </w:rPr>
        <w:t>If at any time there is more than one Deputy Chair the right, in the absence of the Chair, to preside at a meeting of the Directors or of the Company shall be determined as between the Deputy Chairs present (if more than one) by seniority in length of appointment or otherwise as resolved by the Directors.</w:t>
      </w:r>
    </w:p>
    <w:p>
      <w:pPr>
        <w:spacing w:after="0" w:line="397" w:lineRule="exact"/>
        <w:rPr>
          <w:sz w:val="20"/>
          <w:szCs w:val="20"/>
          <w:color w:val="auto"/>
        </w:rPr>
      </w:pPr>
    </w:p>
    <w:p>
      <w:pPr>
        <w:ind w:left="652" w:hanging="652"/>
        <w:spacing w:after="0"/>
        <w:tabs>
          <w:tab w:leader="none" w:pos="652"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casting vote</w:t>
      </w:r>
    </w:p>
    <w:p>
      <w:pPr>
        <w:spacing w:after="0" w:line="233" w:lineRule="exact"/>
        <w:rPr>
          <w:rFonts w:ascii="Times New Roman" w:cs="Times New Roman" w:eastAsia="Times New Roman" w:hAnsi="Times New Roman"/>
          <w:sz w:val="20"/>
          <w:szCs w:val="20"/>
          <w:b w:val="1"/>
          <w:bCs w:val="1"/>
          <w:color w:val="auto"/>
        </w:rPr>
      </w:pPr>
    </w:p>
    <w:p>
      <w:pPr>
        <w:ind w:left="652"/>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Questions arising at any meeting of the Directors shall be determined by a majority of votes. In the case of an equality of votes, the chair of the meeting shall not have a second or casting vote.</w:t>
      </w:r>
    </w:p>
    <w:p>
      <w:pPr>
        <w:spacing w:after="0" w:line="384"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Directors below minimum</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and so long as the number of Directors is reduced below the minimum number fixed by or in accordance with these Articles, the continuing Directors or Director may only: (i) act for the purpose of appointing such number of additional Directors as is required to meet the minimum or of summoning General Meetings; and (ii) perform such other duties as are appropriate to maintain the Company as a going concern and to comply with the Company’s legal and regulatory obligations. If no Directors or Director is able or willing to act, then any two members may summon a General Meeting for the purpose of appointing Directors.</w:t>
      </w:r>
    </w:p>
    <w:p>
      <w:pPr>
        <w:spacing w:after="0" w:line="384"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written resolutions</w:t>
      </w:r>
    </w:p>
    <w:p>
      <w:pPr>
        <w:spacing w:after="0" w:line="229" w:lineRule="exact"/>
        <w:rPr>
          <w:sz w:val="20"/>
          <w:szCs w:val="20"/>
          <w:color w:val="auto"/>
        </w:rPr>
      </w:pPr>
    </w:p>
    <w:p>
      <w:pPr>
        <w:ind w:left="652" w:right="20" w:hanging="647"/>
        <w:spacing w:after="0" w:line="283" w:lineRule="auto"/>
        <w:tabs>
          <w:tab w:leader="none" w:pos="632" w:val="left"/>
        </w:tabs>
        <w:rPr>
          <w:sz w:val="20"/>
          <w:szCs w:val="20"/>
          <w:color w:val="auto"/>
        </w:rPr>
      </w:pPr>
      <w:r>
        <w:rPr>
          <w:rFonts w:ascii="Times New Roman" w:cs="Times New Roman" w:eastAsia="Times New Roman" w:hAnsi="Times New Roman"/>
          <w:sz w:val="20"/>
          <w:szCs w:val="20"/>
          <w:b w:val="1"/>
          <w:bCs w:val="1"/>
          <w:color w:val="auto"/>
        </w:rPr>
        <w:t>83.1</w:t>
      </w:r>
      <w:r>
        <w:rPr>
          <w:sz w:val="20"/>
          <w:szCs w:val="20"/>
          <w:color w:val="auto"/>
        </w:rPr>
        <w:tab/>
      </w:r>
      <w:r>
        <w:rPr>
          <w:rFonts w:ascii="Times New Roman" w:cs="Times New Roman" w:eastAsia="Times New Roman" w:hAnsi="Times New Roman"/>
          <w:sz w:val="20"/>
          <w:szCs w:val="20"/>
          <w:color w:val="auto"/>
        </w:rPr>
        <w:t>Any Director may, and the Secretary at the request of a Director shall, propose a written resolution by giving written notice to the other Directors.</w:t>
      </w:r>
    </w:p>
    <w:p>
      <w:pPr>
        <w:spacing w:after="0" w:line="146" w:lineRule="exact"/>
        <w:rPr>
          <w:sz w:val="20"/>
          <w:szCs w:val="20"/>
          <w:color w:val="auto"/>
        </w:rPr>
      </w:pPr>
    </w:p>
    <w:p>
      <w:pPr>
        <w:ind w:left="652" w:hanging="647"/>
        <w:spacing w:after="0" w:line="283" w:lineRule="auto"/>
        <w:tabs>
          <w:tab w:leader="none" w:pos="632" w:val="left"/>
        </w:tabs>
        <w:rPr>
          <w:sz w:val="20"/>
          <w:szCs w:val="20"/>
          <w:color w:val="auto"/>
        </w:rPr>
      </w:pPr>
      <w:r>
        <w:rPr>
          <w:rFonts w:ascii="Times New Roman" w:cs="Times New Roman" w:eastAsia="Times New Roman" w:hAnsi="Times New Roman"/>
          <w:sz w:val="20"/>
          <w:szCs w:val="20"/>
          <w:b w:val="1"/>
          <w:bCs w:val="1"/>
          <w:color w:val="auto"/>
        </w:rPr>
        <w:t>83.2</w:t>
      </w:r>
      <w:r>
        <w:rPr>
          <w:sz w:val="20"/>
          <w:szCs w:val="20"/>
          <w:color w:val="auto"/>
        </w:rPr>
        <w:tab/>
      </w:r>
      <w:r>
        <w:rPr>
          <w:rFonts w:ascii="Times New Roman" w:cs="Times New Roman" w:eastAsia="Times New Roman" w:hAnsi="Times New Roman"/>
          <w:sz w:val="20"/>
          <w:szCs w:val="20"/>
          <w:color w:val="auto"/>
        </w:rPr>
        <w:t>A Directors’ written resolution is adopted when all the Directors who would have been entitled to vote on such resolution if it had been proposed at a meeting of the Directors have:</w:t>
      </w:r>
    </w:p>
    <w:p>
      <w:pPr>
        <w:spacing w:after="0" w:line="150"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b w:val="1"/>
          <w:bCs w:val="1"/>
          <w:color w:val="auto"/>
        </w:rPr>
        <w:t>83.2.1</w:t>
      </w:r>
      <w:r>
        <w:rPr>
          <w:sz w:val="20"/>
          <w:szCs w:val="20"/>
          <w:color w:val="auto"/>
        </w:rPr>
        <w:tab/>
      </w:r>
      <w:r>
        <w:rPr>
          <w:rFonts w:ascii="Times New Roman" w:cs="Times New Roman" w:eastAsia="Times New Roman" w:hAnsi="Times New Roman"/>
          <w:sz w:val="19"/>
          <w:szCs w:val="19"/>
          <w:color w:val="auto"/>
        </w:rPr>
        <w:t>signed one or more copies of it; or</w:t>
      </w:r>
    </w:p>
    <w:p>
      <w:pPr>
        <w:spacing w:after="0" w:line="241"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b w:val="1"/>
          <w:bCs w:val="1"/>
          <w:color w:val="auto"/>
        </w:rPr>
        <w:t>83.2.2</w:t>
      </w:r>
      <w:r>
        <w:rPr>
          <w:sz w:val="20"/>
          <w:szCs w:val="20"/>
          <w:color w:val="auto"/>
        </w:rPr>
        <w:tab/>
      </w:r>
      <w:r>
        <w:rPr>
          <w:rFonts w:ascii="Times New Roman" w:cs="Times New Roman" w:eastAsia="Times New Roman" w:hAnsi="Times New Roman"/>
          <w:sz w:val="19"/>
          <w:szCs w:val="19"/>
          <w:color w:val="auto"/>
        </w:rPr>
        <w:t>otherwise indicated their agreement to it in writing.</w:t>
      </w:r>
    </w:p>
    <w:p>
      <w:pPr>
        <w:spacing w:after="0" w:line="223" w:lineRule="exact"/>
        <w:rPr>
          <w:sz w:val="20"/>
          <w:szCs w:val="20"/>
          <w:color w:val="auto"/>
        </w:rPr>
      </w:pPr>
    </w:p>
    <w:p>
      <w:pPr>
        <w:ind w:left="652" w:hanging="647"/>
        <w:spacing w:after="0" w:line="283" w:lineRule="auto"/>
        <w:tabs>
          <w:tab w:leader="none" w:pos="632" w:val="left"/>
        </w:tabs>
        <w:rPr>
          <w:sz w:val="20"/>
          <w:szCs w:val="20"/>
          <w:color w:val="auto"/>
        </w:rPr>
      </w:pPr>
      <w:r>
        <w:rPr>
          <w:rFonts w:ascii="Times New Roman" w:cs="Times New Roman" w:eastAsia="Times New Roman" w:hAnsi="Times New Roman"/>
          <w:sz w:val="20"/>
          <w:szCs w:val="20"/>
          <w:b w:val="1"/>
          <w:bCs w:val="1"/>
          <w:color w:val="auto"/>
        </w:rPr>
        <w:t>83.3</w:t>
      </w:r>
      <w:r>
        <w:rPr>
          <w:sz w:val="20"/>
          <w:szCs w:val="20"/>
          <w:color w:val="auto"/>
        </w:rPr>
        <w:tab/>
      </w:r>
      <w:r>
        <w:rPr>
          <w:rFonts w:ascii="Times New Roman" w:cs="Times New Roman" w:eastAsia="Times New Roman" w:hAnsi="Times New Roman"/>
          <w:sz w:val="20"/>
          <w:szCs w:val="20"/>
          <w:color w:val="auto"/>
        </w:rPr>
        <w:t>A Directors’ written resolution is not adopted if the number of Directors who have signed it is less than the quorum for Directors’ meetings.</w:t>
      </w:r>
    </w:p>
    <w:p>
      <w:pPr>
        <w:spacing w:after="0" w:line="160" w:lineRule="exact"/>
        <w:rPr>
          <w:sz w:val="20"/>
          <w:szCs w:val="20"/>
          <w:color w:val="auto"/>
        </w:rPr>
      </w:pPr>
    </w:p>
    <w:p>
      <w:pPr>
        <w:ind w:left="652" w:hanging="647"/>
        <w:spacing w:after="0" w:line="269" w:lineRule="auto"/>
        <w:tabs>
          <w:tab w:leader="none" w:pos="632" w:val="left"/>
        </w:tabs>
        <w:rPr>
          <w:sz w:val="20"/>
          <w:szCs w:val="20"/>
          <w:color w:val="auto"/>
        </w:rPr>
      </w:pPr>
      <w:r>
        <w:rPr>
          <w:rFonts w:ascii="Times New Roman" w:cs="Times New Roman" w:eastAsia="Times New Roman" w:hAnsi="Times New Roman"/>
          <w:sz w:val="20"/>
          <w:szCs w:val="20"/>
          <w:b w:val="1"/>
          <w:bCs w:val="1"/>
          <w:color w:val="auto"/>
        </w:rPr>
        <w:t>83.4</w:t>
      </w:r>
      <w:r>
        <w:rPr>
          <w:sz w:val="20"/>
          <w:szCs w:val="20"/>
          <w:color w:val="auto"/>
        </w:rPr>
        <w:tab/>
      </w:r>
      <w:r>
        <w:rPr>
          <w:rFonts w:ascii="Times New Roman" w:cs="Times New Roman" w:eastAsia="Times New Roman" w:hAnsi="Times New Roman"/>
          <w:sz w:val="20"/>
          <w:szCs w:val="20"/>
          <w:color w:val="auto"/>
        </w:rPr>
        <w:t>Once a Directors’ written resolution has been adopted, it must be treated as if it had been a resolution passed at a Directors’ meeting in accordance with these Articles.</w:t>
      </w:r>
    </w:p>
    <w:p>
      <w:pPr>
        <w:spacing w:after="0" w:line="389" w:lineRule="exact"/>
        <w:rPr>
          <w:sz w:val="20"/>
          <w:szCs w:val="20"/>
          <w:color w:val="auto"/>
        </w:rPr>
      </w:pPr>
    </w:p>
    <w:p>
      <w:pPr>
        <w:ind w:left="652" w:hanging="652"/>
        <w:spacing w:after="0"/>
        <w:tabs>
          <w:tab w:leader="none" w:pos="652"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Validity of proceedings</w:t>
      </w:r>
    </w:p>
    <w:p>
      <w:pPr>
        <w:spacing w:after="0" w:line="219" w:lineRule="exact"/>
        <w:rPr>
          <w:rFonts w:ascii="Times New Roman" w:cs="Times New Roman" w:eastAsia="Times New Roman" w:hAnsi="Times New Roman"/>
          <w:sz w:val="20"/>
          <w:szCs w:val="20"/>
          <w:b w:val="1"/>
          <w:bCs w:val="1"/>
          <w:color w:val="auto"/>
        </w:rPr>
      </w:pPr>
    </w:p>
    <w:p>
      <w:pPr>
        <w:jc w:val="both"/>
        <w:ind w:left="652"/>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acts done by any meeting of Directors, or of any committee or sub-committee of the Directors, or by any person acting as a member of any such committee or sub-committee, shall as regards all persons dealing in good faith with the Company be valid, notwithstanding that there was some defect in the appointment of any Director or any such persons, or that any such persons were disqualified or had vacated office, or were not entitled to vote.</w:t>
      </w:r>
    </w:p>
    <w:p>
      <w:pPr>
        <w:sectPr>
          <w:pgSz w:w="11900" w:h="16838" w:orient="portrait"/>
          <w:cols w:equalWidth="0" w:num="1">
            <w:col w:w="11232"/>
          </w:cols>
          <w:pgMar w:left="328"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32"/>
          </w:cols>
          <w:pgMar w:left="328" w:top="1413" w:right="339" w:bottom="1440" w:gutter="0" w:footer="0" w:header="0"/>
          <w:type w:val="continuous"/>
        </w:sectPr>
      </w:pPr>
    </w:p>
    <w:bookmarkStart w:id="239" w:name="page240"/>
    <w:bookmarkEnd w:id="239"/>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Directors’ Interests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85</w:t>
      </w:r>
      <w:r>
        <w:rPr>
          <w:sz w:val="20"/>
          <w:szCs w:val="20"/>
          <w:color w:val="auto"/>
        </w:rPr>
        <w:tab/>
      </w:r>
      <w:r>
        <w:rPr>
          <w:rFonts w:ascii="Times New Roman" w:cs="Times New Roman" w:eastAsia="Times New Roman" w:hAnsi="Times New Roman"/>
          <w:sz w:val="20"/>
          <w:szCs w:val="20"/>
          <w:b w:val="1"/>
          <w:bCs w:val="1"/>
          <w:color w:val="auto"/>
        </w:rPr>
        <w:t>Authorisation of Directors’ interests</w:t>
      </w:r>
    </w:p>
    <w:p>
      <w:pPr>
        <w:spacing w:after="0" w:line="21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85.1</w:t>
      </w:r>
      <w:r>
        <w:rPr>
          <w:sz w:val="20"/>
          <w:szCs w:val="20"/>
          <w:color w:val="auto"/>
        </w:rPr>
        <w:tab/>
      </w:r>
      <w:r>
        <w:rPr>
          <w:rFonts w:ascii="Times New Roman" w:cs="Times New Roman" w:eastAsia="Times New Roman" w:hAnsi="Times New Roman"/>
          <w:sz w:val="20"/>
          <w:szCs w:val="20"/>
          <w:color w:val="auto"/>
        </w:rPr>
        <w:t>For the purposes of Section 175 of the Companies Act 2006, the Directors shall have the power to authorise any matter which would or might otherwise constitute or give rise to a breach of the duty of a Director to avoid a situation in which he has, or can have, a direct or indirect interest that conflicts, or possibly may conflict, with the interests of the Company.</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85.2</w:t>
      </w:r>
      <w:r>
        <w:rPr>
          <w:sz w:val="20"/>
          <w:szCs w:val="20"/>
          <w:color w:val="auto"/>
        </w:rPr>
        <w:tab/>
      </w:r>
      <w:r>
        <w:rPr>
          <w:rFonts w:ascii="Times New Roman" w:cs="Times New Roman" w:eastAsia="Times New Roman" w:hAnsi="Times New Roman"/>
          <w:sz w:val="19"/>
          <w:szCs w:val="19"/>
          <w:color w:val="auto"/>
        </w:rPr>
        <w:t>Authorisation of a matter under this Article 85 shall be effective only if:</w:t>
      </w:r>
    </w:p>
    <w:p>
      <w:pPr>
        <w:spacing w:after="0" w:line="23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85.2.1</w:t>
      </w:r>
      <w:r>
        <w:rPr>
          <w:sz w:val="20"/>
          <w:szCs w:val="20"/>
          <w:color w:val="auto"/>
        </w:rPr>
        <w:tab/>
      </w:r>
      <w:r>
        <w:rPr>
          <w:rFonts w:ascii="Times New Roman" w:cs="Times New Roman" w:eastAsia="Times New Roman" w:hAnsi="Times New Roman"/>
          <w:sz w:val="20"/>
          <w:szCs w:val="20"/>
          <w:color w:val="auto"/>
        </w:rPr>
        <w:t>the matter in question shall have been proposed in writing for consideration at a meeting of the Directors, in accordance with the Directors’ normal procedures or in such other manner as the Directors may resolve;</w:t>
      </w:r>
    </w:p>
    <w:p>
      <w:pPr>
        <w:spacing w:after="0" w:line="17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85.2.2</w:t>
      </w:r>
      <w:r>
        <w:rPr>
          <w:sz w:val="20"/>
          <w:szCs w:val="20"/>
          <w:color w:val="auto"/>
        </w:rPr>
        <w:tab/>
      </w:r>
      <w:r>
        <w:rPr>
          <w:rFonts w:ascii="Times New Roman" w:cs="Times New Roman" w:eastAsia="Times New Roman" w:hAnsi="Times New Roman"/>
          <w:sz w:val="20"/>
          <w:szCs w:val="20"/>
          <w:color w:val="auto"/>
        </w:rPr>
        <w:t>any requirement as to the quorum at the meeting of the Directors at which the matter is considered is met without counting the Director in question and any other interested Director (together the “</w:t>
      </w:r>
      <w:r>
        <w:rPr>
          <w:rFonts w:ascii="Times New Roman" w:cs="Times New Roman" w:eastAsia="Times New Roman" w:hAnsi="Times New Roman"/>
          <w:sz w:val="20"/>
          <w:szCs w:val="20"/>
          <w:b w:val="1"/>
          <w:bCs w:val="1"/>
          <w:color w:val="auto"/>
        </w:rPr>
        <w:t>Interested Directors</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85.2.3</w:t>
      </w:r>
      <w:r>
        <w:rPr>
          <w:sz w:val="20"/>
          <w:szCs w:val="20"/>
          <w:color w:val="auto"/>
        </w:rPr>
        <w:tab/>
      </w:r>
      <w:r>
        <w:rPr>
          <w:rFonts w:ascii="Times New Roman" w:cs="Times New Roman" w:eastAsia="Times New Roman" w:hAnsi="Times New Roman"/>
          <w:sz w:val="20"/>
          <w:szCs w:val="20"/>
          <w:color w:val="auto"/>
        </w:rPr>
        <w:t>the matter was agreed to without the Interested Directors voting or would have been agreed to if the votes of the Interested Directors had not been counted.</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85.3</w:t>
      </w:r>
      <w:r>
        <w:rPr>
          <w:sz w:val="20"/>
          <w:szCs w:val="20"/>
          <w:color w:val="auto"/>
        </w:rPr>
        <w:tab/>
      </w:r>
      <w:r>
        <w:rPr>
          <w:rFonts w:ascii="Times New Roman" w:cs="Times New Roman" w:eastAsia="Times New Roman" w:hAnsi="Times New Roman"/>
          <w:sz w:val="19"/>
          <w:szCs w:val="19"/>
          <w:color w:val="auto"/>
        </w:rPr>
        <w:t>Any authorisation of a matter under this Article 85 may:</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85.3.1</w:t>
      </w:r>
      <w:r>
        <w:rPr>
          <w:sz w:val="20"/>
          <w:szCs w:val="20"/>
          <w:color w:val="auto"/>
        </w:rPr>
        <w:tab/>
      </w:r>
      <w:r>
        <w:rPr>
          <w:rFonts w:ascii="Times New Roman" w:cs="Times New Roman" w:eastAsia="Times New Roman" w:hAnsi="Times New Roman"/>
          <w:sz w:val="19"/>
          <w:szCs w:val="19"/>
          <w:color w:val="auto"/>
        </w:rPr>
        <w:t>extend to any actual or potential conflict of interest which may arise out of the matter so authorised;</w:t>
      </w:r>
    </w:p>
    <w:p>
      <w:pPr>
        <w:spacing w:after="0" w:line="227"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85.3.2</w:t>
      </w:r>
      <w:r>
        <w:rPr>
          <w:sz w:val="20"/>
          <w:szCs w:val="20"/>
          <w:color w:val="auto"/>
        </w:rPr>
        <w:tab/>
      </w:r>
      <w:r>
        <w:rPr>
          <w:rFonts w:ascii="Times New Roman" w:cs="Times New Roman" w:eastAsia="Times New Roman" w:hAnsi="Times New Roman"/>
          <w:sz w:val="20"/>
          <w:szCs w:val="20"/>
          <w:color w:val="auto"/>
        </w:rPr>
        <w:t>be subject to such conditions or limitations as the Directors may resolve, whether at the time such authorisation is given or subsequently; and</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85.3.3</w:t>
      </w:r>
      <w:r>
        <w:rPr>
          <w:sz w:val="20"/>
          <w:szCs w:val="20"/>
          <w:color w:val="auto"/>
        </w:rPr>
        <w:tab/>
      </w:r>
      <w:r>
        <w:rPr>
          <w:rFonts w:ascii="Times New Roman" w:cs="Times New Roman" w:eastAsia="Times New Roman" w:hAnsi="Times New Roman"/>
          <w:sz w:val="19"/>
          <w:szCs w:val="19"/>
          <w:color w:val="auto"/>
        </w:rPr>
        <w:t>be terminated by the Directors at any time;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a Director shall comply with any obligations imposed on him by the Directors pursuant to any such authorisation.</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85.4</w:t>
      </w:r>
      <w:r>
        <w:rPr>
          <w:sz w:val="20"/>
          <w:szCs w:val="20"/>
          <w:color w:val="auto"/>
        </w:rPr>
        <w:tab/>
      </w:r>
      <w:r>
        <w:rPr>
          <w:rFonts w:ascii="Times New Roman" w:cs="Times New Roman" w:eastAsia="Times New Roman" w:hAnsi="Times New Roman"/>
          <w:sz w:val="20"/>
          <w:szCs w:val="20"/>
          <w:color w:val="auto"/>
        </w:rPr>
        <w:t>A Director shall not, save as otherwise agreed by him, be accountable to the Company for any benefit which he (or a person connected with him) derives from any matter authorised by the Directors under this Article 85 and any contract, transaction or arrangement relating to such a matter shall not be liable to be avoided on the grounds of any such benefit.</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85.5</w:t>
      </w:r>
      <w:r>
        <w:rPr>
          <w:sz w:val="20"/>
          <w:szCs w:val="20"/>
          <w:color w:val="auto"/>
        </w:rPr>
        <w:tab/>
      </w:r>
      <w:r>
        <w:rPr>
          <w:rFonts w:ascii="Times New Roman" w:cs="Times New Roman" w:eastAsia="Times New Roman" w:hAnsi="Times New Roman"/>
          <w:sz w:val="19"/>
          <w:szCs w:val="19"/>
          <w:color w:val="auto"/>
        </w:rPr>
        <w:t>This Article 85 does not apply to a conflict of interest arising in relation to a transaction or arrangement with the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86</w:t>
      </w:r>
      <w:r>
        <w:rPr>
          <w:sz w:val="20"/>
          <w:szCs w:val="20"/>
          <w:color w:val="auto"/>
        </w:rPr>
        <w:tab/>
      </w:r>
      <w:r>
        <w:rPr>
          <w:rFonts w:ascii="Times New Roman" w:cs="Times New Roman" w:eastAsia="Times New Roman" w:hAnsi="Times New Roman"/>
          <w:sz w:val="20"/>
          <w:szCs w:val="20"/>
          <w:b w:val="1"/>
          <w:bCs w:val="1"/>
          <w:color w:val="auto"/>
        </w:rPr>
        <w:t>Permitted Interests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86.1</w:t>
      </w:r>
      <w:r>
        <w:rPr>
          <w:sz w:val="20"/>
          <w:szCs w:val="20"/>
          <w:color w:val="auto"/>
        </w:rPr>
        <w:tab/>
      </w:r>
      <w:r>
        <w:rPr>
          <w:rFonts w:ascii="Times New Roman" w:cs="Times New Roman" w:eastAsia="Times New Roman" w:hAnsi="Times New Roman"/>
          <w:sz w:val="19"/>
          <w:szCs w:val="19"/>
          <w:color w:val="auto"/>
        </w:rPr>
        <w:t>Subject to compliance with Article 86.2, a Director, notwithstanding his office, may have an interest of the following kind:</w:t>
      </w:r>
    </w:p>
    <w:p>
      <w:pPr>
        <w:spacing w:after="0" w:line="220"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86.1.1</w:t>
      </w:r>
      <w:r>
        <w:rPr>
          <w:sz w:val="20"/>
          <w:szCs w:val="20"/>
          <w:color w:val="auto"/>
        </w:rPr>
        <w:tab/>
      </w:r>
      <w:r>
        <w:rPr>
          <w:rFonts w:ascii="Times New Roman" w:cs="Times New Roman" w:eastAsia="Times New Roman" w:hAnsi="Times New Roman"/>
          <w:sz w:val="20"/>
          <w:szCs w:val="20"/>
          <w:color w:val="auto"/>
        </w:rPr>
        <w:t>where a Director (or a person connected with him) is a director or other officer of, or employed by, or otherwise interested (including by the holding of shares) in any Relevant Company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240" w:name="page241"/>
    <w:bookmarkEnd w:id="240"/>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86.1.2</w:t>
      </w:r>
      <w:r>
        <w:rPr>
          <w:sz w:val="20"/>
          <w:szCs w:val="20"/>
          <w:color w:val="auto"/>
        </w:rPr>
        <w:tab/>
      </w:r>
      <w:r>
        <w:rPr>
          <w:rFonts w:ascii="Times New Roman" w:cs="Times New Roman" w:eastAsia="Times New Roman" w:hAnsi="Times New Roman"/>
          <w:sz w:val="20"/>
          <w:szCs w:val="20"/>
          <w:color w:val="auto"/>
        </w:rPr>
        <w:t>where a Director (or a person connected with him) is a party to, or otherwise interested in, any contract, transaction or arrangement with a Relevant Company, or in which the Company is otherwise interested;</w:t>
      </w:r>
    </w:p>
    <w:p>
      <w:pPr>
        <w:spacing w:after="0" w:line="14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86.1.3</w:t>
      </w:r>
      <w:r>
        <w:rPr>
          <w:sz w:val="20"/>
          <w:szCs w:val="20"/>
          <w:color w:val="auto"/>
        </w:rPr>
        <w:tab/>
      </w:r>
      <w:r>
        <w:rPr>
          <w:rFonts w:ascii="Times New Roman" w:cs="Times New Roman" w:eastAsia="Times New Roman" w:hAnsi="Times New Roman"/>
          <w:sz w:val="20"/>
          <w:szCs w:val="20"/>
          <w:color w:val="auto"/>
        </w:rPr>
        <w:t>where the Director (or a person connected with him) acts (or any firm of which he is a partner, employee or member acts) in a professional capacity for any Relevant Company (other than as Auditor) whether or not he or it is remunerated for such work;</w:t>
      </w:r>
    </w:p>
    <w:p>
      <w:pPr>
        <w:spacing w:after="0" w:line="18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86.1.4</w:t>
      </w:r>
      <w:r>
        <w:rPr>
          <w:sz w:val="20"/>
          <w:szCs w:val="20"/>
          <w:color w:val="auto"/>
        </w:rPr>
        <w:tab/>
      </w:r>
      <w:r>
        <w:rPr>
          <w:rFonts w:ascii="Times New Roman" w:cs="Times New Roman" w:eastAsia="Times New Roman" w:hAnsi="Times New Roman"/>
          <w:sz w:val="20"/>
          <w:szCs w:val="20"/>
          <w:color w:val="auto"/>
        </w:rPr>
        <w:t>where a Director is or becomes a director or officer of any other body corporate in which the Company does not have an interest if that cannot reasonably be regarded as likely to give rise to a conflict of interest at the time of his appointment as director or officer of that other body corporate;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86.1.5</w:t>
      </w:r>
      <w:r>
        <w:rPr>
          <w:sz w:val="20"/>
          <w:szCs w:val="20"/>
          <w:color w:val="auto"/>
        </w:rPr>
        <w:tab/>
      </w:r>
      <w:r>
        <w:rPr>
          <w:rFonts w:ascii="Times New Roman" w:cs="Times New Roman" w:eastAsia="Times New Roman" w:hAnsi="Times New Roman"/>
          <w:sz w:val="19"/>
          <w:szCs w:val="19"/>
          <w:color w:val="auto"/>
        </w:rPr>
        <w:t>where a Director has an interest which cannot reasonably be regarded as likely to give rise to a conflict of interest;</w:t>
      </w:r>
    </w:p>
    <w:p>
      <w:pPr>
        <w:spacing w:after="0" w:line="227"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86.1.6</w:t>
      </w:r>
      <w:r>
        <w:rPr>
          <w:sz w:val="20"/>
          <w:szCs w:val="20"/>
          <w:color w:val="auto"/>
        </w:rPr>
        <w:tab/>
      </w:r>
      <w:r>
        <w:rPr>
          <w:rFonts w:ascii="Times New Roman" w:cs="Times New Roman" w:eastAsia="Times New Roman" w:hAnsi="Times New Roman"/>
          <w:sz w:val="20"/>
          <w:szCs w:val="20"/>
          <w:color w:val="auto"/>
        </w:rPr>
        <w:t>where a Director has an interest, or a transaction or arrangement giving rise to an interest, of which the Director is not aware; or</w:t>
      </w:r>
    </w:p>
    <w:p>
      <w:pPr>
        <w:spacing w:after="0" w:line="160"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86.1.7</w:t>
      </w:r>
      <w:r>
        <w:rPr>
          <w:sz w:val="20"/>
          <w:szCs w:val="20"/>
          <w:color w:val="auto"/>
        </w:rPr>
        <w:tab/>
      </w:r>
      <w:r>
        <w:rPr>
          <w:rFonts w:ascii="Times New Roman" w:cs="Times New Roman" w:eastAsia="Times New Roman" w:hAnsi="Times New Roman"/>
          <w:sz w:val="20"/>
          <w:szCs w:val="20"/>
          <w:color w:val="auto"/>
        </w:rPr>
        <w:t>where a Director has any other interest authorised by ordinary resolution. No authorisation under Article 85 shall be necessary in respect of any such interest.</w:t>
      </w:r>
    </w:p>
    <w:p>
      <w:pPr>
        <w:spacing w:after="0" w:line="169"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86.2</w:t>
      </w:r>
      <w:r>
        <w:rPr>
          <w:sz w:val="20"/>
          <w:szCs w:val="20"/>
          <w:color w:val="auto"/>
        </w:rPr>
        <w:tab/>
      </w:r>
      <w:r>
        <w:rPr>
          <w:rFonts w:ascii="Times New Roman" w:cs="Times New Roman" w:eastAsia="Times New Roman" w:hAnsi="Times New Roman"/>
          <w:sz w:val="20"/>
          <w:szCs w:val="20"/>
          <w:color w:val="auto"/>
        </w:rPr>
        <w:t>A Director shall declare the nature and extent of any interest permitted under Article 86.1, and not falling with Article 86.3, at a meeting of the Directors or in such other manner as the Directors may resolve.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86.3</w:t>
      </w:r>
      <w:r>
        <w:rPr>
          <w:sz w:val="20"/>
          <w:szCs w:val="20"/>
          <w:color w:val="auto"/>
        </w:rPr>
        <w:tab/>
      </w:r>
      <w:r>
        <w:rPr>
          <w:rFonts w:ascii="Times New Roman" w:cs="Times New Roman" w:eastAsia="Times New Roman" w:hAnsi="Times New Roman"/>
          <w:sz w:val="19"/>
          <w:szCs w:val="19"/>
          <w:color w:val="auto"/>
        </w:rPr>
        <w:t>No declaration of an interest shall be required by a Director in relation to an interest:</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86.3.1</w:t>
      </w:r>
      <w:r>
        <w:rPr>
          <w:sz w:val="20"/>
          <w:szCs w:val="20"/>
          <w:color w:val="auto"/>
        </w:rPr>
        <w:tab/>
      </w:r>
      <w:r>
        <w:rPr>
          <w:rFonts w:ascii="Times New Roman" w:cs="Times New Roman" w:eastAsia="Times New Roman" w:hAnsi="Times New Roman"/>
          <w:sz w:val="19"/>
          <w:szCs w:val="19"/>
          <w:color w:val="auto"/>
        </w:rPr>
        <w:t>falling within Article 86.1.5 or Article 86.1.6;</w:t>
      </w:r>
    </w:p>
    <w:p>
      <w:pPr>
        <w:spacing w:after="0" w:line="227"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86.3.2</w:t>
      </w:r>
      <w:r>
        <w:rPr>
          <w:sz w:val="20"/>
          <w:szCs w:val="20"/>
          <w:color w:val="auto"/>
        </w:rPr>
        <w:tab/>
      </w:r>
      <w:r>
        <w:rPr>
          <w:rFonts w:ascii="Times New Roman" w:cs="Times New Roman" w:eastAsia="Times New Roman" w:hAnsi="Times New Roman"/>
          <w:sz w:val="20"/>
          <w:szCs w:val="20"/>
          <w:color w:val="auto"/>
        </w:rPr>
        <w:t>if, or to the extent that, the other Directors are already aware of such interest (and for this purpose the other Directors are treated as aware of anything of which they ought reasonably to be aware); or</w:t>
      </w:r>
    </w:p>
    <w:p>
      <w:pPr>
        <w:spacing w:after="0" w:line="14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86.3.3</w:t>
      </w:r>
      <w:r>
        <w:rPr>
          <w:sz w:val="20"/>
          <w:szCs w:val="20"/>
          <w:color w:val="auto"/>
        </w:rPr>
        <w:tab/>
      </w:r>
      <w:r>
        <w:rPr>
          <w:rFonts w:ascii="Times New Roman" w:cs="Times New Roman" w:eastAsia="Times New Roman" w:hAnsi="Times New Roman"/>
          <w:sz w:val="20"/>
          <w:szCs w:val="20"/>
          <w:color w:val="auto"/>
        </w:rPr>
        <w:t>if, or to the extent that, it concerns the terms of his service contract (as defined in Section 227 of the Companies Act 2006) that have been or are to be considered by a meeting of the Directors, or by a committee of Directors appointed for the purpose under these Articles.</w:t>
      </w:r>
    </w:p>
    <w:p>
      <w:pPr>
        <w:spacing w:after="0" w:line="17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86.4</w:t>
      </w:r>
      <w:r>
        <w:rPr>
          <w:sz w:val="20"/>
          <w:szCs w:val="20"/>
          <w:color w:val="auto"/>
        </w:rPr>
        <w:tab/>
      </w:r>
      <w:r>
        <w:rPr>
          <w:rFonts w:ascii="Times New Roman" w:cs="Times New Roman" w:eastAsia="Times New Roman" w:hAnsi="Times New Roman"/>
          <w:sz w:val="20"/>
          <w:szCs w:val="20"/>
          <w:color w:val="auto"/>
        </w:rPr>
        <w:t>A Director shall not, save as otherwise agreed by him, be accountable to the Company for any benefit which he (or a person connected with him) derives from any such contract, transaction or arrangement or from any such office or employment or from any interest in any Relevant Company or for such remuneration, each as referred to in Article 86.1, and no such contract, transaction or arrangement shall be liable to be avoided on the grounds of any such interest or benefit.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86.5</w:t>
      </w:r>
      <w:r>
        <w:rPr>
          <w:sz w:val="20"/>
          <w:szCs w:val="20"/>
          <w:color w:val="auto"/>
        </w:rPr>
        <w:tab/>
      </w:r>
      <w:r>
        <w:rPr>
          <w:rFonts w:ascii="Times New Roman" w:cs="Times New Roman" w:eastAsia="Times New Roman" w:hAnsi="Times New Roman"/>
          <w:sz w:val="19"/>
          <w:szCs w:val="19"/>
          <w:color w:val="auto"/>
        </w:rPr>
        <w:t>For the purposes of this Article 86, “</w:t>
      </w:r>
      <w:r>
        <w:rPr>
          <w:rFonts w:ascii="Times New Roman" w:cs="Times New Roman" w:eastAsia="Times New Roman" w:hAnsi="Times New Roman"/>
          <w:sz w:val="19"/>
          <w:szCs w:val="19"/>
          <w:b w:val="1"/>
          <w:bCs w:val="1"/>
          <w:color w:val="auto"/>
        </w:rPr>
        <w:t>Relevant Company</w:t>
      </w:r>
      <w:r>
        <w:rPr>
          <w:rFonts w:ascii="Times New Roman" w:cs="Times New Roman" w:eastAsia="Times New Roman" w:hAnsi="Times New Roman"/>
          <w:sz w:val="19"/>
          <w:szCs w:val="19"/>
          <w:color w:val="auto"/>
        </w:rPr>
        <w:t>” shall mean:</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86.5.1</w:t>
      </w:r>
      <w:r>
        <w:rPr>
          <w:sz w:val="20"/>
          <w:szCs w:val="20"/>
          <w:color w:val="auto"/>
        </w:rPr>
        <w:tab/>
      </w:r>
      <w:r>
        <w:rPr>
          <w:rFonts w:ascii="Times New Roman" w:cs="Times New Roman" w:eastAsia="Times New Roman" w:hAnsi="Times New Roman"/>
          <w:sz w:val="19"/>
          <w:szCs w:val="19"/>
          <w:color w:val="auto"/>
        </w:rPr>
        <w:t>the Company;</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86.5.2</w:t>
      </w:r>
      <w:r>
        <w:rPr>
          <w:sz w:val="20"/>
          <w:szCs w:val="20"/>
          <w:color w:val="auto"/>
        </w:rPr>
        <w:tab/>
      </w:r>
      <w:r>
        <w:rPr>
          <w:rFonts w:ascii="Times New Roman" w:cs="Times New Roman" w:eastAsia="Times New Roman" w:hAnsi="Times New Roman"/>
          <w:sz w:val="19"/>
          <w:szCs w:val="19"/>
          <w:color w:val="auto"/>
        </w:rPr>
        <w:t>an Affiliate of the Company;</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86.5.3</w:t>
      </w:r>
      <w:r>
        <w:rPr>
          <w:sz w:val="20"/>
          <w:szCs w:val="20"/>
          <w:color w:val="auto"/>
        </w:rPr>
        <w:tab/>
      </w:r>
      <w:r>
        <w:rPr>
          <w:rFonts w:ascii="Times New Roman" w:cs="Times New Roman" w:eastAsia="Times New Roman" w:hAnsi="Times New Roman"/>
          <w:sz w:val="19"/>
          <w:szCs w:val="19"/>
          <w:color w:val="auto"/>
        </w:rPr>
        <w:t>any body corporate promoted by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241" w:name="page242"/>
    <w:bookmarkEnd w:id="241"/>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86.5.4</w:t>
      </w:r>
      <w:r>
        <w:rPr>
          <w:sz w:val="20"/>
          <w:szCs w:val="20"/>
          <w:color w:val="auto"/>
        </w:rPr>
        <w:tab/>
      </w:r>
      <w:r>
        <w:rPr>
          <w:rFonts w:ascii="Times New Roman" w:cs="Times New Roman" w:eastAsia="Times New Roman" w:hAnsi="Times New Roman"/>
          <w:sz w:val="19"/>
          <w:szCs w:val="19"/>
          <w:color w:val="auto"/>
        </w:rPr>
        <w:t>any body corporate in which the Company is otherwise interested.</w:t>
      </w:r>
    </w:p>
    <w:p>
      <w:pPr>
        <w:spacing w:after="0" w:line="200" w:lineRule="exact"/>
        <w:rPr>
          <w:sz w:val="20"/>
          <w:szCs w:val="20"/>
          <w:color w:val="auto"/>
        </w:rPr>
      </w:pPr>
    </w:p>
    <w:p>
      <w:pPr>
        <w:spacing w:after="0" w:line="2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87</w:t>
      </w:r>
      <w:r>
        <w:rPr>
          <w:sz w:val="20"/>
          <w:szCs w:val="20"/>
          <w:color w:val="auto"/>
        </w:rPr>
        <w:tab/>
      </w:r>
      <w:r>
        <w:rPr>
          <w:rFonts w:ascii="Times New Roman" w:cs="Times New Roman" w:eastAsia="Times New Roman" w:hAnsi="Times New Roman"/>
          <w:sz w:val="20"/>
          <w:szCs w:val="20"/>
          <w:b w:val="1"/>
          <w:bCs w:val="1"/>
          <w:color w:val="auto"/>
        </w:rPr>
        <w:t>Restrictions on quorum and voting</w:t>
      </w:r>
    </w:p>
    <w:p>
      <w:pPr>
        <w:spacing w:after="0" w:line="21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87.1</w:t>
      </w:r>
      <w:r>
        <w:rPr>
          <w:sz w:val="20"/>
          <w:szCs w:val="20"/>
          <w:color w:val="auto"/>
        </w:rPr>
        <w:tab/>
      </w:r>
      <w:r>
        <w:rPr>
          <w:rFonts w:ascii="Times New Roman" w:cs="Times New Roman" w:eastAsia="Times New Roman" w:hAnsi="Times New Roman"/>
          <w:sz w:val="20"/>
          <w:szCs w:val="20"/>
          <w:color w:val="auto"/>
        </w:rPr>
        <w:t>Save as provided in this Article 87 or as otherwise permitted pursuant to the Company’s related party transaction policy (as may be amended from time to time), and whether or not the interest is one which is authorised pursuant to Article 85 or permitted under Article 86, a Director shall not be entitled to vote on any resolution in respect of any contract, transaction or arrangement, or any other proposal, in which he (or a person connected with him) is interested. Any vote of a Director in respect of a matter where he is not entitled to vote shall be disregarded.</w:t>
      </w:r>
    </w:p>
    <w:p>
      <w:pPr>
        <w:spacing w:after="0" w:line="173"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87.2</w:t>
      </w:r>
      <w:r>
        <w:rPr>
          <w:sz w:val="20"/>
          <w:szCs w:val="20"/>
          <w:color w:val="auto"/>
        </w:rPr>
        <w:tab/>
      </w:r>
      <w:r>
        <w:rPr>
          <w:rFonts w:ascii="Times New Roman" w:cs="Times New Roman" w:eastAsia="Times New Roman" w:hAnsi="Times New Roman"/>
          <w:sz w:val="20"/>
          <w:szCs w:val="20"/>
          <w:color w:val="auto"/>
        </w:rPr>
        <w:t>A Director shall not be counted in the quorum at a meeting of the Directors in relation to any resolution on which he is not entitled to vote.</w:t>
      </w:r>
    </w:p>
    <w:p>
      <w:pPr>
        <w:spacing w:after="0" w:line="14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87.3</w:t>
      </w:r>
      <w:r>
        <w:rPr>
          <w:sz w:val="20"/>
          <w:szCs w:val="20"/>
          <w:color w:val="auto"/>
        </w:rPr>
        <w:tab/>
      </w:r>
      <w:r>
        <w:rPr>
          <w:rFonts w:ascii="Times New Roman" w:cs="Times New Roman" w:eastAsia="Times New Roman" w:hAnsi="Times New Roman"/>
          <w:sz w:val="20"/>
          <w:szCs w:val="20"/>
          <w:color w:val="auto"/>
        </w:rPr>
        <w:t>Subject to the provisions of the Legislation, a Director shall (in the absence of some other interest than is set out below) be entitled to vote, and be counted in the quorum, in respect of any resolution concerning any contract, transaction or arrangement, or any other proposal:</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87.3.1</w:t>
      </w:r>
      <w:r>
        <w:rPr>
          <w:sz w:val="20"/>
          <w:szCs w:val="20"/>
          <w:color w:val="auto"/>
        </w:rPr>
        <w:tab/>
      </w:r>
      <w:r>
        <w:rPr>
          <w:rFonts w:ascii="Times New Roman" w:cs="Times New Roman" w:eastAsia="Times New Roman" w:hAnsi="Times New Roman"/>
          <w:sz w:val="19"/>
          <w:szCs w:val="19"/>
          <w:color w:val="auto"/>
        </w:rPr>
        <w:t>in which he has an interest of which he is not aware;</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87.3.2</w:t>
      </w:r>
      <w:r>
        <w:rPr>
          <w:sz w:val="20"/>
          <w:szCs w:val="20"/>
          <w:color w:val="auto"/>
        </w:rPr>
        <w:tab/>
      </w:r>
      <w:r>
        <w:rPr>
          <w:rFonts w:ascii="Times New Roman" w:cs="Times New Roman" w:eastAsia="Times New Roman" w:hAnsi="Times New Roman"/>
          <w:sz w:val="19"/>
          <w:szCs w:val="19"/>
          <w:color w:val="auto"/>
        </w:rPr>
        <w:t>in which he has an interest which cannot reasonably be regarded as likely to give rise to a conflict of interest;</w:t>
      </w:r>
    </w:p>
    <w:p>
      <w:pPr>
        <w:spacing w:after="0" w:line="227"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87.3.3</w:t>
      </w:r>
      <w:r>
        <w:rPr>
          <w:sz w:val="20"/>
          <w:szCs w:val="20"/>
          <w:color w:val="auto"/>
        </w:rPr>
        <w:tab/>
      </w:r>
      <w:r>
        <w:rPr>
          <w:rFonts w:ascii="Times New Roman" w:cs="Times New Roman" w:eastAsia="Times New Roman" w:hAnsi="Times New Roman"/>
          <w:sz w:val="20"/>
          <w:szCs w:val="20"/>
          <w:color w:val="auto"/>
        </w:rPr>
        <w:t>in which he has an interest only by virtue of interests in shares, debentures or other securities of the Company, or by reason of any other interest in or through the Company;</w:t>
      </w:r>
    </w:p>
    <w:p>
      <w:pPr>
        <w:spacing w:after="0" w:line="160"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87.3.4</w:t>
      </w:r>
      <w:r>
        <w:rPr>
          <w:sz w:val="20"/>
          <w:szCs w:val="20"/>
          <w:color w:val="auto"/>
        </w:rPr>
        <w:tab/>
      </w:r>
      <w:r>
        <w:rPr>
          <w:rFonts w:ascii="Times New Roman" w:cs="Times New Roman" w:eastAsia="Times New Roman" w:hAnsi="Times New Roman"/>
          <w:sz w:val="20"/>
          <w:szCs w:val="20"/>
          <w:color w:val="auto"/>
        </w:rPr>
        <w:t>which involves the giving of any security, guarantee or indemnity to the Director or any other person in respect of: (i) money lent or obligations incurred by him or by any other person at the request of or for the benefit of the Company or any of its subsidiaries; or (ii) a debt or other obligation of the Company or any of its subsidiaries for which he himself has assumed responsibility in whole or in part under a guarantee or indemnity or by the giving of security;</w:t>
      </w:r>
    </w:p>
    <w:p>
      <w:pPr>
        <w:spacing w:after="0" w:line="187"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87.3.5</w:t>
      </w:r>
      <w:r>
        <w:rPr>
          <w:sz w:val="20"/>
          <w:szCs w:val="20"/>
          <w:color w:val="auto"/>
        </w:rPr>
        <w:tab/>
      </w:r>
      <w:r>
        <w:rPr>
          <w:rFonts w:ascii="Times New Roman" w:cs="Times New Roman" w:eastAsia="Times New Roman" w:hAnsi="Times New Roman"/>
          <w:sz w:val="20"/>
          <w:szCs w:val="20"/>
          <w:color w:val="auto"/>
        </w:rPr>
        <w:t>concerning an offer of shares or debentures or other securities of or by the Company or any of its subsidiaries: (i) in which offer he is or may be entitled to participate as a holder of securities; or (ii) in the underwriting or sub- underwriting of which he is to participate;</w:t>
      </w:r>
    </w:p>
    <w:p>
      <w:pPr>
        <w:spacing w:after="0" w:line="181"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87.3.6</w:t>
      </w:r>
      <w:r>
        <w:rPr>
          <w:sz w:val="20"/>
          <w:szCs w:val="20"/>
          <w:color w:val="auto"/>
        </w:rPr>
        <w:tab/>
      </w:r>
      <w:r>
        <w:rPr>
          <w:rFonts w:ascii="Times New Roman" w:cs="Times New Roman" w:eastAsia="Times New Roman" w:hAnsi="Times New Roman"/>
          <w:sz w:val="20"/>
          <w:szCs w:val="20"/>
          <w:color w:val="auto"/>
        </w:rPr>
        <w:t>concerning any other body corporate in which he is interested, directly or indirectly and whether as an officer, shareholder, creditor, employee or otherwise, provided that he (together with persons connected with him) is not the holder of, or beneficially interested in, one per cent. or more of the issued equity share capital of any class of such body corporate or of the voting rights available to members of the relevant body corporate;</w:t>
      </w:r>
    </w:p>
    <w:p>
      <w:pPr>
        <w:spacing w:after="0" w:line="187"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87.3.7</w:t>
      </w:r>
      <w:r>
        <w:rPr>
          <w:sz w:val="20"/>
          <w:szCs w:val="20"/>
          <w:color w:val="auto"/>
        </w:rPr>
        <w:tab/>
      </w:r>
      <w:r>
        <w:rPr>
          <w:rFonts w:ascii="Times New Roman" w:cs="Times New Roman" w:eastAsia="Times New Roman" w:hAnsi="Times New Roman"/>
          <w:sz w:val="20"/>
          <w:szCs w:val="20"/>
          <w:color w:val="auto"/>
        </w:rPr>
        <w:t>relating to an arrangement for the benefit of the employees or former employees of the Company or any of its subsidiaries which does not award him any privilege or benefit not generally awarded to the employees or former employees to whom such arrangement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242" w:name="page243"/>
    <w:bookmarkEnd w:id="242"/>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87.3.8</w:t>
      </w:r>
      <w:r>
        <w:rPr>
          <w:sz w:val="20"/>
          <w:szCs w:val="20"/>
          <w:color w:val="auto"/>
        </w:rPr>
        <w:tab/>
      </w:r>
      <w:r>
        <w:rPr>
          <w:rFonts w:ascii="Times New Roman" w:cs="Times New Roman" w:eastAsia="Times New Roman" w:hAnsi="Times New Roman"/>
          <w:sz w:val="20"/>
          <w:szCs w:val="20"/>
          <w:color w:val="auto"/>
        </w:rPr>
        <w:t>concerning the purchase or maintenance by the Company of insurance for any liability for the benefit of Directors or for the benefit of persons who include Directors;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87.3.9</w:t>
      </w:r>
      <w:r>
        <w:rPr>
          <w:sz w:val="20"/>
          <w:szCs w:val="20"/>
          <w:color w:val="auto"/>
        </w:rPr>
        <w:tab/>
      </w:r>
      <w:r>
        <w:rPr>
          <w:rFonts w:ascii="Times New Roman" w:cs="Times New Roman" w:eastAsia="Times New Roman" w:hAnsi="Times New Roman"/>
          <w:sz w:val="19"/>
          <w:szCs w:val="19"/>
          <w:color w:val="auto"/>
        </w:rPr>
        <w:t>concerning the giving of indemnities in favour of Directors;</w:t>
      </w:r>
    </w:p>
    <w:p>
      <w:pPr>
        <w:spacing w:after="0" w:line="241" w:lineRule="exact"/>
        <w:rPr>
          <w:sz w:val="20"/>
          <w:szCs w:val="20"/>
          <w:color w:val="auto"/>
        </w:rPr>
      </w:pPr>
    </w:p>
    <w:p>
      <w:pPr>
        <w:jc w:val="both"/>
        <w:ind w:left="1300" w:hanging="64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87.3.10 </w:t>
      </w:r>
      <w:r>
        <w:rPr>
          <w:rFonts w:ascii="Times New Roman" w:cs="Times New Roman" w:eastAsia="Times New Roman" w:hAnsi="Times New Roman"/>
          <w:sz w:val="19"/>
          <w:szCs w:val="19"/>
          <w:color w:val="auto"/>
        </w:rPr>
        <w:t>concerning the funding of expenditure by any Director or Directors on: (i) defending criminal, civil or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proceedings or action against him or them; (ii) in connection with an application to the court for relief; or (iii) defending him or them in any regulatory investigations;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87.3.11 </w:t>
      </w:r>
      <w:r>
        <w:rPr>
          <w:rFonts w:ascii="Times New Roman" w:cs="Times New Roman" w:eastAsia="Times New Roman" w:hAnsi="Times New Roman"/>
          <w:sz w:val="19"/>
          <w:szCs w:val="19"/>
          <w:color w:val="auto"/>
        </w:rPr>
        <w:t>concerning the doing of anything to enable any Director or Directors to avoid incurring expenditure as described in Article</w:t>
      </w: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87.3.10; and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87.3.12 </w:t>
      </w:r>
      <w:r>
        <w:rPr>
          <w:rFonts w:ascii="Times New Roman" w:cs="Times New Roman" w:eastAsia="Times New Roman" w:hAnsi="Times New Roman"/>
          <w:sz w:val="19"/>
          <w:szCs w:val="19"/>
          <w:color w:val="auto"/>
        </w:rPr>
        <w:t>in respect of which his interest, or the interest of Directors generally, has been authorised by ordinary resolution.</w:t>
      </w:r>
    </w:p>
    <w:p>
      <w:pPr>
        <w:spacing w:after="0" w:line="22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87.4</w:t>
      </w:r>
      <w:r>
        <w:rPr>
          <w:sz w:val="20"/>
          <w:szCs w:val="20"/>
          <w:color w:val="auto"/>
        </w:rPr>
        <w:tab/>
      </w:r>
      <w:r>
        <w:rPr>
          <w:rFonts w:ascii="Times New Roman" w:cs="Times New Roman" w:eastAsia="Times New Roman" w:hAnsi="Times New Roman"/>
          <w:sz w:val="20"/>
          <w:szCs w:val="20"/>
          <w:color w:val="auto"/>
        </w:rPr>
        <w:t>Where proposals are under consideration concerning the appointment (including fixing or varying the terms of appointment) of two or more Directors to offices or employments with the Company or any body corporate in which the Company is interested, the proposals may be divided and considered in relation to each Director separately. In such case each of the Directors concerned (if not debarred from voting under Article 87.1) shall be entitled to vote, and be counted in the quorum, in respect of each resolution except that concerning his own appointment or the fixing or variation of the terms of his own appointment.</w:t>
      </w:r>
    </w:p>
    <w:p>
      <w:pPr>
        <w:spacing w:after="0" w:line="17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87.5</w:t>
      </w:r>
      <w:r>
        <w:rPr>
          <w:sz w:val="20"/>
          <w:szCs w:val="20"/>
          <w:color w:val="auto"/>
        </w:rPr>
        <w:tab/>
      </w:r>
      <w:r>
        <w:rPr>
          <w:rFonts w:ascii="Times New Roman" w:cs="Times New Roman" w:eastAsia="Times New Roman" w:hAnsi="Times New Roman"/>
          <w:sz w:val="20"/>
          <w:szCs w:val="20"/>
          <w:color w:val="auto"/>
        </w:rPr>
        <w:t>If a question arises at any time as to whether any interest of a Director prevents him from voting, or being counted in the quorum, under this Article 87, and such question is not resolved by his voluntarily agreeing to abstain from voting, such question shall be referred to the chair of the meeting, whose ruling in relation to any Director other than himself shall be final and conclusive, except in a case where the nature or extent of the interest of such Director has not been fairly disclosed. If any such question shall arise in respect of the chair of the meeting, the question shall be decided by resolution of the Directors and the resolution shall be conclusive except in a case where the nature or extent of the interest of the chair of the meeting (so far as it is known to him) has not been fairly disclosed to the Directors.</w:t>
      </w:r>
    </w:p>
    <w:p>
      <w:pPr>
        <w:spacing w:after="0" w:line="3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88</w:t>
      </w:r>
      <w:r>
        <w:rPr>
          <w:sz w:val="20"/>
          <w:szCs w:val="20"/>
          <w:color w:val="auto"/>
        </w:rPr>
        <w:tab/>
      </w:r>
      <w:r>
        <w:rPr>
          <w:rFonts w:ascii="Times New Roman" w:cs="Times New Roman" w:eastAsia="Times New Roman" w:hAnsi="Times New Roman"/>
          <w:sz w:val="20"/>
          <w:szCs w:val="20"/>
          <w:b w:val="1"/>
          <w:bCs w:val="1"/>
          <w:color w:val="auto"/>
        </w:rPr>
        <w:t>Confidential information</w:t>
      </w:r>
    </w:p>
    <w:p>
      <w:pPr>
        <w:spacing w:after="0" w:line="22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88.1</w:t>
      </w:r>
      <w:r>
        <w:rPr>
          <w:sz w:val="20"/>
          <w:szCs w:val="20"/>
          <w:color w:val="auto"/>
        </w:rPr>
        <w:tab/>
      </w:r>
      <w:r>
        <w:rPr>
          <w:rFonts w:ascii="Times New Roman" w:cs="Times New Roman" w:eastAsia="Times New Roman" w:hAnsi="Times New Roman"/>
          <w:sz w:val="20"/>
          <w:szCs w:val="20"/>
          <w:color w:val="auto"/>
        </w:rPr>
        <w:t>Subject to Article 88.2, if a Director, otherwise than by virtue of his position as Director, receives information in respect of which he owes a duty of confidentiality to a person other than the Company, he shall not be required:</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88.1.1</w:t>
      </w:r>
      <w:r>
        <w:rPr>
          <w:sz w:val="20"/>
          <w:szCs w:val="20"/>
          <w:color w:val="auto"/>
        </w:rPr>
        <w:tab/>
      </w:r>
      <w:r>
        <w:rPr>
          <w:rFonts w:ascii="Times New Roman" w:cs="Times New Roman" w:eastAsia="Times New Roman" w:hAnsi="Times New Roman"/>
          <w:sz w:val="19"/>
          <w:szCs w:val="19"/>
          <w:color w:val="auto"/>
        </w:rPr>
        <w:t>to disclose such information to the Company or to the Directors, or to any Director, officer or employee of the Company; or</w:t>
      </w:r>
    </w:p>
    <w:p>
      <w:pPr>
        <w:spacing w:after="0" w:line="241" w:lineRule="exact"/>
        <w:rPr>
          <w:sz w:val="20"/>
          <w:szCs w:val="20"/>
          <w:color w:val="auto"/>
        </w:rPr>
      </w:pPr>
    </w:p>
    <w:p>
      <w:pPr>
        <w:ind w:left="1300" w:right="2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88.1.2</w:t>
      </w:r>
      <w:r>
        <w:rPr>
          <w:sz w:val="20"/>
          <w:szCs w:val="20"/>
          <w:color w:val="auto"/>
        </w:rPr>
        <w:tab/>
      </w:r>
      <w:r>
        <w:rPr>
          <w:rFonts w:ascii="Times New Roman" w:cs="Times New Roman" w:eastAsia="Times New Roman" w:hAnsi="Times New Roman"/>
          <w:sz w:val="20"/>
          <w:szCs w:val="20"/>
          <w:color w:val="auto"/>
        </w:rPr>
        <w:t>otherwise use or apply such confidential information for the purpose of or in connection with the performance of his duties as a Director.</w:t>
      </w:r>
    </w:p>
    <w:p>
      <w:pPr>
        <w:spacing w:after="0" w:line="16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88.2</w:t>
      </w:r>
      <w:r>
        <w:rPr>
          <w:sz w:val="20"/>
          <w:szCs w:val="20"/>
          <w:color w:val="auto"/>
        </w:rPr>
        <w:tab/>
      </w:r>
      <w:r>
        <w:rPr>
          <w:rFonts w:ascii="Times New Roman" w:cs="Times New Roman" w:eastAsia="Times New Roman" w:hAnsi="Times New Roman"/>
          <w:sz w:val="20"/>
          <w:szCs w:val="20"/>
          <w:color w:val="auto"/>
        </w:rPr>
        <w:t>Where such duty of confidentiality arises out of a situation in which the Director has, or can have, a direct or indirect interest that conflicts, or possibly may conflict, with the interests of the Company, Article 88.1 shall apply only if the conflict arises out of a matter which has been authorised under Article 85 or falls within Article 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243" w:name="page244"/>
    <w:bookmarkEnd w:id="243"/>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88.3</w:t>
      </w:r>
      <w:r>
        <w:rPr>
          <w:sz w:val="20"/>
          <w:szCs w:val="20"/>
          <w:color w:val="auto"/>
        </w:rPr>
        <w:tab/>
      </w:r>
      <w:r>
        <w:rPr>
          <w:rFonts w:ascii="Times New Roman" w:cs="Times New Roman" w:eastAsia="Times New Roman" w:hAnsi="Times New Roman"/>
          <w:sz w:val="20"/>
          <w:szCs w:val="20"/>
          <w:color w:val="auto"/>
        </w:rPr>
        <w:t>This Article 88 is without prejudice to any equitable principle or rule of law which may excuse or release the Director from disclosing information, in circumstances where disclosure may otherwise be required under this Article 88.</w:t>
      </w:r>
    </w:p>
    <w:p>
      <w:pPr>
        <w:spacing w:after="0" w:line="3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89</w:t>
      </w:r>
      <w:r>
        <w:rPr>
          <w:sz w:val="20"/>
          <w:szCs w:val="20"/>
          <w:color w:val="auto"/>
        </w:rPr>
        <w:tab/>
      </w:r>
      <w:r>
        <w:rPr>
          <w:rFonts w:ascii="Times New Roman" w:cs="Times New Roman" w:eastAsia="Times New Roman" w:hAnsi="Times New Roman"/>
          <w:sz w:val="20"/>
          <w:szCs w:val="20"/>
          <w:b w:val="1"/>
          <w:bCs w:val="1"/>
          <w:color w:val="auto"/>
        </w:rPr>
        <w:t>Directors’ interests - general</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89.1</w:t>
      </w:r>
      <w:r>
        <w:rPr>
          <w:sz w:val="20"/>
          <w:szCs w:val="20"/>
          <w:color w:val="auto"/>
        </w:rPr>
        <w:tab/>
      </w:r>
      <w:r>
        <w:rPr>
          <w:rFonts w:ascii="Times New Roman" w:cs="Times New Roman" w:eastAsia="Times New Roman" w:hAnsi="Times New Roman"/>
          <w:sz w:val="20"/>
          <w:szCs w:val="20"/>
          <w:color w:val="auto"/>
        </w:rPr>
        <w:t>For the purposes of Articles 85 to 89 a person is connected with a Director if that person is connected for the purposes of Section 252 of the Companies Act 2006.</w:t>
      </w:r>
    </w:p>
    <w:p>
      <w:pPr>
        <w:spacing w:after="0" w:line="17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89.2</w:t>
      </w:r>
      <w:r>
        <w:rPr>
          <w:sz w:val="20"/>
          <w:szCs w:val="20"/>
          <w:color w:val="auto"/>
        </w:rPr>
        <w:tab/>
      </w:r>
      <w:r>
        <w:rPr>
          <w:rFonts w:ascii="Times New Roman" w:cs="Times New Roman" w:eastAsia="Times New Roman" w:hAnsi="Times New Roman"/>
          <w:sz w:val="20"/>
          <w:szCs w:val="20"/>
          <w:color w:val="auto"/>
        </w:rPr>
        <w:t>Where a Director has an interest which can reasonably be regarded as likely to give rise to a conflict of interest, the Director may, and shall if so requested by the Directors, take such additional steps as may be necessary or desirable for the purpose of managing such conflict of interest, including compliance with any procedures laid down from time to time by the Directors for the purpose of managing conflicts of interest generally and/or any specific procedures approved by the Directors for the purpose of or in connection with the situation or matter in question.</w:t>
      </w:r>
    </w:p>
    <w:p>
      <w:pPr>
        <w:spacing w:after="0" w:line="19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89.3</w:t>
      </w:r>
      <w:r>
        <w:rPr>
          <w:sz w:val="20"/>
          <w:szCs w:val="20"/>
          <w:color w:val="auto"/>
        </w:rPr>
        <w:tab/>
      </w:r>
      <w:r>
        <w:rPr>
          <w:rFonts w:ascii="Times New Roman" w:cs="Times New Roman" w:eastAsia="Times New Roman" w:hAnsi="Times New Roman"/>
          <w:sz w:val="20"/>
          <w:szCs w:val="20"/>
          <w:color w:val="auto"/>
        </w:rPr>
        <w:t>The Company may by ordinary resolution ratify any contract, transaction or arrangement, or other proposal, not properly authorised by reason of a contravention of any provisions of Articles 85 to 89.</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Powers of Directors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powers</w:t>
      </w:r>
    </w:p>
    <w:p>
      <w:pPr>
        <w:spacing w:after="0" w:line="219" w:lineRule="exact"/>
        <w:rPr>
          <w:rFonts w:ascii="Times New Roman" w:cs="Times New Roman" w:eastAsia="Times New Roman" w:hAnsi="Times New Roman"/>
          <w:sz w:val="20"/>
          <w:szCs w:val="20"/>
          <w:b w:val="1"/>
          <w:bCs w:val="1"/>
          <w:color w:val="auto"/>
        </w:rPr>
      </w:pPr>
    </w:p>
    <w:p>
      <w:pPr>
        <w:ind w:left="6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shall manage the business and affairs of the Company and may exercise all powers of the Company other than those that are required by the Legislation or by these Articles to be exercised by the Company in General Meeting.</w:t>
      </w:r>
    </w:p>
    <w:p>
      <w:pPr>
        <w:spacing w:after="0" w:line="37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Provision for employees on cessation or transfer of business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may make provision for the benefit of persons employed or formerly employed by the Company or any of its subsidiaries (other than a Director, former Director or shadow director) in connection with the cessation or transfer to any person of the whole or part of the undertaking of the Company or that subsidiary.</w:t>
      </w:r>
    </w:p>
    <w:p>
      <w:pPr>
        <w:spacing w:after="0" w:line="39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Bank mandates</w:t>
      </w:r>
    </w:p>
    <w:p>
      <w:pPr>
        <w:spacing w:after="0" w:line="219" w:lineRule="exact"/>
        <w:rPr>
          <w:rFonts w:ascii="Times New Roman" w:cs="Times New Roman" w:eastAsia="Times New Roman" w:hAnsi="Times New Roman"/>
          <w:sz w:val="20"/>
          <w:szCs w:val="20"/>
          <w:b w:val="1"/>
          <w:bCs w:val="1"/>
          <w:color w:val="auto"/>
        </w:rPr>
      </w:pPr>
    </w:p>
    <w:p>
      <w:pPr>
        <w:ind w:left="6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may by resolution authorise such person or persons as they think fit to act as signatories to any bank account of the Company and may amend or remove such authorisation from time to time by resolution.</w:t>
      </w:r>
    </w:p>
    <w:p>
      <w:pPr>
        <w:spacing w:after="0" w:line="37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Borrowing powers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93.1</w:t>
      </w:r>
      <w:r>
        <w:rPr>
          <w:sz w:val="20"/>
          <w:szCs w:val="20"/>
          <w:color w:val="auto"/>
        </w:rPr>
        <w:tab/>
      </w:r>
      <w:r>
        <w:rPr>
          <w:rFonts w:ascii="Times New Roman" w:cs="Times New Roman" w:eastAsia="Times New Roman" w:hAnsi="Times New Roman"/>
          <w:sz w:val="19"/>
          <w:szCs w:val="19"/>
          <w:color w:val="auto"/>
        </w:rPr>
        <w:t>Subject to these Articles and to the provisions of the Legislation, the Directors may exercise all the powers of the Company to:</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93.1.1</w:t>
      </w:r>
      <w:r>
        <w:rPr>
          <w:sz w:val="20"/>
          <w:szCs w:val="20"/>
          <w:color w:val="auto"/>
        </w:rPr>
        <w:tab/>
      </w:r>
      <w:r>
        <w:rPr>
          <w:rFonts w:ascii="Times New Roman" w:cs="Times New Roman" w:eastAsia="Times New Roman" w:hAnsi="Times New Roman"/>
          <w:sz w:val="19"/>
          <w:szCs w:val="19"/>
          <w:color w:val="auto"/>
        </w:rPr>
        <w:t>borrow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09" w:right="339" w:bottom="1440" w:gutter="0" w:footer="0" w:header="0"/>
        </w:sectPr>
      </w:pPr>
    </w:p>
    <w:bookmarkStart w:id="244" w:name="page245"/>
    <w:bookmarkEnd w:id="244"/>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93.1.2</w:t>
      </w:r>
      <w:r>
        <w:rPr>
          <w:sz w:val="20"/>
          <w:szCs w:val="20"/>
          <w:color w:val="auto"/>
        </w:rPr>
        <w:tab/>
      </w:r>
      <w:r>
        <w:rPr>
          <w:rFonts w:ascii="Times New Roman" w:cs="Times New Roman" w:eastAsia="Times New Roman" w:hAnsi="Times New Roman"/>
          <w:sz w:val="19"/>
          <w:szCs w:val="19"/>
          <w:color w:val="auto"/>
        </w:rPr>
        <w:t>indemnify and guarantee;</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93.1.3</w:t>
      </w:r>
      <w:r>
        <w:rPr>
          <w:sz w:val="20"/>
          <w:szCs w:val="20"/>
          <w:color w:val="auto"/>
        </w:rPr>
        <w:tab/>
      </w:r>
      <w:r>
        <w:rPr>
          <w:rFonts w:ascii="Times New Roman" w:cs="Times New Roman" w:eastAsia="Times New Roman" w:hAnsi="Times New Roman"/>
          <w:sz w:val="19"/>
          <w:szCs w:val="19"/>
          <w:color w:val="auto"/>
        </w:rPr>
        <w:t>mortgage or charge all or any part or parts of its undertaking, property and assets (present and future) and uncalled capital;</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93.1.4</w:t>
      </w:r>
      <w:r>
        <w:rPr>
          <w:sz w:val="20"/>
          <w:szCs w:val="20"/>
          <w:color w:val="auto"/>
        </w:rPr>
        <w:tab/>
      </w:r>
      <w:r>
        <w:rPr>
          <w:rFonts w:ascii="Times New Roman" w:cs="Times New Roman" w:eastAsia="Times New Roman" w:hAnsi="Times New Roman"/>
          <w:sz w:val="19"/>
          <w:szCs w:val="19"/>
          <w:color w:val="auto"/>
        </w:rPr>
        <w:t>create and issue debentures and other securities; and</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93.1.5</w:t>
      </w:r>
      <w:r>
        <w:rPr>
          <w:sz w:val="20"/>
          <w:szCs w:val="20"/>
          <w:color w:val="auto"/>
        </w:rPr>
        <w:tab/>
      </w:r>
      <w:r>
        <w:rPr>
          <w:rFonts w:ascii="Times New Roman" w:cs="Times New Roman" w:eastAsia="Times New Roman" w:hAnsi="Times New Roman"/>
          <w:sz w:val="19"/>
          <w:szCs w:val="19"/>
          <w:color w:val="auto"/>
        </w:rPr>
        <w:t>give security either outright or as collateral security for any debt, liability or obligation of the Company or of any third party.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Delegation of Powers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20"/>
          <w:szCs w:val="20"/>
          <w:b w:val="1"/>
          <w:bCs w:val="1"/>
          <w:color w:val="auto"/>
        </w:rPr>
        <w:t>Appointment and constitution of committees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94.1</w:t>
      </w:r>
      <w:r>
        <w:rPr>
          <w:sz w:val="20"/>
          <w:szCs w:val="20"/>
          <w:color w:val="auto"/>
        </w:rPr>
        <w:tab/>
      </w:r>
      <w:r>
        <w:rPr>
          <w:rFonts w:ascii="Times New Roman" w:cs="Times New Roman" w:eastAsia="Times New Roman" w:hAnsi="Times New Roman"/>
          <w:sz w:val="20"/>
          <w:szCs w:val="20"/>
          <w:color w:val="auto"/>
        </w:rPr>
        <w:t>The Directors may delegate any of their powers or discretions (including all powers and discretions whose exercise involves or may involve the payment of remuneration to or the conferring of any other benefit on all or any of the Directors) to such person (who need not be a Director) or committee (comprising any number of persons, who need not be Directors) and in such manner as they think fit. Any such delegation may be either collaterally with or to the exclusion of their own powers and the Directors may revoke or alter the terms of any such delegation. Any such person or committee shall, unless the Directors otherwise resolve, have power to sub-delegate any of the powers or discretions delegated to them.</w:t>
      </w:r>
    </w:p>
    <w:p>
      <w:pPr>
        <w:spacing w:after="0" w:line="17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94.2</w:t>
      </w:r>
      <w:r>
        <w:rPr>
          <w:sz w:val="20"/>
          <w:szCs w:val="20"/>
          <w:color w:val="auto"/>
        </w:rPr>
        <w:tab/>
      </w:r>
      <w:r>
        <w:rPr>
          <w:rFonts w:ascii="Times New Roman" w:cs="Times New Roman" w:eastAsia="Times New Roman" w:hAnsi="Times New Roman"/>
          <w:sz w:val="20"/>
          <w:szCs w:val="20"/>
          <w:color w:val="auto"/>
        </w:rPr>
        <w:t>Any reference in these Articles to the exercise of a power or discretion by the Directors shall include a reference to the exercise of such power or discretion by any person or committee to whom it has been delegated.</w:t>
      </w:r>
    </w:p>
    <w:p>
      <w:pPr>
        <w:spacing w:after="0" w:line="14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94.3</w:t>
      </w:r>
      <w:r>
        <w:rPr>
          <w:sz w:val="20"/>
          <w:szCs w:val="20"/>
          <w:color w:val="auto"/>
        </w:rPr>
        <w:tab/>
      </w:r>
      <w:r>
        <w:rPr>
          <w:rFonts w:ascii="Times New Roman" w:cs="Times New Roman" w:eastAsia="Times New Roman" w:hAnsi="Times New Roman"/>
          <w:sz w:val="20"/>
          <w:szCs w:val="20"/>
          <w:color w:val="auto"/>
        </w:rPr>
        <w:t>The Directors may make regulations in relation to the proceedings of committees or sub- committees. Subject to any such regulations, the meetings and proceedings of any committee or sub-committee consisting of two or more persons shall be governed by the provisions of these Articles regulating the meetings and proceedings of the Directors (with such amendments as are necessary).</w:t>
      </w:r>
    </w:p>
    <w:p>
      <w:pPr>
        <w:spacing w:after="0" w:line="200" w:lineRule="exact"/>
        <w:rPr>
          <w:sz w:val="20"/>
          <w:szCs w:val="20"/>
          <w:color w:val="auto"/>
        </w:rPr>
      </w:pP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20"/>
          <w:szCs w:val="20"/>
          <w:b w:val="1"/>
          <w:bCs w:val="1"/>
          <w:color w:val="auto"/>
        </w:rPr>
        <w:t>Local boards and managers</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95.1</w:t>
      </w:r>
      <w:r>
        <w:rPr>
          <w:sz w:val="20"/>
          <w:szCs w:val="20"/>
          <w:color w:val="auto"/>
        </w:rPr>
        <w:tab/>
      </w:r>
      <w:r>
        <w:rPr>
          <w:rFonts w:ascii="Times New Roman" w:cs="Times New Roman" w:eastAsia="Times New Roman" w:hAnsi="Times New Roman"/>
          <w:sz w:val="20"/>
          <w:szCs w:val="20"/>
          <w:color w:val="auto"/>
        </w:rPr>
        <w:t>The Directors may establish any local boards or appoint managers or agents to manage any of the affairs of the Company, either in the United Kingdom or elsewhere, and may:</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95.1.1</w:t>
      </w:r>
      <w:r>
        <w:rPr>
          <w:sz w:val="20"/>
          <w:szCs w:val="20"/>
          <w:color w:val="auto"/>
        </w:rPr>
        <w:tab/>
      </w:r>
      <w:r>
        <w:rPr>
          <w:rFonts w:ascii="Times New Roman" w:cs="Times New Roman" w:eastAsia="Times New Roman" w:hAnsi="Times New Roman"/>
          <w:sz w:val="19"/>
          <w:szCs w:val="19"/>
          <w:color w:val="auto"/>
        </w:rPr>
        <w:t>appoint any persons to be managers or agents or members of such local boards, and may fix their remuneration;</w:t>
      </w:r>
    </w:p>
    <w:p>
      <w:pPr>
        <w:spacing w:after="0" w:line="241" w:lineRule="exact"/>
        <w:rPr>
          <w:sz w:val="20"/>
          <w:szCs w:val="20"/>
          <w:color w:val="auto"/>
        </w:rPr>
      </w:pPr>
    </w:p>
    <w:p>
      <w:pPr>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95.1.2</w:t>
      </w:r>
      <w:r>
        <w:rPr>
          <w:sz w:val="20"/>
          <w:szCs w:val="20"/>
          <w:color w:val="auto"/>
        </w:rPr>
        <w:tab/>
      </w:r>
      <w:r>
        <w:rPr>
          <w:rFonts w:ascii="Times New Roman" w:cs="Times New Roman" w:eastAsia="Times New Roman" w:hAnsi="Times New Roman"/>
          <w:sz w:val="20"/>
          <w:szCs w:val="20"/>
          <w:color w:val="auto"/>
        </w:rPr>
        <w:t>delegate to any local board, manager or agent any of the powers, authorities and discretions vested in the Directors, with power to sub-delegate;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95.1.3</w:t>
      </w:r>
      <w:r>
        <w:rPr>
          <w:sz w:val="20"/>
          <w:szCs w:val="20"/>
          <w:color w:val="auto"/>
        </w:rPr>
        <w:tab/>
      </w:r>
      <w:r>
        <w:rPr>
          <w:rFonts w:ascii="Times New Roman" w:cs="Times New Roman" w:eastAsia="Times New Roman" w:hAnsi="Times New Roman"/>
          <w:sz w:val="19"/>
          <w:szCs w:val="19"/>
          <w:color w:val="auto"/>
        </w:rPr>
        <w:t>remove any person so appointed, and may annul or vary any such delegation; and</w:t>
      </w:r>
    </w:p>
    <w:p>
      <w:pPr>
        <w:spacing w:after="0" w:line="241"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95.1.4</w:t>
      </w:r>
      <w:r>
        <w:rPr>
          <w:sz w:val="20"/>
          <w:szCs w:val="20"/>
          <w:color w:val="auto"/>
        </w:rPr>
        <w:tab/>
      </w:r>
      <w:r>
        <w:rPr>
          <w:rFonts w:ascii="Times New Roman" w:cs="Times New Roman" w:eastAsia="Times New Roman" w:hAnsi="Times New Roman"/>
          <w:sz w:val="20"/>
          <w:szCs w:val="20"/>
          <w:color w:val="auto"/>
        </w:rPr>
        <w:t>authorise the members of any local boards, or any of them, to fill any vacancies on such boards, and to act notwithstanding vacancies.</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95.2</w:t>
      </w:r>
      <w:r>
        <w:rPr>
          <w:sz w:val="20"/>
          <w:szCs w:val="20"/>
          <w:color w:val="auto"/>
        </w:rPr>
        <w:tab/>
      </w:r>
      <w:r>
        <w:rPr>
          <w:rFonts w:ascii="Times New Roman" w:cs="Times New Roman" w:eastAsia="Times New Roman" w:hAnsi="Times New Roman"/>
          <w:sz w:val="19"/>
          <w:szCs w:val="19"/>
          <w:color w:val="auto"/>
        </w:rPr>
        <w:t>Any such appointment or delegation may be made upon such terms and subject to such conditions as the Directors may think 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245" w:name="page246"/>
    <w:bookmarkEnd w:id="245"/>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96</w:t>
      </w:r>
      <w:r>
        <w:rPr>
          <w:sz w:val="20"/>
          <w:szCs w:val="20"/>
          <w:color w:val="auto"/>
        </w:rPr>
        <w:tab/>
      </w:r>
      <w:r>
        <w:rPr>
          <w:rFonts w:ascii="Times New Roman" w:cs="Times New Roman" w:eastAsia="Times New Roman" w:hAnsi="Times New Roman"/>
          <w:sz w:val="20"/>
          <w:szCs w:val="20"/>
          <w:b w:val="1"/>
          <w:bCs w:val="1"/>
          <w:color w:val="auto"/>
        </w:rPr>
        <w:t>Appointment of attorney</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96.1</w:t>
      </w:r>
      <w:r>
        <w:rPr>
          <w:sz w:val="20"/>
          <w:szCs w:val="20"/>
          <w:color w:val="auto"/>
        </w:rPr>
        <w:tab/>
      </w:r>
      <w:r>
        <w:rPr>
          <w:rFonts w:ascii="Times New Roman" w:cs="Times New Roman" w:eastAsia="Times New Roman" w:hAnsi="Times New Roman"/>
          <w:sz w:val="20"/>
          <w:szCs w:val="20"/>
          <w:color w:val="auto"/>
        </w:rPr>
        <w:t>The Directors may from time to time and at any time appoint any company, firm or person or any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w:t>
      </w:r>
    </w:p>
    <w:p>
      <w:pPr>
        <w:spacing w:after="0" w:line="187"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96.2</w:t>
      </w:r>
      <w:r>
        <w:rPr>
          <w:sz w:val="20"/>
          <w:szCs w:val="20"/>
          <w:color w:val="auto"/>
        </w:rPr>
        <w:tab/>
      </w:r>
      <w:r>
        <w:rPr>
          <w:rFonts w:ascii="Times New Roman" w:cs="Times New Roman" w:eastAsia="Times New Roman" w:hAnsi="Times New Roman"/>
          <w:sz w:val="20"/>
          <w:szCs w:val="20"/>
          <w:color w:val="auto"/>
        </w:rPr>
        <w:t>Any such appointment may contain such provisions for the protection and convenience of persons dealing with any such attorney as the Directors may think fit.</w:t>
      </w:r>
    </w:p>
    <w:p>
      <w:pPr>
        <w:spacing w:after="0" w:line="14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96.3</w:t>
      </w:r>
      <w:r>
        <w:rPr>
          <w:sz w:val="20"/>
          <w:szCs w:val="20"/>
          <w:color w:val="auto"/>
        </w:rPr>
        <w:tab/>
      </w:r>
      <w:r>
        <w:rPr>
          <w:rFonts w:ascii="Times New Roman" w:cs="Times New Roman" w:eastAsia="Times New Roman" w:hAnsi="Times New Roman"/>
          <w:sz w:val="20"/>
          <w:szCs w:val="20"/>
          <w:color w:val="auto"/>
        </w:rPr>
        <w:t>The Directors may also authorise any such attorney to sub-delegate all or any of the powers, authorities and discretions vested in him.</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Alternate Directors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97</w:t>
      </w:r>
      <w:r>
        <w:rPr>
          <w:sz w:val="20"/>
          <w:szCs w:val="20"/>
          <w:color w:val="auto"/>
        </w:rPr>
        <w:tab/>
      </w:r>
      <w:r>
        <w:rPr>
          <w:rFonts w:ascii="Times New Roman" w:cs="Times New Roman" w:eastAsia="Times New Roman" w:hAnsi="Times New Roman"/>
          <w:sz w:val="20"/>
          <w:szCs w:val="20"/>
          <w:b w:val="1"/>
          <w:bCs w:val="1"/>
          <w:color w:val="auto"/>
        </w:rPr>
        <w:t>Alternate Directors</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97.1</w:t>
      </w:r>
      <w:r>
        <w:rPr>
          <w:sz w:val="20"/>
          <w:szCs w:val="20"/>
          <w:color w:val="auto"/>
        </w:rPr>
        <w:tab/>
      </w:r>
      <w:r>
        <w:rPr>
          <w:rFonts w:ascii="Times New Roman" w:cs="Times New Roman" w:eastAsia="Times New Roman" w:hAnsi="Times New Roman"/>
          <w:sz w:val="20"/>
          <w:szCs w:val="20"/>
          <w:color w:val="auto"/>
        </w:rPr>
        <w:t>Any Director may at any time appoint any person (including another Director) to be his alternate Director and may at any time terminate such appointment. Such appointment or termination of appointment must be made by notice in writing signed by the Director concerned and deposited at the Office or delivered at a meeting of the Directors. Unless previously approved by the Directors or unless the appointee is another Director, the appointment of an alternate shall have effect only once it has been approved.</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97.2</w:t>
      </w:r>
      <w:r>
        <w:rPr>
          <w:sz w:val="20"/>
          <w:szCs w:val="20"/>
          <w:color w:val="auto"/>
        </w:rPr>
        <w:tab/>
      </w:r>
      <w:r>
        <w:rPr>
          <w:rFonts w:ascii="Times New Roman" w:cs="Times New Roman" w:eastAsia="Times New Roman" w:hAnsi="Times New Roman"/>
          <w:sz w:val="19"/>
          <w:szCs w:val="19"/>
          <w:color w:val="auto"/>
        </w:rPr>
        <w:t>The appointment of an alternate Director shall terminate: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97.2.1</w:t>
      </w:r>
      <w:r>
        <w:rPr>
          <w:sz w:val="20"/>
          <w:szCs w:val="20"/>
          <w:color w:val="auto"/>
        </w:rPr>
        <w:tab/>
      </w:r>
      <w:r>
        <w:rPr>
          <w:rFonts w:ascii="Times New Roman" w:cs="Times New Roman" w:eastAsia="Times New Roman" w:hAnsi="Times New Roman"/>
          <w:sz w:val="19"/>
          <w:szCs w:val="19"/>
          <w:color w:val="auto"/>
        </w:rPr>
        <w:t>on the happening of any event referred to in Article 76.1.1, 76.1.3 or 76.1.4 in relation to that alternate Director; or</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97.2.2</w:t>
      </w:r>
      <w:r>
        <w:rPr>
          <w:sz w:val="20"/>
          <w:szCs w:val="20"/>
          <w:color w:val="auto"/>
        </w:rPr>
        <w:tab/>
      </w:r>
      <w:r>
        <w:rPr>
          <w:rFonts w:ascii="Times New Roman" w:cs="Times New Roman" w:eastAsia="Times New Roman" w:hAnsi="Times New Roman"/>
          <w:sz w:val="19"/>
          <w:szCs w:val="19"/>
          <w:color w:val="auto"/>
        </w:rPr>
        <w:t>if his appointor ceases to be a Director, otherwise than by retirement at a General Meeting at which he is re-elected.</w:t>
      </w:r>
    </w:p>
    <w:p>
      <w:pPr>
        <w:spacing w:after="0" w:line="22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97.3</w:t>
      </w:r>
      <w:r>
        <w:rPr>
          <w:sz w:val="20"/>
          <w:szCs w:val="20"/>
          <w:color w:val="auto"/>
        </w:rPr>
        <w:tab/>
      </w:r>
      <w:r>
        <w:rPr>
          <w:rFonts w:ascii="Times New Roman" w:cs="Times New Roman" w:eastAsia="Times New Roman" w:hAnsi="Times New Roman"/>
          <w:sz w:val="20"/>
          <w:szCs w:val="20"/>
          <w:color w:val="auto"/>
        </w:rPr>
        <w:t>An alternate Director shall be entitled to receive notices of meetings of the Directors and shall be entitled to attend and vote as a Director at any such meeting at which the Director appointing him is not personally present and generally at such meetings to perform all functions of his appointor as a Director. For the purposes of the proceedings at such meetings, the provisions of these Articles shall apply as if he (instead of his appointor) were a Director.</w:t>
      </w:r>
    </w:p>
    <w:p>
      <w:pPr>
        <w:spacing w:after="0" w:line="186"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97.4</w:t>
      </w:r>
      <w:r>
        <w:rPr>
          <w:sz w:val="20"/>
          <w:szCs w:val="20"/>
          <w:color w:val="auto"/>
        </w:rPr>
        <w:tab/>
      </w:r>
      <w:r>
        <w:rPr>
          <w:rFonts w:ascii="Times New Roman" w:cs="Times New Roman" w:eastAsia="Times New Roman" w:hAnsi="Times New Roman"/>
          <w:sz w:val="20"/>
          <w:szCs w:val="20"/>
          <w:color w:val="auto"/>
        </w:rPr>
        <w:t>If an alternate is himself a Director or shall attend any such meeting as an alternate for more than one Director, his voting rights shall be cumulative but he shall not be counted more than once for the purposes of the quorum.</w:t>
      </w:r>
    </w:p>
    <w:p>
      <w:pPr>
        <w:spacing w:after="0" w:line="17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97.5</w:t>
      </w:r>
      <w:r>
        <w:rPr>
          <w:sz w:val="20"/>
          <w:szCs w:val="20"/>
          <w:color w:val="auto"/>
        </w:rPr>
        <w:tab/>
      </w:r>
      <w:r>
        <w:rPr>
          <w:rFonts w:ascii="Times New Roman" w:cs="Times New Roman" w:eastAsia="Times New Roman" w:hAnsi="Times New Roman"/>
          <w:sz w:val="20"/>
          <w:szCs w:val="20"/>
          <w:color w:val="auto"/>
        </w:rPr>
        <w:t>If his appointor is for the time being temporarily unable to act through ill health or disability, an alternate’s signature to any resolution in writing of the Directors shall be as effective as the signature of his appointor.</w:t>
      </w:r>
    </w:p>
    <w:p>
      <w:pPr>
        <w:spacing w:after="0" w:line="173"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97.6</w:t>
      </w:r>
      <w:r>
        <w:rPr>
          <w:sz w:val="20"/>
          <w:szCs w:val="20"/>
          <w:color w:val="auto"/>
        </w:rPr>
        <w:tab/>
      </w:r>
      <w:r>
        <w:rPr>
          <w:rFonts w:ascii="Times New Roman" w:cs="Times New Roman" w:eastAsia="Times New Roman" w:hAnsi="Times New Roman"/>
          <w:sz w:val="20"/>
          <w:szCs w:val="20"/>
          <w:color w:val="auto"/>
        </w:rPr>
        <w:t>This Article 97 shall also apply (with such changes as are necessary) to such extent as the Directors may from time to time resolve to any meeting of any committee of the Directors of which the appointor of an alternate director is a member.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type w:val="continuous"/>
        </w:sectPr>
      </w:pPr>
    </w:p>
    <w:bookmarkStart w:id="246" w:name="page247"/>
    <w:bookmarkEnd w:id="246"/>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97.7</w:t>
      </w:r>
      <w:r>
        <w:rPr>
          <w:sz w:val="20"/>
          <w:szCs w:val="20"/>
          <w:color w:val="auto"/>
        </w:rPr>
        <w:tab/>
      </w:r>
      <w:r>
        <w:rPr>
          <w:rFonts w:ascii="Times New Roman" w:cs="Times New Roman" w:eastAsia="Times New Roman" w:hAnsi="Times New Roman"/>
          <w:sz w:val="20"/>
          <w:szCs w:val="20"/>
          <w:color w:val="auto"/>
        </w:rPr>
        <w:t>An alternate Director shall be entitled to contract and be interested in and benefit from contracts or arrangements or transactions and to be repaid expenses and to be indemnified to the same extent as if he were a Director.</w:t>
      </w:r>
    </w:p>
    <w:p>
      <w:pPr>
        <w:spacing w:after="0" w:line="14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97.8</w:t>
      </w:r>
      <w:r>
        <w:rPr>
          <w:sz w:val="20"/>
          <w:szCs w:val="20"/>
          <w:color w:val="auto"/>
        </w:rPr>
        <w:tab/>
      </w:r>
      <w:r>
        <w:rPr>
          <w:rFonts w:ascii="Times New Roman" w:cs="Times New Roman" w:eastAsia="Times New Roman" w:hAnsi="Times New Roman"/>
          <w:sz w:val="20"/>
          <w:szCs w:val="20"/>
          <w:color w:val="auto"/>
        </w:rPr>
        <w:t>An alternate shall not be entitled to receive remuneration from the Company in respect of his appointment as alternate Director except to the extent his appointor directs the Company by written notice to pay to the alternate some of the remuneration otherwise payable to that Director.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Secretary</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Secretary</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Secretary shall be appointed by the Directors on such terms and for such period as they may think fit. Any Secretary so appointed may at any time be removed from office by the Directors, but without prejudice to any claim for damages for breach of any contract of service between him and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Seal</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20"/>
          <w:szCs w:val="20"/>
          <w:b w:val="1"/>
          <w:bCs w:val="1"/>
          <w:color w:val="auto"/>
        </w:rPr>
        <w:t>The Seal</w:t>
      </w:r>
    </w:p>
    <w:p>
      <w:pPr>
        <w:spacing w:after="0" w:line="21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99.1</w:t>
      </w:r>
      <w:r>
        <w:rPr>
          <w:sz w:val="20"/>
          <w:szCs w:val="20"/>
          <w:color w:val="auto"/>
        </w:rPr>
        <w:tab/>
      </w:r>
      <w:r>
        <w:rPr>
          <w:rFonts w:ascii="Times New Roman" w:cs="Times New Roman" w:eastAsia="Times New Roman" w:hAnsi="Times New Roman"/>
          <w:sz w:val="20"/>
          <w:szCs w:val="20"/>
          <w:color w:val="auto"/>
        </w:rPr>
        <w:t>The Directors shall provide for the safe custody of the Seal and any Securities Seal and neither shall be used without the authority of the Directors or of a committee authorised by the Directors in that behalf. The Securities Seal shall be used only for sealing securities issued by the Company and documents creating or evidencing securities so issued.</w:t>
      </w:r>
    </w:p>
    <w:p>
      <w:pPr>
        <w:spacing w:after="0" w:line="181"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99.2</w:t>
      </w:r>
      <w:r>
        <w:rPr>
          <w:sz w:val="20"/>
          <w:szCs w:val="20"/>
          <w:color w:val="auto"/>
        </w:rPr>
        <w:tab/>
      </w:r>
      <w:r>
        <w:rPr>
          <w:rFonts w:ascii="Times New Roman" w:cs="Times New Roman" w:eastAsia="Times New Roman" w:hAnsi="Times New Roman"/>
          <w:sz w:val="19"/>
          <w:szCs w:val="19"/>
          <w:color w:val="auto"/>
        </w:rPr>
        <w:t>Every instrument to which the Seal or the Securities Seal shall be affixed (other than a certificate for or evidencing shares, debentures or other securities (including options) issued by the Company) shall be signed autographically by one Director and the Secretary or by two Directors or by a Director or other person authorised for the purpose by the Directors in the presence of a witness.</w:t>
      </w:r>
    </w:p>
    <w:p>
      <w:pPr>
        <w:spacing w:after="0" w:line="16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99.3</w:t>
      </w:r>
      <w:r>
        <w:rPr>
          <w:sz w:val="20"/>
          <w:szCs w:val="20"/>
          <w:color w:val="auto"/>
        </w:rPr>
        <w:tab/>
      </w:r>
      <w:r>
        <w:rPr>
          <w:rFonts w:ascii="Times New Roman" w:cs="Times New Roman" w:eastAsia="Times New Roman" w:hAnsi="Times New Roman"/>
          <w:sz w:val="20"/>
          <w:szCs w:val="20"/>
          <w:color w:val="auto"/>
        </w:rPr>
        <w:t>The Company may exercise the powers conferred by the Legislation with regard to having an official seal for use abroad and such powers shall be vested in the Directors.</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99.4</w:t>
      </w:r>
      <w:r>
        <w:rPr>
          <w:sz w:val="20"/>
          <w:szCs w:val="20"/>
          <w:color w:val="auto"/>
        </w:rPr>
        <w:tab/>
      </w:r>
      <w:r>
        <w:rPr>
          <w:rFonts w:ascii="Times New Roman" w:cs="Times New Roman" w:eastAsia="Times New Roman" w:hAnsi="Times New Roman"/>
          <w:sz w:val="19"/>
          <w:szCs w:val="19"/>
          <w:color w:val="auto"/>
        </w:rPr>
        <w:t>Any instrument signed by: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99.4.1</w:t>
      </w:r>
      <w:r>
        <w:rPr>
          <w:sz w:val="20"/>
          <w:szCs w:val="20"/>
          <w:color w:val="auto"/>
        </w:rPr>
        <w:tab/>
      </w:r>
      <w:r>
        <w:rPr>
          <w:rFonts w:ascii="Times New Roman" w:cs="Times New Roman" w:eastAsia="Times New Roman" w:hAnsi="Times New Roman"/>
          <w:sz w:val="19"/>
          <w:szCs w:val="19"/>
          <w:color w:val="auto"/>
        </w:rPr>
        <w:t>one Director and the Secretary; or</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99.4.2</w:t>
      </w:r>
      <w:r>
        <w:rPr>
          <w:sz w:val="20"/>
          <w:szCs w:val="20"/>
          <w:color w:val="auto"/>
        </w:rPr>
        <w:tab/>
      </w:r>
      <w:r>
        <w:rPr>
          <w:rFonts w:ascii="Times New Roman" w:cs="Times New Roman" w:eastAsia="Times New Roman" w:hAnsi="Times New Roman"/>
          <w:sz w:val="19"/>
          <w:szCs w:val="19"/>
          <w:color w:val="auto"/>
        </w:rPr>
        <w:t>by two Directors; or</w:t>
      </w:r>
    </w:p>
    <w:p>
      <w:pPr>
        <w:spacing w:after="0" w:line="2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99.4.3</w:t>
      </w:r>
      <w:r>
        <w:rPr>
          <w:sz w:val="20"/>
          <w:szCs w:val="20"/>
          <w:color w:val="auto"/>
        </w:rPr>
        <w:tab/>
      </w:r>
      <w:r>
        <w:rPr>
          <w:rFonts w:ascii="Times New Roman" w:cs="Times New Roman" w:eastAsia="Times New Roman" w:hAnsi="Times New Roman"/>
          <w:sz w:val="19"/>
          <w:szCs w:val="19"/>
          <w:color w:val="auto"/>
        </w:rPr>
        <w:t>by a Director in the presence of a witness who attests the signature,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expressed to be executed by the Company shall have the same effect as if executed under the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09" w:right="339" w:bottom="1440" w:gutter="0" w:footer="0" w:header="0"/>
        </w:sectPr>
      </w:pPr>
    </w:p>
    <w:bookmarkStart w:id="247" w:name="page248"/>
    <w:bookmarkEnd w:id="247"/>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Authentication of Documents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w:t>
      </w:r>
      <w:r>
        <w:rPr>
          <w:sz w:val="20"/>
          <w:szCs w:val="20"/>
          <w:color w:val="auto"/>
        </w:rPr>
        <w:tab/>
      </w:r>
      <w:r>
        <w:rPr>
          <w:rFonts w:ascii="Times New Roman" w:cs="Times New Roman" w:eastAsia="Times New Roman" w:hAnsi="Times New Roman"/>
          <w:sz w:val="20"/>
          <w:szCs w:val="20"/>
          <w:b w:val="1"/>
          <w:bCs w:val="1"/>
          <w:color w:val="auto"/>
        </w:rPr>
        <w:t>Authentication of documents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color w:val="auto"/>
        </w:rPr>
        <w:t>Any Director or the Secretary or any person appointed by the Directors for the purpose shall have power to authenticate: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100.1.1 </w:t>
      </w:r>
      <w:r>
        <w:rPr>
          <w:rFonts w:ascii="Times New Roman" w:cs="Times New Roman" w:eastAsia="Times New Roman" w:hAnsi="Times New Roman"/>
          <w:sz w:val="19"/>
          <w:szCs w:val="19"/>
          <w:color w:val="auto"/>
        </w:rPr>
        <w:t>any document affecting the constitution of the Company;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100.1.2 </w:t>
      </w:r>
      <w:r>
        <w:rPr>
          <w:rFonts w:ascii="Times New Roman" w:cs="Times New Roman" w:eastAsia="Times New Roman" w:hAnsi="Times New Roman"/>
          <w:sz w:val="19"/>
          <w:szCs w:val="19"/>
          <w:color w:val="auto"/>
        </w:rPr>
        <w:t>any resolution passed at a General Meeting or at a meeting of the Directors or any committee; and</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100.1.3 </w:t>
      </w:r>
      <w:r>
        <w:rPr>
          <w:rFonts w:ascii="Times New Roman" w:cs="Times New Roman" w:eastAsia="Times New Roman" w:hAnsi="Times New Roman"/>
          <w:sz w:val="19"/>
          <w:szCs w:val="19"/>
          <w:color w:val="auto"/>
        </w:rPr>
        <w:t>any book, record, document or account relating to the business of the Company,</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to certify copies or extracts as true copies or extracts.</w:t>
      </w:r>
    </w:p>
    <w:p>
      <w:pPr>
        <w:spacing w:after="0" w:line="212"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20"/>
          <w:szCs w:val="20"/>
          <w:color w:val="auto"/>
        </w:rPr>
        <w:t>Where any book, record, document or account is elsewhere than at the Office the local manager or other officer of the Company having the custody of it shall be deemed to be a person appointed by the Directors for the purpose of Article 100.1.</w:t>
      </w:r>
    </w:p>
    <w:p>
      <w:pPr>
        <w:spacing w:after="0" w:line="14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Times New Roman" w:cs="Times New Roman" w:eastAsia="Times New Roman" w:hAnsi="Times New Roman"/>
          <w:sz w:val="20"/>
          <w:szCs w:val="20"/>
          <w:color w:val="auto"/>
        </w:rPr>
        <w:t>A document purporting to be a copy of any such resolution, or an extract from the minutes of any such meeting, which is certified shall be conclusive evidence in favour of all persons dealing with the Company that such resolution has been duly passed or, as the case may be, that any minute so extracted is a true and accurate record of proceedings at a duly constituted meeting.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20"/>
          <w:szCs w:val="20"/>
          <w:b w:val="1"/>
          <w:bCs w:val="1"/>
          <w:color w:val="auto"/>
        </w:rPr>
        <w:t>Declaration of final dividends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19"/>
          <w:szCs w:val="19"/>
          <w:color w:val="auto"/>
        </w:rPr>
        <w:t>The Company may by ordinary resolution declare final dividends.</w:t>
      </w:r>
    </w:p>
    <w:p>
      <w:pPr>
        <w:spacing w:after="0" w:line="22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ab/>
      </w:r>
      <w:r>
        <w:rPr>
          <w:rFonts w:ascii="Times New Roman" w:cs="Times New Roman" w:eastAsia="Times New Roman" w:hAnsi="Times New Roman"/>
          <w:sz w:val="20"/>
          <w:szCs w:val="20"/>
          <w:color w:val="auto"/>
        </w:rPr>
        <w:t>No dividend shall be declared unless it has been recommended by the Directors and does not exceed the amount recommended by the Directors.</w:t>
      </w:r>
    </w:p>
    <w:p>
      <w:pPr>
        <w:spacing w:after="0" w:line="3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20"/>
          <w:szCs w:val="20"/>
          <w:b w:val="1"/>
          <w:bCs w:val="1"/>
          <w:color w:val="auto"/>
        </w:rPr>
        <w:t>Fixed and interim dividends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102.1</w:t>
      </w:r>
      <w:r>
        <w:rPr>
          <w:sz w:val="20"/>
          <w:szCs w:val="20"/>
          <w:color w:val="auto"/>
        </w:rPr>
        <w:tab/>
      </w:r>
      <w:r>
        <w:rPr>
          <w:rFonts w:ascii="Times New Roman" w:cs="Times New Roman" w:eastAsia="Times New Roman" w:hAnsi="Times New Roman"/>
          <w:sz w:val="19"/>
          <w:szCs w:val="19"/>
          <w:color w:val="auto"/>
        </w:rPr>
        <w:t>If and so far as in the opinion of the Directors the profits of the Company justify such payments, the Directors may:</w:t>
      </w:r>
    </w:p>
    <w:p>
      <w:pPr>
        <w:spacing w:after="0" w:line="220" w:lineRule="exact"/>
        <w:rPr>
          <w:sz w:val="20"/>
          <w:szCs w:val="20"/>
          <w:color w:val="auto"/>
        </w:rPr>
      </w:pPr>
    </w:p>
    <w:p>
      <w:pPr>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102.1.1 </w:t>
      </w:r>
      <w:r>
        <w:rPr>
          <w:rFonts w:ascii="Times New Roman" w:cs="Times New Roman" w:eastAsia="Times New Roman" w:hAnsi="Times New Roman"/>
          <w:sz w:val="19"/>
          <w:szCs w:val="19"/>
          <w:color w:val="auto"/>
        </w:rPr>
        <w:t>pay the fixed dividends on any class of shares carrying a fixed dividend expressed to be payable on fixed dates on the 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prescribed for the payment of such dividends; and</w:t>
      </w:r>
    </w:p>
    <w:p>
      <w:pPr>
        <w:spacing w:after="0" w:line="124" w:lineRule="exact"/>
        <w:rPr>
          <w:sz w:val="20"/>
          <w:szCs w:val="20"/>
          <w:color w:val="auto"/>
        </w:rPr>
      </w:pPr>
    </w:p>
    <w:p>
      <w:pPr>
        <w:ind w:left="1300" w:hanging="647"/>
        <w:spacing w:after="0" w:line="275" w:lineRule="auto"/>
        <w:rPr>
          <w:sz w:val="20"/>
          <w:szCs w:val="20"/>
          <w:color w:val="auto"/>
        </w:rPr>
      </w:pPr>
      <w:r>
        <w:rPr>
          <w:rFonts w:ascii="Times New Roman" w:cs="Times New Roman" w:eastAsia="Times New Roman" w:hAnsi="Times New Roman"/>
          <w:sz w:val="18"/>
          <w:szCs w:val="18"/>
          <w:b w:val="1"/>
          <w:bCs w:val="1"/>
          <w:color w:val="auto"/>
        </w:rPr>
        <w:t xml:space="preserve">102.1.2 </w:t>
      </w:r>
      <w:r>
        <w:rPr>
          <w:rFonts w:ascii="Times New Roman" w:cs="Times New Roman" w:eastAsia="Times New Roman" w:hAnsi="Times New Roman"/>
          <w:sz w:val="19"/>
          <w:szCs w:val="19"/>
          <w:color w:val="auto"/>
        </w:rPr>
        <w:t>pay interim dividends on shares of any class of such amounts and on such dates and in respect of such periods as they think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fit.</w:t>
      </w:r>
    </w:p>
    <w:p>
      <w:pPr>
        <w:spacing w:after="0" w:line="200" w:lineRule="exact"/>
        <w:rPr>
          <w:sz w:val="20"/>
          <w:szCs w:val="20"/>
          <w:color w:val="auto"/>
        </w:rPr>
      </w:pPr>
    </w:p>
    <w:p>
      <w:pPr>
        <w:spacing w:after="0" w:line="24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102.2</w:t>
      </w:r>
      <w:r>
        <w:rPr>
          <w:sz w:val="20"/>
          <w:szCs w:val="20"/>
          <w:color w:val="auto"/>
        </w:rPr>
        <w:tab/>
      </w:r>
      <w:r>
        <w:rPr>
          <w:rFonts w:ascii="Times New Roman" w:cs="Times New Roman" w:eastAsia="Times New Roman" w:hAnsi="Times New Roman"/>
          <w:sz w:val="20"/>
          <w:szCs w:val="20"/>
          <w:color w:val="auto"/>
        </w:rPr>
        <w:t>Provided the Directors act in good faith they shall not incur any liability to the holders of any shares for any loss they may suffer by the lawful payment of any fixed or interim dividend on any other class of shares having rights ranking after or equal with those shares.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type w:val="continuous"/>
        </w:sectPr>
      </w:pPr>
    </w:p>
    <w:bookmarkStart w:id="248" w:name="page249"/>
    <w:bookmarkEnd w:id="248"/>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20"/>
          <w:szCs w:val="20"/>
          <w:b w:val="1"/>
          <w:bCs w:val="1"/>
          <w:color w:val="auto"/>
        </w:rPr>
        <w:t xml:space="preserve">Distribution </w:t>
      </w:r>
      <w:r>
        <w:rPr>
          <w:rFonts w:ascii="Times New Roman" w:cs="Times New Roman" w:eastAsia="Times New Roman" w:hAnsi="Times New Roman"/>
          <w:sz w:val="20"/>
          <w:szCs w:val="20"/>
          <w:b w:val="1"/>
          <w:bCs w:val="1"/>
          <w:i w:val="1"/>
          <w:iCs w:val="1"/>
          <w:color w:val="auto"/>
        </w:rPr>
        <w:t>in specie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103.1</w:t>
      </w:r>
      <w:r>
        <w:rPr>
          <w:sz w:val="20"/>
          <w:szCs w:val="20"/>
          <w:color w:val="auto"/>
        </w:rPr>
        <w:tab/>
      </w:r>
      <w:r>
        <w:rPr>
          <w:rFonts w:ascii="Times New Roman" w:cs="Times New Roman" w:eastAsia="Times New Roman" w:hAnsi="Times New Roman"/>
          <w:sz w:val="20"/>
          <w:szCs w:val="20"/>
          <w:color w:val="auto"/>
        </w:rPr>
        <w:t>Without prejudice to Article 101, the Directors may, by ordinary resolution of the Company direct, or in the case of an interim dividend may without the authority of an ordinary resolution direct, that payment of any dividend may be satisfied in whole or in part by the transfer of specific assets of equivalent value (including paid-up shares or debentures of any other company).</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103.2</w:t>
      </w:r>
      <w:r>
        <w:rPr>
          <w:sz w:val="20"/>
          <w:szCs w:val="20"/>
          <w:color w:val="auto"/>
        </w:rPr>
        <w:tab/>
      </w:r>
      <w:r>
        <w:rPr>
          <w:rFonts w:ascii="Times New Roman" w:cs="Times New Roman" w:eastAsia="Times New Roman" w:hAnsi="Times New Roman"/>
          <w:sz w:val="19"/>
          <w:szCs w:val="19"/>
          <w:color w:val="auto"/>
        </w:rPr>
        <w:t>Where any difficulty arises in regard to such distribution, the Directors may make such arrangements as they think fit, including:</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103.2.1 </w:t>
      </w:r>
      <w:r>
        <w:rPr>
          <w:rFonts w:ascii="Times New Roman" w:cs="Times New Roman" w:eastAsia="Times New Roman" w:hAnsi="Times New Roman"/>
          <w:sz w:val="19"/>
          <w:szCs w:val="19"/>
          <w:color w:val="auto"/>
        </w:rPr>
        <w:t>issuing fractional certificates;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103.2.2 </w:t>
      </w:r>
      <w:r>
        <w:rPr>
          <w:rFonts w:ascii="Times New Roman" w:cs="Times New Roman" w:eastAsia="Times New Roman" w:hAnsi="Times New Roman"/>
          <w:sz w:val="19"/>
          <w:szCs w:val="19"/>
          <w:color w:val="auto"/>
        </w:rPr>
        <w:t>fixing the value of any of the assets to be transferred;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103.2.3 </w:t>
      </w:r>
      <w:r>
        <w:rPr>
          <w:rFonts w:ascii="Times New Roman" w:cs="Times New Roman" w:eastAsia="Times New Roman" w:hAnsi="Times New Roman"/>
          <w:sz w:val="19"/>
          <w:szCs w:val="19"/>
          <w:color w:val="auto"/>
        </w:rPr>
        <w:t>paying cash to any member on the basis of the value fixed for the assets in order to adjust the rights of members; and</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103.2.4 </w:t>
      </w:r>
      <w:r>
        <w:rPr>
          <w:rFonts w:ascii="Times New Roman" w:cs="Times New Roman" w:eastAsia="Times New Roman" w:hAnsi="Times New Roman"/>
          <w:sz w:val="19"/>
          <w:szCs w:val="19"/>
          <w:color w:val="auto"/>
        </w:rPr>
        <w:t>vesting any assets in trustees.</w:t>
      </w:r>
    </w:p>
    <w:p>
      <w:pPr>
        <w:spacing w:after="0" w:line="200" w:lineRule="exact"/>
        <w:rPr>
          <w:sz w:val="20"/>
          <w:szCs w:val="20"/>
          <w:color w:val="auto"/>
        </w:rPr>
      </w:pPr>
    </w:p>
    <w:p>
      <w:pPr>
        <w:spacing w:after="0" w:line="2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20"/>
          <w:szCs w:val="20"/>
          <w:b w:val="1"/>
          <w:bCs w:val="1"/>
          <w:color w:val="auto"/>
        </w:rPr>
        <w:t>Ranking of shares for dividend</w:t>
      </w:r>
    </w:p>
    <w:p>
      <w:pPr>
        <w:spacing w:after="0" w:line="22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104.1</w:t>
      </w:r>
      <w:r>
        <w:rPr>
          <w:sz w:val="20"/>
          <w:szCs w:val="20"/>
          <w:color w:val="auto"/>
        </w:rPr>
        <w:tab/>
      </w:r>
      <w:r>
        <w:rPr>
          <w:rFonts w:ascii="Times New Roman" w:cs="Times New Roman" w:eastAsia="Times New Roman" w:hAnsi="Times New Roman"/>
          <w:sz w:val="20"/>
          <w:szCs w:val="20"/>
          <w:color w:val="auto"/>
        </w:rPr>
        <w:t>Unless and to the extent that the rights attached to any shares or the terms of issue of those shares provide otherwise, all dividends shall be: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104.1.1 </w:t>
      </w:r>
      <w:r>
        <w:rPr>
          <w:rFonts w:ascii="Times New Roman" w:cs="Times New Roman" w:eastAsia="Times New Roman" w:hAnsi="Times New Roman"/>
          <w:sz w:val="19"/>
          <w:szCs w:val="19"/>
          <w:color w:val="auto"/>
        </w:rPr>
        <w:t>declared and paid according to the amounts paid up on the shares on which the dividend is paid; and</w:t>
      </w:r>
    </w:p>
    <w:p>
      <w:pPr>
        <w:spacing w:after="0" w:line="241" w:lineRule="exact"/>
        <w:rPr>
          <w:sz w:val="20"/>
          <w:szCs w:val="20"/>
          <w:color w:val="auto"/>
        </w:rPr>
      </w:pPr>
    </w:p>
    <w:p>
      <w:pPr>
        <w:ind w:left="1300" w:hanging="647"/>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104.1.2 </w:t>
      </w:r>
      <w:r>
        <w:rPr>
          <w:rFonts w:ascii="Times New Roman" w:cs="Times New Roman" w:eastAsia="Times New Roman" w:hAnsi="Times New Roman"/>
          <w:sz w:val="19"/>
          <w:szCs w:val="19"/>
          <w:color w:val="auto"/>
        </w:rPr>
        <w:t>apportioned and paid proportionately to the amounts paid on the shares during any portion or portions of the period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of which the dividend is paid.</w:t>
      </w:r>
    </w:p>
    <w:p>
      <w:pPr>
        <w:spacing w:after="0" w:line="147" w:lineRule="exact"/>
        <w:rPr>
          <w:sz w:val="20"/>
          <w:szCs w:val="20"/>
          <w:color w:val="auto"/>
        </w:rPr>
      </w:pPr>
    </w:p>
    <w:p>
      <w:pPr>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104.2</w:t>
      </w:r>
      <w:r>
        <w:rPr>
          <w:sz w:val="20"/>
          <w:szCs w:val="20"/>
          <w:color w:val="auto"/>
        </w:rPr>
        <w:tab/>
      </w:r>
      <w:r>
        <w:rPr>
          <w:rFonts w:ascii="Times New Roman" w:cs="Times New Roman" w:eastAsia="Times New Roman" w:hAnsi="Times New Roman"/>
          <w:sz w:val="20"/>
          <w:szCs w:val="20"/>
          <w:color w:val="auto"/>
        </w:rPr>
        <w:t>If the terms of issue of a share provide that it ranks for dividends as from a particular date, then that share will rank for dividends as from that date.</w:t>
      </w:r>
    </w:p>
    <w:p>
      <w:pPr>
        <w:spacing w:after="0" w:line="146"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104.3</w:t>
      </w:r>
      <w:r>
        <w:rPr>
          <w:sz w:val="20"/>
          <w:szCs w:val="20"/>
          <w:color w:val="auto"/>
        </w:rPr>
        <w:tab/>
      </w:r>
      <w:r>
        <w:rPr>
          <w:rFonts w:ascii="Times New Roman" w:cs="Times New Roman" w:eastAsia="Times New Roman" w:hAnsi="Times New Roman"/>
          <w:sz w:val="20"/>
          <w:szCs w:val="20"/>
          <w:color w:val="auto"/>
        </w:rPr>
        <w:t>For the purposes of this Article 104, no amount paid on a share in advance of the date on which such payment is due shall be treated as paid on the share.</w:t>
      </w:r>
    </w:p>
    <w:p>
      <w:pPr>
        <w:spacing w:after="0" w:line="3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20"/>
          <w:szCs w:val="20"/>
          <w:b w:val="1"/>
          <w:bCs w:val="1"/>
          <w:color w:val="auto"/>
        </w:rPr>
        <w:t>Manner of payment of dividends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105.1</w:t>
      </w:r>
      <w:r>
        <w:rPr>
          <w:sz w:val="20"/>
          <w:szCs w:val="20"/>
          <w:color w:val="auto"/>
        </w:rPr>
        <w:tab/>
      </w:r>
      <w:r>
        <w:rPr>
          <w:rFonts w:ascii="Times New Roman" w:cs="Times New Roman" w:eastAsia="Times New Roman" w:hAnsi="Times New Roman"/>
          <w:sz w:val="19"/>
          <w:szCs w:val="19"/>
          <w:color w:val="auto"/>
        </w:rPr>
        <w:t>Any dividend or other sum payable on or in respect of a share shall be paid 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105.1.1 </w:t>
      </w:r>
      <w:r>
        <w:rPr>
          <w:rFonts w:ascii="Times New Roman" w:cs="Times New Roman" w:eastAsia="Times New Roman" w:hAnsi="Times New Roman"/>
          <w:sz w:val="19"/>
          <w:szCs w:val="19"/>
          <w:color w:val="auto"/>
        </w:rPr>
        <w:t>the holder of that share;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105.1.2 </w:t>
      </w:r>
      <w:r>
        <w:rPr>
          <w:rFonts w:ascii="Times New Roman" w:cs="Times New Roman" w:eastAsia="Times New Roman" w:hAnsi="Times New Roman"/>
          <w:sz w:val="19"/>
          <w:szCs w:val="19"/>
          <w:color w:val="auto"/>
        </w:rPr>
        <w:t>if the share is held by more than one person, whichever of the joint holders’ names appears first in the Register;</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105.1.3 </w:t>
      </w:r>
      <w:r>
        <w:rPr>
          <w:rFonts w:ascii="Times New Roman" w:cs="Times New Roman" w:eastAsia="Times New Roman" w:hAnsi="Times New Roman"/>
          <w:sz w:val="19"/>
          <w:szCs w:val="19"/>
          <w:color w:val="auto"/>
        </w:rPr>
        <w:t>if the member is no longer entitled to the share, the person or persons entitled to it; 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105.1.4 </w:t>
      </w:r>
      <w:r>
        <w:rPr>
          <w:rFonts w:ascii="Times New Roman" w:cs="Times New Roman" w:eastAsia="Times New Roman" w:hAnsi="Times New Roman"/>
          <w:sz w:val="19"/>
          <w:szCs w:val="19"/>
          <w:color w:val="auto"/>
        </w:rPr>
        <w:t>such other person or persons as the member (or, in the case of joint holders of a share, all of them) may direct,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such person shall be the “</w:t>
      </w:r>
      <w:r>
        <w:rPr>
          <w:rFonts w:ascii="Times New Roman" w:cs="Times New Roman" w:eastAsia="Times New Roman" w:hAnsi="Times New Roman"/>
          <w:sz w:val="20"/>
          <w:szCs w:val="20"/>
          <w:b w:val="1"/>
          <w:bCs w:val="1"/>
          <w:color w:val="auto"/>
        </w:rPr>
        <w:t>payee</w:t>
      </w:r>
      <w:r>
        <w:rPr>
          <w:rFonts w:ascii="Times New Roman" w:cs="Times New Roman" w:eastAsia="Times New Roman" w:hAnsi="Times New Roman"/>
          <w:sz w:val="20"/>
          <w:szCs w:val="20"/>
          <w:color w:val="auto"/>
        </w:rPr>
        <w:t>” for the purpose of this Article 105.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type w:val="continuous"/>
        </w:sectPr>
      </w:pPr>
    </w:p>
    <w:bookmarkStart w:id="249" w:name="page250"/>
    <w:bookmarkEnd w:id="249"/>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105.2</w:t>
      </w:r>
      <w:r>
        <w:rPr>
          <w:sz w:val="20"/>
          <w:szCs w:val="20"/>
          <w:color w:val="auto"/>
        </w:rPr>
        <w:tab/>
      </w:r>
      <w:r>
        <w:rPr>
          <w:rFonts w:ascii="Times New Roman" w:cs="Times New Roman" w:eastAsia="Times New Roman" w:hAnsi="Times New Roman"/>
          <w:sz w:val="19"/>
          <w:szCs w:val="19"/>
          <w:color w:val="auto"/>
        </w:rPr>
        <w:t>Such dividend or other sum may be paid:</w:t>
      </w:r>
    </w:p>
    <w:p>
      <w:pPr>
        <w:spacing w:after="0" w:line="233" w:lineRule="exact"/>
        <w:rPr>
          <w:sz w:val="20"/>
          <w:szCs w:val="20"/>
          <w:color w:val="auto"/>
        </w:rPr>
      </w:pPr>
    </w:p>
    <w:p>
      <w:pPr>
        <w:jc w:val="both"/>
        <w:ind w:left="1300" w:hanging="647"/>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105.2.1 </w:t>
      </w:r>
      <w:r>
        <w:rPr>
          <w:rFonts w:ascii="Times New Roman" w:cs="Times New Roman" w:eastAsia="Times New Roman" w:hAnsi="Times New Roman"/>
          <w:sz w:val="19"/>
          <w:szCs w:val="19"/>
          <w:color w:val="auto"/>
        </w:rPr>
        <w:t>by cheque sent by post to the payee or, where there is more than one payee, to any one of them at the address shown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Register or such address as that person notifies the Company in writing;</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105.2.2 </w:t>
      </w:r>
      <w:r>
        <w:rPr>
          <w:rFonts w:ascii="Times New Roman" w:cs="Times New Roman" w:eastAsia="Times New Roman" w:hAnsi="Times New Roman"/>
          <w:sz w:val="19"/>
          <w:szCs w:val="19"/>
          <w:color w:val="auto"/>
        </w:rPr>
        <w:t>by bank transfer to such account as the payee or payees shall in writing direct;</w:t>
      </w:r>
    </w:p>
    <w:p>
      <w:pPr>
        <w:spacing w:after="0" w:line="227" w:lineRule="exact"/>
        <w:rPr>
          <w:sz w:val="20"/>
          <w:szCs w:val="20"/>
          <w:color w:val="auto"/>
        </w:rPr>
      </w:pPr>
    </w:p>
    <w:p>
      <w:pPr>
        <w:jc w:val="both"/>
        <w:ind w:left="1300" w:right="20" w:hanging="647"/>
        <w:spacing w:after="0" w:line="305" w:lineRule="auto"/>
        <w:rPr>
          <w:sz w:val="20"/>
          <w:szCs w:val="20"/>
          <w:color w:val="auto"/>
        </w:rPr>
      </w:pPr>
      <w:r>
        <w:rPr>
          <w:rFonts w:ascii="Times New Roman" w:cs="Times New Roman" w:eastAsia="Times New Roman" w:hAnsi="Times New Roman"/>
          <w:sz w:val="18"/>
          <w:szCs w:val="18"/>
          <w:b w:val="1"/>
          <w:bCs w:val="1"/>
          <w:color w:val="auto"/>
        </w:rPr>
        <w:t xml:space="preserve">105.2.3 </w:t>
      </w:r>
      <w:r>
        <w:rPr>
          <w:rFonts w:ascii="Times New Roman" w:cs="Times New Roman" w:eastAsia="Times New Roman" w:hAnsi="Times New Roman"/>
          <w:sz w:val="19"/>
          <w:szCs w:val="19"/>
          <w:color w:val="auto"/>
        </w:rPr>
        <w:t>(if so authorised by the holder of shares in uncertificated form in such manner as the Company shall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consider sufficient) using the facilities of a relevant system (subject to the facilities and requirements of the relevant system); or</w:t>
      </w: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105.2.4 </w:t>
      </w:r>
      <w:r>
        <w:rPr>
          <w:rFonts w:ascii="Times New Roman" w:cs="Times New Roman" w:eastAsia="Times New Roman" w:hAnsi="Times New Roman"/>
          <w:sz w:val="19"/>
          <w:szCs w:val="19"/>
          <w:color w:val="auto"/>
        </w:rPr>
        <w:t>by such other method of payment as the payee or payees and the Directors may agree.</w:t>
      </w:r>
    </w:p>
    <w:p>
      <w:pPr>
        <w:spacing w:after="0" w:line="23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105.3</w:t>
      </w:r>
      <w:r>
        <w:rPr>
          <w:sz w:val="20"/>
          <w:szCs w:val="20"/>
          <w:color w:val="auto"/>
        </w:rPr>
        <w:tab/>
      </w:r>
      <w:r>
        <w:rPr>
          <w:rFonts w:ascii="Times New Roman" w:cs="Times New Roman" w:eastAsia="Times New Roman" w:hAnsi="Times New Roman"/>
          <w:sz w:val="20"/>
          <w:szCs w:val="20"/>
          <w:color w:val="auto"/>
        </w:rPr>
        <w:t>Subject to the provisions of these Articles and to the rights attaching to any shares, any dividend or other sum payable on or in respect of a share may be paid in such currency as the Directors may resolve, using such exchange rate for currency conversions as the Directors may select. The Directors may decide how any costs involved in the currency conversion are to be met.</w:t>
      </w:r>
    </w:p>
    <w:p>
      <w:pPr>
        <w:spacing w:after="0" w:line="18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105.4</w:t>
      </w:r>
      <w:r>
        <w:rPr>
          <w:sz w:val="20"/>
          <w:szCs w:val="20"/>
          <w:color w:val="auto"/>
        </w:rPr>
        <w:tab/>
      </w:r>
      <w:r>
        <w:rPr>
          <w:rFonts w:ascii="Times New Roman" w:cs="Times New Roman" w:eastAsia="Times New Roman" w:hAnsi="Times New Roman"/>
          <w:sz w:val="20"/>
          <w:szCs w:val="20"/>
          <w:color w:val="auto"/>
        </w:rPr>
        <w:t>Every cheque, warrant, order or other form of payment is sent at the risk of the person entitled to the money represented by it, shall be made payable to the person or persons entitled, or to such other person as the person or persons entitled may direct in writing. Payment of the cheque, warrant, order or other form of payment (including transmission of funds through a bank transfer or other funds transfer system or by such other electronic means as permitted by these Articles or in accordance with the facilities and requirements of the relevant system concerned) shall be good discharge to the Company. If any such cheque, warrant, order or other form of payment has or shall be alleged to have been lost, stolen or destroyed the Company shall not be responsible.</w:t>
      </w:r>
    </w:p>
    <w:p>
      <w:pPr>
        <w:spacing w:after="0" w:line="3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20"/>
          <w:szCs w:val="20"/>
          <w:b w:val="1"/>
          <w:bCs w:val="1"/>
          <w:color w:val="auto"/>
        </w:rPr>
        <w:t>Record date for dividends</w:t>
      </w:r>
    </w:p>
    <w:p>
      <w:pPr>
        <w:spacing w:after="0" w:line="229"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106.1</w:t>
      </w:r>
      <w:r>
        <w:rPr>
          <w:sz w:val="20"/>
          <w:szCs w:val="20"/>
          <w:color w:val="auto"/>
        </w:rPr>
        <w:tab/>
      </w:r>
      <w:r>
        <w:rPr>
          <w:rFonts w:ascii="Times New Roman" w:cs="Times New Roman" w:eastAsia="Times New Roman" w:hAnsi="Times New Roman"/>
          <w:sz w:val="20"/>
          <w:szCs w:val="20"/>
          <w:color w:val="auto"/>
        </w:rPr>
        <w:t>Any resolution for the declaration or payment of a dividend on shares of any class may specify that the dividend shall be payable to the persons registered as the holders of such shares at a specified time on a particular date (the “</w:t>
      </w:r>
      <w:r>
        <w:rPr>
          <w:rFonts w:ascii="Times New Roman" w:cs="Times New Roman" w:eastAsia="Times New Roman" w:hAnsi="Times New Roman"/>
          <w:sz w:val="20"/>
          <w:szCs w:val="20"/>
          <w:b w:val="1"/>
          <w:bCs w:val="1"/>
          <w:color w:val="auto"/>
        </w:rPr>
        <w:t>Dividend Record Date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106.2</w:t>
      </w:r>
      <w:r>
        <w:rPr>
          <w:sz w:val="20"/>
          <w:szCs w:val="20"/>
          <w:color w:val="auto"/>
        </w:rPr>
        <w:tab/>
      </w:r>
      <w:r>
        <w:rPr>
          <w:rFonts w:ascii="Times New Roman" w:cs="Times New Roman" w:eastAsia="Times New Roman" w:hAnsi="Times New Roman"/>
          <w:sz w:val="20"/>
          <w:szCs w:val="20"/>
          <w:color w:val="auto"/>
        </w:rPr>
        <w:t>If no Dividend Record Date is specified then, unless the terms of issue of the shares in question provide otherwise, the dividend shall be paid by reference to each member’s holding of shares at close of business on the date of the ordinary resolution (in the case of a final dividend) or board resolution (in the case of an interim dividend) approving the payment of that dividend.</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106.3</w:t>
      </w:r>
      <w:r>
        <w:rPr>
          <w:sz w:val="20"/>
          <w:szCs w:val="20"/>
          <w:color w:val="auto"/>
        </w:rPr>
        <w:tab/>
      </w:r>
      <w:r>
        <w:rPr>
          <w:rFonts w:ascii="Times New Roman" w:cs="Times New Roman" w:eastAsia="Times New Roman" w:hAnsi="Times New Roman"/>
          <w:sz w:val="19"/>
          <w:szCs w:val="19"/>
          <w:color w:val="auto"/>
        </w:rPr>
        <w:t>The Dividend Record Date may be a date prior to that on which the resolution is passed.</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interest on dividends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shall not pay interest on any dividend or other sum payable on or in respect of a share unless the terms of issue of that share or the provisions of any agreement between the Company and the holder of that share provide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09" w:right="339" w:bottom="1440" w:gutter="0" w:footer="0" w:header="0"/>
        </w:sectPr>
      </w:pPr>
    </w:p>
    <w:bookmarkStart w:id="250" w:name="page251"/>
    <w:bookmarkEnd w:id="250"/>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20"/>
          <w:szCs w:val="20"/>
          <w:b w:val="1"/>
          <w:bCs w:val="1"/>
          <w:color w:val="auto"/>
        </w:rPr>
        <w:t>Retention of dividends</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108.1</w:t>
      </w:r>
      <w:r>
        <w:rPr>
          <w:sz w:val="20"/>
          <w:szCs w:val="20"/>
          <w:color w:val="auto"/>
        </w:rPr>
        <w:tab/>
      </w:r>
      <w:r>
        <w:rPr>
          <w:rFonts w:ascii="Times New Roman" w:cs="Times New Roman" w:eastAsia="Times New Roman" w:hAnsi="Times New Roman"/>
          <w:sz w:val="20"/>
          <w:szCs w:val="20"/>
          <w:color w:val="auto"/>
        </w:rPr>
        <w:t>The Directors may retain all or part of any dividend or other sum payable on or in respect of a share on which the Company has a lien in respect of which the Directors are entitled to issue an enforcement notice.</w:t>
      </w:r>
    </w:p>
    <w:p>
      <w:pPr>
        <w:spacing w:after="0" w:line="173"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108.2</w:t>
      </w:r>
      <w:r>
        <w:rPr>
          <w:sz w:val="20"/>
          <w:szCs w:val="20"/>
          <w:color w:val="auto"/>
        </w:rPr>
        <w:tab/>
      </w:r>
      <w:r>
        <w:rPr>
          <w:rFonts w:ascii="Times New Roman" w:cs="Times New Roman" w:eastAsia="Times New Roman" w:hAnsi="Times New Roman"/>
          <w:sz w:val="20"/>
          <w:szCs w:val="20"/>
          <w:color w:val="auto"/>
        </w:rPr>
        <w:t>The Company shall apply any amounts retained pursuant to Article 108.1 in or towards satisfaction of the moneys payable to the Company in respect of that share.</w:t>
      </w:r>
    </w:p>
    <w:p>
      <w:pPr>
        <w:spacing w:after="0" w:line="173"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108.3</w:t>
      </w:r>
      <w:r>
        <w:rPr>
          <w:sz w:val="20"/>
          <w:szCs w:val="20"/>
          <w:color w:val="auto"/>
        </w:rPr>
        <w:tab/>
      </w:r>
      <w:r>
        <w:rPr>
          <w:rFonts w:ascii="Times New Roman" w:cs="Times New Roman" w:eastAsia="Times New Roman" w:hAnsi="Times New Roman"/>
          <w:sz w:val="20"/>
          <w:szCs w:val="20"/>
          <w:color w:val="auto"/>
        </w:rPr>
        <w:t>The Company shall notify the person otherwise entitled to payment of the sum that it has been retained and how the retained sum has been applied.</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108.4</w:t>
      </w:r>
      <w:r>
        <w:rPr>
          <w:sz w:val="20"/>
          <w:szCs w:val="20"/>
          <w:color w:val="auto"/>
        </w:rPr>
        <w:tab/>
      </w:r>
      <w:r>
        <w:rPr>
          <w:rFonts w:ascii="Times New Roman" w:cs="Times New Roman" w:eastAsia="Times New Roman" w:hAnsi="Times New Roman"/>
          <w:sz w:val="19"/>
          <w:szCs w:val="19"/>
          <w:color w:val="auto"/>
        </w:rPr>
        <w:t>The Directors may retain the dividends payable upon shares:</w:t>
      </w:r>
    </w:p>
    <w:p>
      <w:pPr>
        <w:spacing w:after="0" w:line="233" w:lineRule="exact"/>
        <w:rPr>
          <w:sz w:val="20"/>
          <w:szCs w:val="20"/>
          <w:color w:val="auto"/>
        </w:rPr>
      </w:pPr>
    </w:p>
    <w:p>
      <w:pPr>
        <w:ind w:left="1300" w:right="20" w:hanging="647"/>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108.4.1 </w:t>
      </w:r>
      <w:r>
        <w:rPr>
          <w:rFonts w:ascii="Times New Roman" w:cs="Times New Roman" w:eastAsia="Times New Roman" w:hAnsi="Times New Roman"/>
          <w:sz w:val="19"/>
          <w:szCs w:val="19"/>
          <w:color w:val="auto"/>
        </w:rPr>
        <w:t>in respect of which any person is entitled to become a member pursuant to Article 36 until such person shall become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member in respect of such shares; or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108.4.2 </w:t>
      </w:r>
      <w:r>
        <w:rPr>
          <w:rFonts w:ascii="Times New Roman" w:cs="Times New Roman" w:eastAsia="Times New Roman" w:hAnsi="Times New Roman"/>
          <w:sz w:val="19"/>
          <w:szCs w:val="19"/>
          <w:color w:val="auto"/>
        </w:rPr>
        <w:t>which any person is entitled to transfer pursuant to Article 36 until such person has transferred those shares.</w:t>
      </w:r>
    </w:p>
    <w:p>
      <w:pPr>
        <w:spacing w:after="0" w:line="200" w:lineRule="exact"/>
        <w:rPr>
          <w:sz w:val="20"/>
          <w:szCs w:val="20"/>
          <w:color w:val="auto"/>
        </w:rPr>
      </w:pPr>
    </w:p>
    <w:p>
      <w:pPr>
        <w:spacing w:after="0" w:line="2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109</w:t>
      </w:r>
      <w:r>
        <w:rPr>
          <w:sz w:val="20"/>
          <w:szCs w:val="20"/>
          <w:color w:val="auto"/>
        </w:rPr>
        <w:tab/>
      </w:r>
      <w:r>
        <w:rPr>
          <w:rFonts w:ascii="Times New Roman" w:cs="Times New Roman" w:eastAsia="Times New Roman" w:hAnsi="Times New Roman"/>
          <w:sz w:val="20"/>
          <w:szCs w:val="20"/>
          <w:b w:val="1"/>
          <w:bCs w:val="1"/>
          <w:color w:val="auto"/>
        </w:rPr>
        <w:t>Unclaimed dividend</w:t>
      </w:r>
    </w:p>
    <w:p>
      <w:pPr>
        <w:spacing w:after="0" w:line="21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109.1</w:t>
      </w:r>
      <w:r>
        <w:rPr>
          <w:sz w:val="20"/>
          <w:szCs w:val="20"/>
          <w:color w:val="auto"/>
        </w:rPr>
        <w:tab/>
      </w:r>
      <w:r>
        <w:rPr>
          <w:rFonts w:ascii="Times New Roman" w:cs="Times New Roman" w:eastAsia="Times New Roman" w:hAnsi="Times New Roman"/>
          <w:sz w:val="20"/>
          <w:szCs w:val="20"/>
          <w:color w:val="auto"/>
        </w:rPr>
        <w:t>The Company may cease to send any cheque or other means of payment by post for any dividend on any shares which is normally paid in that manner if in respect of at least two consecutive dividends payable on those shares the cheque, warrant or order has been returned undelivered or remains uncashed but, subject to the provisions of these Articles, shall recommence sending cheques, warrants or orders in respect of the dividends payable on those shares if the holder of or person entitled to them claims the arrears of dividend and does not instruct the Company to pay future dividends in some other way.</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109.2</w:t>
      </w:r>
      <w:r>
        <w:rPr>
          <w:sz w:val="20"/>
          <w:szCs w:val="20"/>
          <w:color w:val="auto"/>
        </w:rPr>
        <w:tab/>
      </w:r>
      <w:r>
        <w:rPr>
          <w:rFonts w:ascii="Times New Roman" w:cs="Times New Roman" w:eastAsia="Times New Roman" w:hAnsi="Times New Roman"/>
          <w:sz w:val="19"/>
          <w:szCs w:val="19"/>
          <w:color w:val="auto"/>
        </w:rPr>
        <w:t>Any unclaimed dividends may be invested or otherwise applied for the benefit of the Company until they are claimed.</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109.3</w:t>
      </w:r>
      <w:r>
        <w:rPr>
          <w:sz w:val="20"/>
          <w:szCs w:val="20"/>
          <w:color w:val="auto"/>
        </w:rPr>
        <w:tab/>
      </w:r>
      <w:r>
        <w:rPr>
          <w:rFonts w:ascii="Times New Roman" w:cs="Times New Roman" w:eastAsia="Times New Roman" w:hAnsi="Times New Roman"/>
          <w:sz w:val="20"/>
          <w:szCs w:val="20"/>
          <w:color w:val="auto"/>
        </w:rPr>
        <w:t>The payment by the Directors of any unclaimed dividend or other sum payable on or in respect of a share into a separate account shall not constitute the Company a trustee in respect of that amount.</w:t>
      </w:r>
    </w:p>
    <w:p>
      <w:pPr>
        <w:spacing w:after="0" w:line="17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109.4</w:t>
      </w:r>
      <w:r>
        <w:rPr>
          <w:sz w:val="20"/>
          <w:szCs w:val="20"/>
          <w:color w:val="auto"/>
        </w:rPr>
        <w:tab/>
      </w:r>
      <w:r>
        <w:rPr>
          <w:rFonts w:ascii="Times New Roman" w:cs="Times New Roman" w:eastAsia="Times New Roman" w:hAnsi="Times New Roman"/>
          <w:sz w:val="20"/>
          <w:szCs w:val="20"/>
          <w:color w:val="auto"/>
        </w:rPr>
        <w:t>If a dividend remains unclaimed after a period of 12 years from the date on which it was declared or became due for payment the person who was otherwise entitled to it shall cease to be entitled and the Company may keep that sum.</w:t>
      </w:r>
    </w:p>
    <w:p>
      <w:pPr>
        <w:spacing w:after="0" w:line="389" w:lineRule="exact"/>
        <w:rPr>
          <w:sz w:val="20"/>
          <w:szCs w:val="20"/>
          <w:color w:val="auto"/>
        </w:rPr>
      </w:pPr>
    </w:p>
    <w:p>
      <w:pPr>
        <w:ind w:left="640" w:hanging="632"/>
        <w:spacing w:after="0"/>
        <w:tabs>
          <w:tab w:leader="none" w:pos="64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of dividend</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shareholder or other person entitled to a dividend may waive it in whole or in part. The waiver of any dividend shall be effective only if such waiver is in writing and signed or authenticated in accordance with Article 118 by the shareholder or the person entitled to the dividend and delivered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Scrip Dividends</w:t>
      </w:r>
    </w:p>
    <w:p>
      <w:pPr>
        <w:spacing w:after="0" w:line="200" w:lineRule="exact"/>
        <w:rPr>
          <w:sz w:val="20"/>
          <w:szCs w:val="20"/>
          <w:color w:val="auto"/>
        </w:rPr>
      </w:pPr>
    </w:p>
    <w:p>
      <w:pPr>
        <w:spacing w:after="0" w:line="2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20"/>
          <w:szCs w:val="20"/>
          <w:b w:val="1"/>
          <w:bCs w:val="1"/>
          <w:color w:val="auto"/>
        </w:rPr>
        <w:t>Scrip dividends</w:t>
      </w:r>
    </w:p>
    <w:p>
      <w:pPr>
        <w:spacing w:after="0" w:line="216" w:lineRule="exact"/>
        <w:rPr>
          <w:sz w:val="20"/>
          <w:szCs w:val="20"/>
          <w:color w:val="auto"/>
        </w:rPr>
      </w:pPr>
    </w:p>
    <w:p>
      <w:pPr>
        <w:jc w:val="both"/>
        <w:ind w:left="640" w:right="2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111.1</w:t>
      </w:r>
      <w:r>
        <w:rPr>
          <w:sz w:val="20"/>
          <w:szCs w:val="20"/>
          <w:color w:val="auto"/>
        </w:rPr>
        <w:tab/>
      </w:r>
      <w:r>
        <w:rPr>
          <w:rFonts w:ascii="Times New Roman" w:cs="Times New Roman" w:eastAsia="Times New Roman" w:hAnsi="Times New Roman"/>
          <w:sz w:val="20"/>
          <w:szCs w:val="20"/>
          <w:color w:val="auto"/>
        </w:rPr>
        <w:t>The Directors may offer to ordinary shareholders the right to elect to receive an allotment of new ordinary shares (“</w:t>
      </w:r>
      <w:r>
        <w:rPr>
          <w:rFonts w:ascii="Times New Roman" w:cs="Times New Roman" w:eastAsia="Times New Roman" w:hAnsi="Times New Roman"/>
          <w:sz w:val="20"/>
          <w:szCs w:val="20"/>
          <w:b w:val="1"/>
          <w:bCs w:val="1"/>
          <w:color w:val="auto"/>
        </w:rPr>
        <w:t>Scrip Shares</w:t>
      </w:r>
      <w:r>
        <w:rPr>
          <w:rFonts w:ascii="Times New Roman" w:cs="Times New Roman" w:eastAsia="Times New Roman" w:hAnsi="Times New Roman"/>
          <w:sz w:val="20"/>
          <w:szCs w:val="20"/>
          <w:color w:val="auto"/>
        </w:rPr>
        <w:t>”) credited as fully paid in lieu of the whole or part of a dividend.</w:t>
      </w:r>
    </w:p>
    <w:p>
      <w:pPr>
        <w:spacing w:after="0" w:line="138"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111.2</w:t>
      </w:r>
      <w:r>
        <w:rPr>
          <w:sz w:val="20"/>
          <w:szCs w:val="20"/>
          <w:color w:val="auto"/>
        </w:rPr>
        <w:tab/>
      </w:r>
      <w:r>
        <w:rPr>
          <w:rFonts w:ascii="Times New Roman" w:cs="Times New Roman" w:eastAsia="Times New Roman" w:hAnsi="Times New Roman"/>
          <w:sz w:val="20"/>
          <w:szCs w:val="20"/>
          <w:color w:val="auto"/>
        </w:rPr>
        <w:t>The Directors shall not allot Scrip Shares unless so authorised by ordinary resolution. Such a resolution may give authority in relation to particular dividends or may extend to all dividends declared or paid in the period specified in the resolution. Such period may not be longer than five years from the date of the resolution.</w:t>
      </w:r>
    </w:p>
    <w:p>
      <w:pPr>
        <w:spacing w:after="0" w:line="161"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111.3</w:t>
      </w:r>
      <w:r>
        <w:rPr>
          <w:sz w:val="20"/>
          <w:szCs w:val="20"/>
          <w:color w:val="auto"/>
        </w:rPr>
        <w:tab/>
      </w:r>
      <w:r>
        <w:rPr>
          <w:rFonts w:ascii="Times New Roman" w:cs="Times New Roman" w:eastAsia="Times New Roman" w:hAnsi="Times New Roman"/>
          <w:sz w:val="20"/>
          <w:szCs w:val="20"/>
          <w:color w:val="auto"/>
        </w:rPr>
        <w:t>The Directors may, without the need for any further ordinary resolution, offer rights of election in respect of any dividend declared or proposed after the date of the adoption of these Articles and at or prior to the next Annual General Meeting.</w:t>
      </w:r>
    </w:p>
    <w:p>
      <w:pPr>
        <w:spacing w:after="0" w:line="146" w:lineRule="exact"/>
        <w:rPr>
          <w:sz w:val="20"/>
          <w:szCs w:val="20"/>
          <w:color w:val="auto"/>
        </w:rPr>
      </w:pPr>
    </w:p>
    <w:p>
      <w:pPr>
        <w:jc w:val="center"/>
        <w:ind w:right="5080"/>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111.4</w:t>
      </w:r>
      <w:r>
        <w:rPr>
          <w:sz w:val="20"/>
          <w:szCs w:val="20"/>
          <w:color w:val="auto"/>
        </w:rPr>
        <w:tab/>
      </w:r>
      <w:r>
        <w:rPr>
          <w:rFonts w:ascii="Times New Roman" w:cs="Times New Roman" w:eastAsia="Times New Roman" w:hAnsi="Times New Roman"/>
          <w:sz w:val="19"/>
          <w:szCs w:val="19"/>
          <w:color w:val="auto"/>
        </w:rPr>
        <w:t>The Directors may offer such rights of election to shareholders either: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111.4.1 </w:t>
      </w:r>
      <w:r>
        <w:rPr>
          <w:rFonts w:ascii="Times New Roman" w:cs="Times New Roman" w:eastAsia="Times New Roman" w:hAnsi="Times New Roman"/>
          <w:sz w:val="19"/>
          <w:szCs w:val="19"/>
          <w:color w:val="auto"/>
        </w:rPr>
        <w:t>in respect of the next dividend proposed to be paid; or</w:t>
      </w:r>
    </w:p>
    <w:p>
      <w:pPr>
        <w:spacing w:after="0" w:line="241" w:lineRule="exact"/>
        <w:rPr>
          <w:sz w:val="20"/>
          <w:szCs w:val="20"/>
          <w:color w:val="auto"/>
        </w:rPr>
      </w:pPr>
    </w:p>
    <w:p>
      <w:pPr>
        <w:ind w:left="1300" w:hanging="647"/>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111.4.2 </w:t>
      </w:r>
      <w:r>
        <w:rPr>
          <w:rFonts w:ascii="Times New Roman" w:cs="Times New Roman" w:eastAsia="Times New Roman" w:hAnsi="Times New Roman"/>
          <w:sz w:val="19"/>
          <w:szCs w:val="19"/>
          <w:color w:val="auto"/>
        </w:rPr>
        <w:t>in respect of that dividend and all subsequent dividends, until such time as the election is revoked or the authority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pursuant to Article 111.2 expires without being renewed (whichever is the earlier).</w:t>
      </w:r>
    </w:p>
    <w:p>
      <w:pPr>
        <w:spacing w:after="0" w:line="147" w:lineRule="exact"/>
        <w:rPr>
          <w:sz w:val="20"/>
          <w:szCs w:val="20"/>
          <w:color w:val="auto"/>
        </w:rPr>
      </w:pPr>
    </w:p>
    <w:p>
      <w:pPr>
        <w:jc w:val="both"/>
        <w:ind w:left="640" w:hanging="647"/>
        <w:spacing w:after="0" w:line="25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111.5</w:t>
      </w:r>
      <w:r>
        <w:rPr>
          <w:sz w:val="20"/>
          <w:szCs w:val="20"/>
          <w:color w:val="auto"/>
        </w:rPr>
        <w:tab/>
      </w:r>
      <w:r>
        <w:rPr>
          <w:rFonts w:ascii="Times New Roman" w:cs="Times New Roman" w:eastAsia="Times New Roman" w:hAnsi="Times New Roman"/>
          <w:sz w:val="20"/>
          <w:szCs w:val="20"/>
          <w:color w:val="auto"/>
        </w:rPr>
        <w:t>The number of the Scrip Shares to be allotted in lieu of any amount of dividend shall be decided by the Directors and shall be such whole number of ordinary shares as have a relevant value equal to or as near as possible to but in no event greater than such amount. For such purpose, the “</w:t>
      </w:r>
      <w:r>
        <w:rPr>
          <w:rFonts w:ascii="Times New Roman" w:cs="Times New Roman" w:eastAsia="Times New Roman" w:hAnsi="Times New Roman"/>
          <w:sz w:val="20"/>
          <w:szCs w:val="20"/>
          <w:b w:val="1"/>
          <w:bCs w:val="1"/>
          <w:color w:val="auto"/>
        </w:rPr>
        <w:t>relevant value</w:t>
      </w:r>
      <w:r>
        <w:rPr>
          <w:rFonts w:ascii="Times New Roman" w:cs="Times New Roman" w:eastAsia="Times New Roman" w:hAnsi="Times New Roman"/>
          <w:sz w:val="20"/>
          <w:szCs w:val="20"/>
          <w:color w:val="auto"/>
        </w:rPr>
        <w:t>” of an ordinary share shall be the average of the middle market quotations of an ordinary share or a depositary instrument representing such ordinary share, on Nasdaq (or any other publication of a recognised investment exchange showing quotations for the ordinary shares), for the day on which the shares or depositary instrument are first quoted “ex” the relevant dividend and the four subsequent dealing days, or in such other manner as the Directors may determine on such basis as they consider to be fair and reasonable. No fraction of an ordinary share shall be allotted. A certificate or report by the Auditors as to the amount of the relevant value in respect of any dividend shall be conclusive evidence of that amount.</w:t>
      </w:r>
    </w:p>
    <w:p>
      <w:pPr>
        <w:spacing w:after="0" w:line="182"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111.6</w:t>
      </w:r>
      <w:r>
        <w:rPr>
          <w:sz w:val="20"/>
          <w:szCs w:val="20"/>
          <w:color w:val="auto"/>
        </w:rPr>
        <w:tab/>
      </w:r>
      <w:r>
        <w:rPr>
          <w:rFonts w:ascii="Times New Roman" w:cs="Times New Roman" w:eastAsia="Times New Roman" w:hAnsi="Times New Roman"/>
          <w:sz w:val="19"/>
          <w:szCs w:val="19"/>
          <w:color w:val="auto"/>
        </w:rPr>
        <w:t>If the Directors resolve to offer a right of election, they shall give written notice of such right to the ordinary shareholders specifying the procedures to be followed in order to exercise such right. No notice need be given to a shareholder who has previously made, and has not revoked, an earlier election to receive ordinary shares in lieu of all future dividends, but instead shall send him a reminder that he has made such an election, indicating how that election may be revoked in time for the next dividend proposed to be paid.</w:t>
      </w:r>
    </w:p>
    <w:p>
      <w:pPr>
        <w:spacing w:after="0" w:line="170"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111.7</w:t>
      </w:r>
      <w:r>
        <w:rPr>
          <w:sz w:val="20"/>
          <w:szCs w:val="20"/>
          <w:color w:val="auto"/>
        </w:rPr>
        <w:tab/>
      </w:r>
      <w:r>
        <w:rPr>
          <w:rFonts w:ascii="Times New Roman" w:cs="Times New Roman" w:eastAsia="Times New Roman" w:hAnsi="Times New Roman"/>
          <w:sz w:val="20"/>
          <w:szCs w:val="20"/>
          <w:color w:val="auto"/>
        </w:rPr>
        <w:t>If a member has elected to receive Scrip Shares in place of a dividend, that dividend (or that part of the dividend in respect of which a right of election has been given) shall not be payable on ordinary shares in respect of which the share election has been duly exercised and has not been revoked (the “</w:t>
      </w:r>
      <w:r>
        <w:rPr>
          <w:rFonts w:ascii="Times New Roman" w:cs="Times New Roman" w:eastAsia="Times New Roman" w:hAnsi="Times New Roman"/>
          <w:sz w:val="20"/>
          <w:szCs w:val="20"/>
          <w:b w:val="1"/>
          <w:bCs w:val="1"/>
          <w:color w:val="auto"/>
        </w:rPr>
        <w:t>elected Ordinary Shares</w:t>
      </w:r>
      <w:r>
        <w:rPr>
          <w:rFonts w:ascii="Times New Roman" w:cs="Times New Roman" w:eastAsia="Times New Roman" w:hAnsi="Times New Roman"/>
          <w:sz w:val="20"/>
          <w:szCs w:val="20"/>
          <w:color w:val="auto"/>
        </w:rPr>
        <w:t>”). In place of such dividend, the following provisions shall apply:</w:t>
      </w:r>
    </w:p>
    <w:p>
      <w:pPr>
        <w:spacing w:after="0" w:line="176" w:lineRule="exact"/>
        <w:rPr>
          <w:sz w:val="20"/>
          <w:szCs w:val="20"/>
          <w:color w:val="auto"/>
        </w:rPr>
      </w:pPr>
    </w:p>
    <w:p>
      <w:pPr>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111.7.1 </w:t>
      </w:r>
      <w:r>
        <w:rPr>
          <w:rFonts w:ascii="Times New Roman" w:cs="Times New Roman" w:eastAsia="Times New Roman" w:hAnsi="Times New Roman"/>
          <w:sz w:val="19"/>
          <w:szCs w:val="19"/>
          <w:color w:val="auto"/>
        </w:rPr>
        <w:t>such number of Scrip Shares as are calculated in accordance with Article 111.5 shall be allotted to the holders of the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252" w:name="page253"/>
    <w:bookmarkEnd w:id="252"/>
    <w:p>
      <w:pPr>
        <w:jc w:val="both"/>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111.7.2 </w:t>
      </w:r>
      <w:r>
        <w:rPr>
          <w:rFonts w:ascii="Times New Roman" w:cs="Times New Roman" w:eastAsia="Times New Roman" w:hAnsi="Times New Roman"/>
          <w:sz w:val="19"/>
          <w:szCs w:val="19"/>
          <w:color w:val="auto"/>
        </w:rPr>
        <w:t>unless the Directors decide otherwise or the Uncertificated Securities Rules require otherwise, if the elected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are in uncertificated form on the Record Date then the Scrip Shares shall be issued as uncertificated shares;</w:t>
      </w:r>
    </w:p>
    <w:p>
      <w:pPr>
        <w:spacing w:after="0" w:line="124" w:lineRule="exact"/>
        <w:rPr>
          <w:sz w:val="20"/>
          <w:szCs w:val="20"/>
          <w:color w:val="auto"/>
        </w:rPr>
      </w:pPr>
    </w:p>
    <w:p>
      <w:pPr>
        <w:jc w:val="both"/>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111.7.3 </w:t>
      </w:r>
      <w:r>
        <w:rPr>
          <w:rFonts w:ascii="Times New Roman" w:cs="Times New Roman" w:eastAsia="Times New Roman" w:hAnsi="Times New Roman"/>
          <w:sz w:val="19"/>
          <w:szCs w:val="19"/>
          <w:color w:val="auto"/>
        </w:rPr>
        <w:t>if the elected Ordinary Shares are in certificated form on the Record Date then the Scrip Shares shall be issued as certificated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shares;</w:t>
      </w:r>
    </w:p>
    <w:p>
      <w:pPr>
        <w:spacing w:after="0" w:line="124" w:lineRule="exact"/>
        <w:rPr>
          <w:sz w:val="20"/>
          <w:szCs w:val="20"/>
          <w:color w:val="auto"/>
        </w:rPr>
      </w:pPr>
    </w:p>
    <w:p>
      <w:pPr>
        <w:jc w:val="both"/>
        <w:ind w:left="1300" w:hanging="647"/>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111.7.4 </w:t>
      </w:r>
      <w:r>
        <w:rPr>
          <w:rFonts w:ascii="Times New Roman" w:cs="Times New Roman" w:eastAsia="Times New Roman" w:hAnsi="Times New Roman"/>
          <w:sz w:val="19"/>
          <w:szCs w:val="19"/>
          <w:color w:val="auto"/>
        </w:rPr>
        <w:t>the Directors shall capitalise in accordance with the provisions of Article 9 a sum equal to the aggregate nominal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the Scrip Shares to be allotted and shall apply that sum in paying up in full the appropriate number of new ordinary shares for allotment and distribution to and amongst the holders of the elected Ordinary Shares; and</w:t>
      </w:r>
    </w:p>
    <w:p>
      <w:pPr>
        <w:spacing w:after="0" w:line="145" w:lineRule="exact"/>
        <w:rPr>
          <w:sz w:val="20"/>
          <w:szCs w:val="20"/>
          <w:color w:val="auto"/>
        </w:rPr>
      </w:pPr>
    </w:p>
    <w:p>
      <w:pPr>
        <w:jc w:val="both"/>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111.7.5 </w:t>
      </w:r>
      <w:r>
        <w:rPr>
          <w:rFonts w:ascii="Times New Roman" w:cs="Times New Roman" w:eastAsia="Times New Roman" w:hAnsi="Times New Roman"/>
          <w:sz w:val="19"/>
          <w:szCs w:val="19"/>
          <w:color w:val="auto"/>
        </w:rPr>
        <w:t>the Scrip Shares allotted shall rank equally in all respects with the fully paid ordinary shares then in issue save only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regards participation in the relevant dividend.</w:t>
      </w:r>
    </w:p>
    <w:p>
      <w:pPr>
        <w:spacing w:after="0" w:line="120"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20"/>
          <w:szCs w:val="20"/>
          <w:color w:val="auto"/>
        </w:rPr>
        <w:t>No fraction of an ordinary share shall be allotted. The Directors may make such provision as they think fit for any fractional entitlements including that the whole or part of the benefit of those fractions accrues to the Company or that the fractional entitlements are accrued and/or retained on behalf of any ordinary shareholder.</w:t>
      </w:r>
    </w:p>
    <w:p>
      <w:pPr>
        <w:spacing w:after="0" w:line="161"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111.9</w:t>
      </w:r>
      <w:r>
        <w:rPr>
          <w:sz w:val="20"/>
          <w:szCs w:val="20"/>
          <w:color w:val="auto"/>
        </w:rPr>
        <w:tab/>
      </w:r>
      <w:r>
        <w:rPr>
          <w:rFonts w:ascii="Times New Roman" w:cs="Times New Roman" w:eastAsia="Times New Roman" w:hAnsi="Times New Roman"/>
          <w:sz w:val="20"/>
          <w:szCs w:val="20"/>
          <w:color w:val="auto"/>
        </w:rPr>
        <w:t>The Directors may exclude from any offer or make other arrangements in relation to any holders of shares where the Directors consider that the making of the offer to them or in respect of such shares would or might involve the contravention of the laws of any territory or that for any other reason the offer should not be made to them or in respect of such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111.10 </w:t>
      </w:r>
      <w:r>
        <w:rPr>
          <w:rFonts w:ascii="Times New Roman" w:cs="Times New Roman" w:eastAsia="Times New Roman" w:hAnsi="Times New Roman"/>
          <w:sz w:val="20"/>
          <w:szCs w:val="20"/>
          <w:color w:val="auto"/>
        </w:rPr>
        <w:t>In relation to any particular proposed dividend, the Directors may in their absolute discretion resolve and shall so resolve if the</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Company has insufficient reserves or otherwise does not have the necessary authorities or approvals to issue new ordinary shares:</w:t>
      </w:r>
    </w:p>
    <w:p>
      <w:pPr>
        <w:spacing w:after="0" w:line="200" w:lineRule="exact"/>
        <w:rPr>
          <w:sz w:val="20"/>
          <w:szCs w:val="20"/>
          <w:color w:val="auto"/>
        </w:rPr>
      </w:pPr>
    </w:p>
    <w:p>
      <w:pPr>
        <w:ind w:left="1300" w:right="2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111.10.1</w:t>
      </w:r>
      <w:r>
        <w:rPr>
          <w:rFonts w:ascii="Times New Roman" w:cs="Times New Roman" w:eastAsia="Times New Roman" w:hAnsi="Times New Roman"/>
          <w:sz w:val="19"/>
          <w:szCs w:val="19"/>
          <w:color w:val="auto"/>
        </w:rPr>
        <w:t>that shareholders shall not be entitled to make any election to receive shares in place of a cash dividend and that any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previously made shall not extend to such dividend; or</w:t>
      </w:r>
    </w:p>
    <w:p>
      <w:pPr>
        <w:spacing w:after="0" w:line="124" w:lineRule="exact"/>
        <w:rPr>
          <w:sz w:val="20"/>
          <w:szCs w:val="20"/>
          <w:color w:val="auto"/>
        </w:rPr>
      </w:pPr>
    </w:p>
    <w:p>
      <w:pPr>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111.10.2</w:t>
      </w:r>
      <w:r>
        <w:rPr>
          <w:rFonts w:ascii="Times New Roman" w:cs="Times New Roman" w:eastAsia="Times New Roman" w:hAnsi="Times New Roman"/>
          <w:sz w:val="19"/>
          <w:szCs w:val="19"/>
          <w:color w:val="auto"/>
        </w:rPr>
        <w:t>at any time prior to the allotment of the ordinary shares which would otherwise be allotted in lieu of that dividend, that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elections to take shares shall be treated as not applying to that dividend,</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if so the dividend shall be paid in cash as if no elections had been made in respect of 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Accounts</w:t>
      </w:r>
    </w:p>
    <w:p>
      <w:pPr>
        <w:spacing w:after="0" w:line="200" w:lineRule="exact"/>
        <w:rPr>
          <w:sz w:val="20"/>
          <w:szCs w:val="20"/>
          <w:color w:val="auto"/>
        </w:rPr>
      </w:pPr>
    </w:p>
    <w:p>
      <w:pPr>
        <w:spacing w:after="0" w:line="245" w:lineRule="exact"/>
        <w:rPr>
          <w:sz w:val="20"/>
          <w:szCs w:val="20"/>
          <w:color w:val="auto"/>
        </w:rPr>
      </w:pPr>
    </w:p>
    <w:p>
      <w:pPr>
        <w:ind w:left="640" w:hanging="632"/>
        <w:spacing w:after="0"/>
        <w:tabs>
          <w:tab w:leader="none" w:pos="64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Accounting records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Accounting records sufficient to show and explain the Company’s transactions and otherwise complying with the Legislation shall be kept at the Office, or at such other place as the Directors think fit. No person shall have any right simply by virtue of being a member to inspect any account or book or document of the Company except as conferred by the Legislation or ordered by a court of competent jurisdiction or authorised by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253" w:name="page254"/>
    <w:bookmarkEnd w:id="253"/>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Communications with Members</w:t>
      </w:r>
    </w:p>
    <w:p>
      <w:pPr>
        <w:spacing w:after="0" w:line="200" w:lineRule="exact"/>
        <w:rPr>
          <w:sz w:val="20"/>
          <w:szCs w:val="20"/>
          <w:color w:val="auto"/>
        </w:rPr>
      </w:pPr>
    </w:p>
    <w:p>
      <w:pPr>
        <w:spacing w:after="0" w:line="2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20"/>
          <w:szCs w:val="20"/>
          <w:b w:val="1"/>
          <w:bCs w:val="1"/>
          <w:color w:val="auto"/>
        </w:rPr>
        <w:t>Service of notices</w:t>
      </w:r>
    </w:p>
    <w:p>
      <w:pPr>
        <w:spacing w:after="0" w:line="21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113.1</w:t>
      </w:r>
      <w:r>
        <w:rPr>
          <w:sz w:val="20"/>
          <w:szCs w:val="20"/>
          <w:color w:val="auto"/>
        </w:rPr>
        <w:tab/>
      </w:r>
      <w:r>
        <w:rPr>
          <w:rFonts w:ascii="Times New Roman" w:cs="Times New Roman" w:eastAsia="Times New Roman" w:hAnsi="Times New Roman"/>
          <w:sz w:val="20"/>
          <w:szCs w:val="20"/>
          <w:color w:val="auto"/>
        </w:rPr>
        <w:t>The Company may, subject to and in accordance with the Legislation and these Articles, send or supply all types of notices, documents or information to members by electronic means and/or by making such notices, documents or information available on a website.</w:t>
      </w:r>
    </w:p>
    <w:p>
      <w:pPr>
        <w:spacing w:after="0" w:line="181"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113.2</w:t>
      </w:r>
      <w:r>
        <w:rPr>
          <w:sz w:val="20"/>
          <w:szCs w:val="20"/>
          <w:color w:val="auto"/>
        </w:rPr>
        <w:tab/>
      </w:r>
      <w:r>
        <w:rPr>
          <w:rFonts w:ascii="Times New Roman" w:cs="Times New Roman" w:eastAsia="Times New Roman" w:hAnsi="Times New Roman"/>
          <w:sz w:val="20"/>
          <w:szCs w:val="20"/>
          <w:color w:val="auto"/>
        </w:rPr>
        <w:t>The Company Communications Provisions have effect, subject to the provisions of Articles 113 to 115, for the purposes of any provision of the Companies Acts or these Articles that authorises or requires notices, documents or information to be sent or supplied by or to the Company.</w:t>
      </w:r>
    </w:p>
    <w:p>
      <w:pPr>
        <w:spacing w:after="0" w:line="18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113.3</w:t>
      </w:r>
      <w:r>
        <w:rPr>
          <w:sz w:val="20"/>
          <w:szCs w:val="20"/>
          <w:color w:val="auto"/>
        </w:rPr>
        <w:tab/>
      </w:r>
      <w:r>
        <w:rPr>
          <w:rFonts w:ascii="Times New Roman" w:cs="Times New Roman" w:eastAsia="Times New Roman" w:hAnsi="Times New Roman"/>
          <w:sz w:val="20"/>
          <w:szCs w:val="20"/>
          <w:color w:val="auto"/>
        </w:rPr>
        <w:t>Any notice, document or information (including a share certificate) which is sent or supplied by the Company in hard copy form, or in electronic form but to be delivered other than by electronic means, and which is sent by pre-paid post and properly addressed shall be deemed to have been received by the intended recipient at the expiration of 24 hours (or, where first class mail is not employed, 48 hours) after the time it was posted, and in proving such receipt it shall be sufficient to show that such notice, document or information was properly addressed, pre-paid and posted.</w:t>
      </w:r>
    </w:p>
    <w:p>
      <w:pPr>
        <w:spacing w:after="0" w:line="192"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113.4</w:t>
      </w:r>
      <w:r>
        <w:rPr>
          <w:sz w:val="20"/>
          <w:szCs w:val="20"/>
          <w:color w:val="auto"/>
        </w:rPr>
        <w:tab/>
      </w:r>
      <w:r>
        <w:rPr>
          <w:rFonts w:ascii="Times New Roman" w:cs="Times New Roman" w:eastAsia="Times New Roman" w:hAnsi="Times New Roman"/>
          <w:sz w:val="20"/>
          <w:szCs w:val="20"/>
          <w:color w:val="auto"/>
        </w:rPr>
        <w:t>Any notice, document or information which is sent or supplied by the Company by electronic means shall be deemed to have been received by the intended recipient on the day on which the electronic communication was sent by or on behalf of the Company, and in proving such receipt it shall be sufficient to show that such notice, document or information was properly addressed.</w:t>
      </w:r>
    </w:p>
    <w:p>
      <w:pPr>
        <w:spacing w:after="0" w:line="181"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113.5</w:t>
      </w:r>
      <w:r>
        <w:rPr>
          <w:sz w:val="20"/>
          <w:szCs w:val="20"/>
          <w:color w:val="auto"/>
        </w:rPr>
        <w:tab/>
      </w:r>
      <w:r>
        <w:rPr>
          <w:rFonts w:ascii="Times New Roman" w:cs="Times New Roman" w:eastAsia="Times New Roman" w:hAnsi="Times New Roman"/>
          <w:sz w:val="20"/>
          <w:szCs w:val="20"/>
          <w:color w:val="auto"/>
        </w:rPr>
        <w:t>Any notice, document or information which is sent or supplied by the Company by means of a website shall be deemed to have been received when the material was first made available on the website or, if later, when the recipient received (or is deemed to have received) notice of the fact that the material was available on the website.</w:t>
      </w:r>
    </w:p>
    <w:p>
      <w:pPr>
        <w:spacing w:after="0" w:line="168"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113.6</w:t>
      </w:r>
      <w:r>
        <w:rPr>
          <w:sz w:val="20"/>
          <w:szCs w:val="20"/>
          <w:color w:val="auto"/>
        </w:rPr>
        <w:tab/>
      </w:r>
      <w:r>
        <w:rPr>
          <w:rFonts w:ascii="Times New Roman" w:cs="Times New Roman" w:eastAsia="Times New Roman" w:hAnsi="Times New Roman"/>
          <w:sz w:val="20"/>
          <w:szCs w:val="20"/>
          <w:color w:val="auto"/>
        </w:rPr>
        <w:t>The accidental failure to send, or the non-receipt by any person entitled to, any notice of or other document or information relating to any meeting or other proceeding shall not invalidate the relevant meeting or proceeding.</w:t>
      </w:r>
    </w:p>
    <w:p>
      <w:pPr>
        <w:spacing w:after="0" w:line="146"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113.7</w:t>
      </w:r>
      <w:r>
        <w:rPr>
          <w:sz w:val="20"/>
          <w:szCs w:val="20"/>
          <w:color w:val="auto"/>
        </w:rPr>
        <w:tab/>
      </w:r>
      <w:r>
        <w:rPr>
          <w:rFonts w:ascii="Times New Roman" w:cs="Times New Roman" w:eastAsia="Times New Roman" w:hAnsi="Times New Roman"/>
          <w:sz w:val="20"/>
          <w:szCs w:val="20"/>
          <w:color w:val="auto"/>
        </w:rPr>
        <w:t>The provisions of this Article 113 shall have effect in place of the Company Communications Provisions relating to deemed delivery of notices, documents or information.</w:t>
      </w:r>
    </w:p>
    <w:p>
      <w:pPr>
        <w:spacing w:after="0" w:line="3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114</w:t>
      </w:r>
      <w:r>
        <w:rPr>
          <w:sz w:val="20"/>
          <w:szCs w:val="20"/>
          <w:color w:val="auto"/>
        </w:rPr>
        <w:tab/>
      </w:r>
      <w:r>
        <w:rPr>
          <w:rFonts w:ascii="Times New Roman" w:cs="Times New Roman" w:eastAsia="Times New Roman" w:hAnsi="Times New Roman"/>
          <w:sz w:val="20"/>
          <w:szCs w:val="20"/>
          <w:b w:val="1"/>
          <w:bCs w:val="1"/>
          <w:color w:val="auto"/>
        </w:rPr>
        <w:t>Communication with joint holders</w:t>
      </w:r>
    </w:p>
    <w:p>
      <w:pPr>
        <w:spacing w:after="0" w:line="21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114.1</w:t>
      </w:r>
      <w:r>
        <w:rPr>
          <w:sz w:val="20"/>
          <w:szCs w:val="20"/>
          <w:color w:val="auto"/>
        </w:rPr>
        <w:tab/>
      </w:r>
      <w:r>
        <w:rPr>
          <w:rFonts w:ascii="Times New Roman" w:cs="Times New Roman" w:eastAsia="Times New Roman" w:hAnsi="Times New Roman"/>
          <w:sz w:val="20"/>
          <w:szCs w:val="20"/>
          <w:color w:val="auto"/>
        </w:rPr>
        <w:t>Anything which needs to be agreed or specified by the joint holders of a share shall for all purposes be taken to be agreed or specified by all the joint holders where it has been agreed or specified by the joint holder whose name stands first in the Register in respect of the share.</w:t>
      </w:r>
    </w:p>
    <w:p>
      <w:pPr>
        <w:spacing w:after="0" w:line="181"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114.2</w:t>
      </w:r>
      <w:r>
        <w:rPr>
          <w:sz w:val="20"/>
          <w:szCs w:val="20"/>
          <w:color w:val="auto"/>
        </w:rPr>
        <w:tab/>
      </w:r>
      <w:r>
        <w:rPr>
          <w:rFonts w:ascii="Times New Roman" w:cs="Times New Roman" w:eastAsia="Times New Roman" w:hAnsi="Times New Roman"/>
          <w:sz w:val="20"/>
          <w:szCs w:val="20"/>
          <w:color w:val="auto"/>
        </w:rPr>
        <w:t>If more than one joint holder gives instructions or notifications to the Company pursuant to these Articles then, save where these Articles specifically provide otherwise, the Company shall only recognise the instructions or notifications of whichever of the joint holders’ names appears first in the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254" w:name="page255"/>
    <w:bookmarkEnd w:id="254"/>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114.3</w:t>
      </w:r>
      <w:r>
        <w:rPr>
          <w:sz w:val="20"/>
          <w:szCs w:val="20"/>
          <w:color w:val="auto"/>
        </w:rPr>
        <w:tab/>
      </w:r>
      <w:r>
        <w:rPr>
          <w:rFonts w:ascii="Times New Roman" w:cs="Times New Roman" w:eastAsia="Times New Roman" w:hAnsi="Times New Roman"/>
          <w:sz w:val="20"/>
          <w:szCs w:val="20"/>
          <w:color w:val="auto"/>
        </w:rPr>
        <w:t>Any notice, document or information which is authorised or required to be sent or supplied to joint holders of a share may be sent or supplied to the joint holder whose name stands first in the Register in respect of the share, to the exclusion of the other joint holders.</w:t>
      </w:r>
    </w:p>
    <w:p>
      <w:pPr>
        <w:spacing w:after="0" w:line="146"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114.4</w:t>
      </w:r>
      <w:r>
        <w:rPr>
          <w:sz w:val="20"/>
          <w:szCs w:val="20"/>
          <w:color w:val="auto"/>
        </w:rPr>
        <w:tab/>
      </w:r>
      <w:r>
        <w:rPr>
          <w:rFonts w:ascii="Times New Roman" w:cs="Times New Roman" w:eastAsia="Times New Roman" w:hAnsi="Times New Roman"/>
          <w:sz w:val="20"/>
          <w:szCs w:val="20"/>
          <w:color w:val="auto"/>
        </w:rPr>
        <w:t>The provisions of this Article 114 shall have effect in place of the Company Communications Provisions regarding joint holders of shares.</w:t>
      </w:r>
    </w:p>
    <w:p>
      <w:pPr>
        <w:spacing w:after="0" w:line="146"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114.5</w:t>
      </w:r>
      <w:r>
        <w:rPr>
          <w:sz w:val="20"/>
          <w:szCs w:val="20"/>
          <w:color w:val="auto"/>
        </w:rPr>
        <w:tab/>
      </w:r>
      <w:r>
        <w:rPr>
          <w:rFonts w:ascii="Times New Roman" w:cs="Times New Roman" w:eastAsia="Times New Roman" w:hAnsi="Times New Roman"/>
          <w:sz w:val="20"/>
          <w:szCs w:val="20"/>
          <w:color w:val="auto"/>
        </w:rPr>
        <w:t>If two or more persons are registered as joint holders of any share or are entitled jointly to a share in consequence of the death or bankruptcy of the holder or otherwise by operation of law, any one of them may give instructions to the Company and give effectual receipts for any dividend or other moneys payable or property distributable on or in respect of the share.</w:t>
      </w:r>
    </w:p>
    <w:p>
      <w:pPr>
        <w:spacing w:after="0" w:line="3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20"/>
          <w:szCs w:val="20"/>
          <w:b w:val="1"/>
          <w:bCs w:val="1"/>
          <w:color w:val="auto"/>
        </w:rPr>
        <w:t>Deceased and bankrupt members</w:t>
      </w:r>
    </w:p>
    <w:p>
      <w:pPr>
        <w:spacing w:after="0" w:line="229"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115.1</w:t>
      </w:r>
      <w:r>
        <w:rPr>
          <w:sz w:val="20"/>
          <w:szCs w:val="20"/>
          <w:color w:val="auto"/>
        </w:rPr>
        <w:tab/>
      </w:r>
      <w:r>
        <w:rPr>
          <w:rFonts w:ascii="Times New Roman" w:cs="Times New Roman" w:eastAsia="Times New Roman" w:hAnsi="Times New Roman"/>
          <w:sz w:val="20"/>
          <w:szCs w:val="20"/>
          <w:color w:val="auto"/>
        </w:rPr>
        <w:t>A person who claims to be entitled to a share in consequence of the death or bankruptcy of a member or otherwise by operation of law shall supply to the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115.1.1 </w:t>
      </w:r>
      <w:r>
        <w:rPr>
          <w:rFonts w:ascii="Times New Roman" w:cs="Times New Roman" w:eastAsia="Times New Roman" w:hAnsi="Times New Roman"/>
          <w:sz w:val="19"/>
          <w:szCs w:val="19"/>
          <w:color w:val="auto"/>
        </w:rPr>
        <w:t>such evidence as the Directors may reasonably require to show his title to the share; and</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115.1.2 </w:t>
      </w:r>
      <w:r>
        <w:rPr>
          <w:rFonts w:ascii="Times New Roman" w:cs="Times New Roman" w:eastAsia="Times New Roman" w:hAnsi="Times New Roman"/>
          <w:sz w:val="19"/>
          <w:szCs w:val="19"/>
          <w:color w:val="auto"/>
        </w:rPr>
        <w:t>an address at which notices may be sent or supplied to such person.</w:t>
      </w:r>
    </w:p>
    <w:p>
      <w:pPr>
        <w:spacing w:after="0" w:line="2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115.2</w:t>
      </w:r>
      <w:r>
        <w:rPr>
          <w:sz w:val="20"/>
          <w:szCs w:val="20"/>
          <w:color w:val="auto"/>
        </w:rPr>
        <w:tab/>
      </w:r>
      <w:r>
        <w:rPr>
          <w:rFonts w:ascii="Times New Roman" w:cs="Times New Roman" w:eastAsia="Times New Roman" w:hAnsi="Times New Roman"/>
          <w:sz w:val="19"/>
          <w:szCs w:val="19"/>
          <w:color w:val="auto"/>
        </w:rPr>
        <w:t>Subject to complying with Article 115.1, such a person shall be entitled to:</w:t>
      </w:r>
    </w:p>
    <w:p>
      <w:pPr>
        <w:spacing w:after="0" w:line="233" w:lineRule="exact"/>
        <w:rPr>
          <w:sz w:val="20"/>
          <w:szCs w:val="20"/>
          <w:color w:val="auto"/>
        </w:rPr>
      </w:pPr>
    </w:p>
    <w:p>
      <w:pPr>
        <w:jc w:val="both"/>
        <w:ind w:left="1300" w:hanging="64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115.2.1 </w:t>
      </w:r>
      <w:r>
        <w:rPr>
          <w:rFonts w:ascii="Times New Roman" w:cs="Times New Roman" w:eastAsia="Times New Roman" w:hAnsi="Times New Roman"/>
          <w:sz w:val="19"/>
          <w:szCs w:val="19"/>
          <w:color w:val="auto"/>
        </w:rPr>
        <w:t>have sent or supplied to him at such address any notice, document or information to which the relevant member would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been entitled. Any notice, document or information so sent or supplied shall for all purposes be deemed to be duly sent or supplied to all persons interested in the share (whether jointly with or as claiming through or under him); and</w:t>
      </w:r>
    </w:p>
    <w:p>
      <w:pPr>
        <w:spacing w:after="0" w:line="164" w:lineRule="exact"/>
        <w:rPr>
          <w:sz w:val="20"/>
          <w:szCs w:val="20"/>
          <w:color w:val="auto"/>
        </w:rPr>
      </w:pPr>
    </w:p>
    <w:p>
      <w:pPr>
        <w:jc w:val="both"/>
        <w:ind w:left="1300" w:hanging="64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115.2.2 </w:t>
      </w:r>
      <w:r>
        <w:rPr>
          <w:rFonts w:ascii="Times New Roman" w:cs="Times New Roman" w:eastAsia="Times New Roman" w:hAnsi="Times New Roman"/>
          <w:sz w:val="19"/>
          <w:szCs w:val="19"/>
          <w:color w:val="auto"/>
        </w:rPr>
        <w:t>give instructions or notifications to the Company pursuant to these Articles in relation to the relevant shares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Company may treat such instruction or notification as duly given by all persons interested in the share (whether jointly with or as claiming through or under him).</w:t>
      </w:r>
    </w:p>
    <w:p>
      <w:pPr>
        <w:spacing w:after="0" w:line="147"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115.3</w:t>
      </w:r>
      <w:r>
        <w:rPr>
          <w:sz w:val="20"/>
          <w:szCs w:val="20"/>
          <w:color w:val="auto"/>
        </w:rPr>
        <w:tab/>
      </w:r>
      <w:r>
        <w:rPr>
          <w:rFonts w:ascii="Times New Roman" w:cs="Times New Roman" w:eastAsia="Times New Roman" w:hAnsi="Times New Roman"/>
          <w:sz w:val="20"/>
          <w:szCs w:val="20"/>
          <w:color w:val="auto"/>
        </w:rPr>
        <w:t>Unless a person entitled to the share has complied with Article 115.1, any notice, document or information sent or supplied to the address of any member pursuant to these Articles shall be deemed to have been duly sent or supplied in respect of any share registered in the name of such member as sole or first-named joint holder. This Article shall apply notwithstanding even if such member is dead or bankrupt or in liquidation, and whether or not the Company has notice of his death or bankruptcy or liquidation.</w:t>
      </w:r>
    </w:p>
    <w:p>
      <w:pPr>
        <w:spacing w:after="0" w:line="186" w:lineRule="exact"/>
        <w:rPr>
          <w:sz w:val="20"/>
          <w:szCs w:val="20"/>
          <w:color w:val="auto"/>
        </w:rPr>
      </w:pPr>
    </w:p>
    <w:p>
      <w:pPr>
        <w:jc w:val="both"/>
        <w:ind w:left="640" w:right="2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115.4</w:t>
      </w:r>
      <w:r>
        <w:rPr>
          <w:sz w:val="20"/>
          <w:szCs w:val="20"/>
          <w:color w:val="auto"/>
        </w:rPr>
        <w:tab/>
      </w:r>
      <w:r>
        <w:rPr>
          <w:rFonts w:ascii="Times New Roman" w:cs="Times New Roman" w:eastAsia="Times New Roman" w:hAnsi="Times New Roman"/>
          <w:sz w:val="20"/>
          <w:szCs w:val="20"/>
          <w:color w:val="auto"/>
        </w:rPr>
        <w:t>The provisions of this Article 115 shall have effect in place of the Company Communications Provisions regarding the death or bankruptcy of a member.</w:t>
      </w:r>
    </w:p>
    <w:p>
      <w:pPr>
        <w:spacing w:after="0" w:line="3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116</w:t>
      </w:r>
      <w:r>
        <w:rPr>
          <w:sz w:val="20"/>
          <w:szCs w:val="20"/>
          <w:color w:val="auto"/>
        </w:rPr>
        <w:tab/>
      </w:r>
      <w:r>
        <w:rPr>
          <w:rFonts w:ascii="Times New Roman" w:cs="Times New Roman" w:eastAsia="Times New Roman" w:hAnsi="Times New Roman"/>
          <w:sz w:val="20"/>
          <w:szCs w:val="20"/>
          <w:b w:val="1"/>
          <w:bCs w:val="1"/>
          <w:color w:val="auto"/>
        </w:rPr>
        <w:t>Failure to supply address</w:t>
      </w:r>
    </w:p>
    <w:p>
      <w:pPr>
        <w:spacing w:after="0" w:line="216"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116.1</w:t>
      </w:r>
      <w:r>
        <w:rPr>
          <w:sz w:val="20"/>
          <w:szCs w:val="20"/>
          <w:color w:val="auto"/>
        </w:rPr>
        <w:tab/>
      </w:r>
      <w:r>
        <w:rPr>
          <w:rFonts w:ascii="Times New Roman" w:cs="Times New Roman" w:eastAsia="Times New Roman" w:hAnsi="Times New Roman"/>
          <w:sz w:val="20"/>
          <w:szCs w:val="20"/>
          <w:color w:val="auto"/>
        </w:rPr>
        <w:t>Subject to the Legislation, the Company shall not be required to send notices, documents or information to a member who (having no registered address within the United Kingdom) has not supplied to the Company either a postal address within the United Kingdom or an electronic address for the service of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09" w:right="339" w:bottom="1440" w:gutter="0" w:footer="0" w:header="0"/>
        </w:sectPr>
      </w:pPr>
    </w:p>
    <w:bookmarkStart w:id="255" w:name="page256"/>
    <w:bookmarkEnd w:id="255"/>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b w:val="1"/>
          <w:bCs w:val="1"/>
          <w:color w:val="auto"/>
        </w:rPr>
        <w:t>116.2</w:t>
      </w:r>
      <w:r>
        <w:rPr>
          <w:sz w:val="20"/>
          <w:szCs w:val="20"/>
          <w:color w:val="auto"/>
        </w:rPr>
        <w:tab/>
      </w:r>
      <w:r>
        <w:rPr>
          <w:rFonts w:ascii="Times New Roman" w:cs="Times New Roman" w:eastAsia="Times New Roman" w:hAnsi="Times New Roman"/>
          <w:sz w:val="20"/>
          <w:szCs w:val="20"/>
          <w:color w:val="auto"/>
        </w:rPr>
        <w:t>If the Company sends more than one document to a member on separate occasions during a 12-month period and each of them is returned undelivered then that member will not be entitled to receive notices from the Company until he has supplied a new postal or electronic address for the service of notices.</w:t>
      </w:r>
    </w:p>
    <w:p>
      <w:pPr>
        <w:spacing w:after="0" w:line="397" w:lineRule="exact"/>
        <w:rPr>
          <w:sz w:val="20"/>
          <w:szCs w:val="20"/>
          <w:color w:val="auto"/>
        </w:rPr>
      </w:pPr>
    </w:p>
    <w:p>
      <w:pPr>
        <w:ind w:left="640" w:hanging="632"/>
        <w:spacing w:after="0"/>
        <w:tabs>
          <w:tab w:leader="none" w:pos="64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Suspension of postal services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at any time by reason of the suspension or curtailment of postal services within the United Kingdom the Company is unable to give notice by post in hard copy form of a shareholders’ meeting, such notice shall be deemed to have been given to all members entitled to receive such notice in hard copy form if such notice is advertised in at least one national newspaper and such notice shall be deemed to have been given on the day when the advertisement appears. In any such case, the Company shall: (i) make such notice available on its website from the date of such advertisement until the conclusion of the meeting or any adjournment thereof; and (ii) send confirmatory copies of the notice by post to such members if at least seven days prior to the meeting the posting of notices again becomes practicable.</w:t>
      </w:r>
    </w:p>
    <w:p>
      <w:pPr>
        <w:spacing w:after="0" w:line="200" w:lineRule="exact"/>
        <w:rPr>
          <w:rFonts w:ascii="Times New Roman" w:cs="Times New Roman" w:eastAsia="Times New Roman" w:hAnsi="Times New Roman"/>
          <w:sz w:val="20"/>
          <w:szCs w:val="20"/>
          <w:b w:val="1"/>
          <w:bCs w:val="1"/>
          <w:color w:val="auto"/>
        </w:rPr>
      </w:pPr>
    </w:p>
    <w:p>
      <w:pPr>
        <w:spacing w:after="0" w:line="204"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Signature or authentication of documents sent by electronic means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Where these Articles require a notice or other document to be signed or authenticated by a member or other person, then any notice or other document sent or supplied in electronic form is sufficiently authenticated in any manner authorised by the Company Communications Provisions or in such other manner as may be approved by the Directors. The Directors may designate mechanisms for validating any such notice or other document, and any such notice or other document not so validated by use of such mechanisms shall be deemed not to have been received by the Company.</w:t>
      </w:r>
    </w:p>
    <w:p>
      <w:pPr>
        <w:spacing w:after="0" w:line="384"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Statutory provisions as to notices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in any of Articles 113 to 118 shall affect any provision of the Legislation that requires or permits any particular notice, document or information to be sent or supplied in any particular manner.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Winding Up</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Directors’ power to petition</w:t>
      </w:r>
    </w:p>
    <w:p>
      <w:pPr>
        <w:spacing w:after="0" w:line="233" w:lineRule="exact"/>
        <w:rPr>
          <w:rFonts w:ascii="Times New Roman" w:cs="Times New Roman" w:eastAsia="Times New Roman" w:hAnsi="Times New Roman"/>
          <w:sz w:val="20"/>
          <w:szCs w:val="20"/>
          <w:b w:val="1"/>
          <w:bCs w:val="1"/>
          <w:color w:val="auto"/>
        </w:rPr>
      </w:pPr>
    </w:p>
    <w:p>
      <w:pPr>
        <w:ind w:left="6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Directors shall have power in the name and on behalf of the Company to present a petition to the Court for the Company to be wound up.</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Destruction of Documents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Destruction of documents</w:t>
      </w:r>
    </w:p>
    <w:p>
      <w:pPr>
        <w:spacing w:after="0" w:line="21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121.1  </w:t>
      </w:r>
      <w:r>
        <w:rPr>
          <w:rFonts w:ascii="Times New Roman" w:cs="Times New Roman" w:eastAsia="Times New Roman" w:hAnsi="Times New Roman"/>
          <w:sz w:val="20"/>
          <w:szCs w:val="20"/>
          <w:color w:val="auto"/>
        </w:rPr>
        <w:t>The Company may destroy: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09" w:right="339" w:bottom="1440" w:gutter="0" w:footer="0" w:header="0"/>
        </w:sectPr>
      </w:pPr>
    </w:p>
    <w:bookmarkStart w:id="256" w:name="page257"/>
    <w:bookmarkEnd w:id="256"/>
    <w:p>
      <w:pPr>
        <w:jc w:val="both"/>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121.1.1 </w:t>
      </w:r>
      <w:r>
        <w:rPr>
          <w:rFonts w:ascii="Times New Roman" w:cs="Times New Roman" w:eastAsia="Times New Roman" w:hAnsi="Times New Roman"/>
          <w:sz w:val="19"/>
          <w:szCs w:val="19"/>
          <w:color w:val="auto"/>
        </w:rPr>
        <w:t>all instruments of transfer or other documents which have been registered or on the basis of which registration was made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any time after the expiration of six years from the date of registration;</w:t>
      </w:r>
    </w:p>
    <w:p>
      <w:pPr>
        <w:spacing w:after="0" w:line="124" w:lineRule="exact"/>
        <w:rPr>
          <w:sz w:val="20"/>
          <w:szCs w:val="20"/>
          <w:color w:val="auto"/>
        </w:rPr>
      </w:pPr>
    </w:p>
    <w:p>
      <w:pPr>
        <w:jc w:val="both"/>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121.1.2 </w:t>
      </w:r>
      <w:r>
        <w:rPr>
          <w:rFonts w:ascii="Times New Roman" w:cs="Times New Roman" w:eastAsia="Times New Roman" w:hAnsi="Times New Roman"/>
          <w:sz w:val="19"/>
          <w:szCs w:val="19"/>
          <w:color w:val="auto"/>
        </w:rPr>
        <w:t>all dividend mandates and notifications of change of address at any time after the expiration of two years from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recording of them;</w:t>
      </w:r>
    </w:p>
    <w:p>
      <w:pPr>
        <w:spacing w:after="0" w:line="124" w:lineRule="exact"/>
        <w:rPr>
          <w:sz w:val="20"/>
          <w:szCs w:val="20"/>
          <w:color w:val="auto"/>
        </w:rPr>
      </w:pPr>
    </w:p>
    <w:p>
      <w:pPr>
        <w:jc w:val="both"/>
        <w:ind w:left="1300" w:hanging="647"/>
        <w:spacing w:after="0" w:line="275" w:lineRule="auto"/>
        <w:rPr>
          <w:sz w:val="20"/>
          <w:szCs w:val="20"/>
          <w:color w:val="auto"/>
        </w:rPr>
      </w:pPr>
      <w:r>
        <w:rPr>
          <w:rFonts w:ascii="Times New Roman" w:cs="Times New Roman" w:eastAsia="Times New Roman" w:hAnsi="Times New Roman"/>
          <w:sz w:val="18"/>
          <w:szCs w:val="18"/>
          <w:b w:val="1"/>
          <w:bCs w:val="1"/>
          <w:color w:val="auto"/>
        </w:rPr>
        <w:t xml:space="preserve">121.1.3 </w:t>
      </w:r>
      <w:r>
        <w:rPr>
          <w:rFonts w:ascii="Times New Roman" w:cs="Times New Roman" w:eastAsia="Times New Roman" w:hAnsi="Times New Roman"/>
          <w:sz w:val="19"/>
          <w:szCs w:val="19"/>
          <w:color w:val="auto"/>
        </w:rPr>
        <w:t>all share certificates which have been cancelled at any time after the expiration of one year from the date of the cancellation;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and</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121.1.4 </w:t>
      </w:r>
      <w:r>
        <w:rPr>
          <w:rFonts w:ascii="Times New Roman" w:cs="Times New Roman" w:eastAsia="Times New Roman" w:hAnsi="Times New Roman"/>
          <w:sz w:val="19"/>
          <w:szCs w:val="19"/>
          <w:color w:val="auto"/>
        </w:rPr>
        <w:t>all proxy appointments from one year after the end of the meeting to which the appointment relates.</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121.2</w:t>
      </w:r>
      <w:r>
        <w:rPr>
          <w:sz w:val="20"/>
          <w:szCs w:val="20"/>
          <w:color w:val="auto"/>
        </w:rPr>
        <w:tab/>
      </w:r>
      <w:r>
        <w:rPr>
          <w:rFonts w:ascii="Times New Roman" w:cs="Times New Roman" w:eastAsia="Times New Roman" w:hAnsi="Times New Roman"/>
          <w:sz w:val="19"/>
          <w:szCs w:val="19"/>
          <w:color w:val="auto"/>
        </w:rPr>
        <w:t>It shall conclusively be presumed in favour of the Company that:</w:t>
      </w:r>
    </w:p>
    <w:p>
      <w:pPr>
        <w:spacing w:after="0" w:line="233" w:lineRule="exact"/>
        <w:rPr>
          <w:sz w:val="20"/>
          <w:szCs w:val="20"/>
          <w:color w:val="auto"/>
        </w:rPr>
      </w:pPr>
    </w:p>
    <w:p>
      <w:pPr>
        <w:jc w:val="both"/>
        <w:ind w:left="1300" w:hanging="647"/>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121.2.1 </w:t>
      </w:r>
      <w:r>
        <w:rPr>
          <w:rFonts w:ascii="Times New Roman" w:cs="Times New Roman" w:eastAsia="Times New Roman" w:hAnsi="Times New Roman"/>
          <w:sz w:val="19"/>
          <w:szCs w:val="19"/>
          <w:color w:val="auto"/>
        </w:rPr>
        <w:t>every entry in the Register purporting to have been made on the basis of an instrument of transfer or other document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destroyed was duly and properly made;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121.2.2 </w:t>
      </w:r>
      <w:r>
        <w:rPr>
          <w:rFonts w:ascii="Times New Roman" w:cs="Times New Roman" w:eastAsia="Times New Roman" w:hAnsi="Times New Roman"/>
          <w:sz w:val="19"/>
          <w:szCs w:val="19"/>
          <w:color w:val="auto"/>
        </w:rPr>
        <w:t>every instrument of transfer so destroyed was a valid and effective instrument duly and properly registered;</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121.2.3 </w:t>
      </w:r>
      <w:r>
        <w:rPr>
          <w:rFonts w:ascii="Times New Roman" w:cs="Times New Roman" w:eastAsia="Times New Roman" w:hAnsi="Times New Roman"/>
          <w:sz w:val="19"/>
          <w:szCs w:val="19"/>
          <w:color w:val="auto"/>
        </w:rPr>
        <w:t>every share certificate so destroyed was a valid and effective certificate duly and properly cancelled; and</w:t>
      </w:r>
    </w:p>
    <w:p>
      <w:pPr>
        <w:spacing w:after="0" w:line="227" w:lineRule="exact"/>
        <w:rPr>
          <w:sz w:val="20"/>
          <w:szCs w:val="20"/>
          <w:color w:val="auto"/>
        </w:rPr>
      </w:pPr>
    </w:p>
    <w:p>
      <w:pPr>
        <w:jc w:val="both"/>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121.2.4 </w:t>
      </w:r>
      <w:r>
        <w:rPr>
          <w:rFonts w:ascii="Times New Roman" w:cs="Times New Roman" w:eastAsia="Times New Roman" w:hAnsi="Times New Roman"/>
          <w:sz w:val="19"/>
          <w:szCs w:val="19"/>
          <w:color w:val="auto"/>
        </w:rPr>
        <w:t>every other document mentioned in this Article 121 so destroyed was a valid and effective document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recorded particulars in the books or records of the Company.</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121.3</w:t>
      </w:r>
      <w:r>
        <w:rPr>
          <w:sz w:val="20"/>
          <w:szCs w:val="20"/>
          <w:color w:val="auto"/>
        </w:rPr>
        <w:tab/>
      </w:r>
      <w:r>
        <w:rPr>
          <w:rFonts w:ascii="Times New Roman" w:cs="Times New Roman" w:eastAsia="Times New Roman" w:hAnsi="Times New Roman"/>
          <w:sz w:val="19"/>
          <w:szCs w:val="19"/>
          <w:color w:val="auto"/>
        </w:rPr>
        <w:t>The provisions of this Article 121:</w:t>
      </w:r>
    </w:p>
    <w:p>
      <w:pPr>
        <w:spacing w:after="0" w:line="233" w:lineRule="exact"/>
        <w:rPr>
          <w:sz w:val="20"/>
          <w:szCs w:val="20"/>
          <w:color w:val="auto"/>
        </w:rPr>
      </w:pPr>
    </w:p>
    <w:p>
      <w:pPr>
        <w:jc w:val="both"/>
        <w:ind w:left="1300" w:right="2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121.3.1 </w:t>
      </w:r>
      <w:r>
        <w:rPr>
          <w:rFonts w:ascii="Times New Roman" w:cs="Times New Roman" w:eastAsia="Times New Roman" w:hAnsi="Times New Roman"/>
          <w:sz w:val="19"/>
          <w:szCs w:val="19"/>
          <w:color w:val="auto"/>
        </w:rPr>
        <w:t>shall apply only to the destruction of a document in good faith and without notice of any claim to which the document might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be relevant; and</w:t>
      </w:r>
    </w:p>
    <w:p>
      <w:pPr>
        <w:spacing w:after="0" w:line="124" w:lineRule="exact"/>
        <w:rPr>
          <w:sz w:val="20"/>
          <w:szCs w:val="20"/>
          <w:color w:val="auto"/>
        </w:rPr>
      </w:pPr>
    </w:p>
    <w:p>
      <w:pPr>
        <w:jc w:val="both"/>
        <w:ind w:left="1300" w:hanging="64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121.3.2 </w:t>
      </w:r>
      <w:r>
        <w:rPr>
          <w:rFonts w:ascii="Times New Roman" w:cs="Times New Roman" w:eastAsia="Times New Roman" w:hAnsi="Times New Roman"/>
          <w:sz w:val="19"/>
          <w:szCs w:val="19"/>
          <w:color w:val="auto"/>
        </w:rPr>
        <w:t>shall not be construed as imposing upon the Company any liability in respect of the destruction of any such document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than provided by this Article 121 or in any other circumstances, which would not attach to the Company in the absence of this Article 121.</w:t>
      </w:r>
    </w:p>
    <w:p>
      <w:pPr>
        <w:spacing w:after="0" w:line="16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121.4</w:t>
      </w:r>
      <w:r>
        <w:rPr>
          <w:sz w:val="20"/>
          <w:szCs w:val="20"/>
          <w:color w:val="auto"/>
        </w:rPr>
        <w:tab/>
      </w:r>
      <w:r>
        <w:rPr>
          <w:rFonts w:ascii="Times New Roman" w:cs="Times New Roman" w:eastAsia="Times New Roman" w:hAnsi="Times New Roman"/>
          <w:sz w:val="20"/>
          <w:szCs w:val="20"/>
          <w:color w:val="auto"/>
        </w:rPr>
        <w:t>Any document referred to in this Article 121 may, subject to the Legislation, be destroyed before the end of the relevant period so long as a copy of such document (whether made electronically or by any other means) has been made and is retained until the end of the relevant period.</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121.5</w:t>
      </w:r>
      <w:r>
        <w:rPr>
          <w:sz w:val="20"/>
          <w:szCs w:val="20"/>
          <w:color w:val="auto"/>
        </w:rPr>
        <w:tab/>
      </w:r>
      <w:r>
        <w:rPr>
          <w:rFonts w:ascii="Times New Roman" w:cs="Times New Roman" w:eastAsia="Times New Roman" w:hAnsi="Times New Roman"/>
          <w:sz w:val="19"/>
          <w:szCs w:val="19"/>
          <w:color w:val="auto"/>
        </w:rPr>
        <w:t>References in this Article 121 to the destruction of any document include references to its disposal in any manner.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Directors’ Liabilities</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20"/>
          <w:szCs w:val="20"/>
          <w:b w:val="1"/>
          <w:bCs w:val="1"/>
          <w:color w:val="auto"/>
        </w:rPr>
        <w:t>Indemnity</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122.1</w:t>
      </w:r>
      <w:r>
        <w:rPr>
          <w:sz w:val="20"/>
          <w:szCs w:val="20"/>
          <w:color w:val="auto"/>
        </w:rPr>
        <w:tab/>
      </w:r>
      <w:r>
        <w:rPr>
          <w:rFonts w:ascii="Times New Roman" w:cs="Times New Roman" w:eastAsia="Times New Roman" w:hAnsi="Times New Roman"/>
          <w:sz w:val="20"/>
          <w:szCs w:val="20"/>
          <w:color w:val="auto"/>
        </w:rPr>
        <w:t>So far as may be permitted by the Legislation every Relevant Officer shall be indemnified by the Company out of its own funds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257" w:name="page258"/>
    <w:bookmarkEnd w:id="257"/>
    <w:p>
      <w:pPr>
        <w:ind w:left="1300" w:right="2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122.1.1 </w:t>
      </w:r>
      <w:r>
        <w:rPr>
          <w:rFonts w:ascii="Times New Roman" w:cs="Times New Roman" w:eastAsia="Times New Roman" w:hAnsi="Times New Roman"/>
          <w:sz w:val="19"/>
          <w:szCs w:val="19"/>
          <w:color w:val="auto"/>
        </w:rPr>
        <w:t>any liability incurred by or attaching to him in connection with any negligence, default, breach of duty or breach of trust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him in relation to the Company or any Associated Company of the Company, other than:</w:t>
      </w:r>
    </w:p>
    <w:p>
      <w:pPr>
        <w:spacing w:after="0" w:line="124" w:lineRule="exact"/>
        <w:rPr>
          <w:sz w:val="20"/>
          <w:szCs w:val="20"/>
          <w:color w:val="auto"/>
        </w:rPr>
      </w:pPr>
    </w:p>
    <w:p>
      <w:pPr>
        <w:ind w:left="1940" w:hanging="636"/>
        <w:spacing w:after="0"/>
        <w:tabs>
          <w:tab w:leader="none" w:pos="194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to the Company or any Associated Company; and</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the kind referred to in Section 234(3) of the Companies Act 2006; and</w:t>
      </w:r>
    </w:p>
    <w:p>
      <w:pPr>
        <w:spacing w:after="0" w:line="216" w:lineRule="exact"/>
        <w:rPr>
          <w:sz w:val="20"/>
          <w:szCs w:val="20"/>
          <w:color w:val="auto"/>
        </w:rPr>
      </w:pPr>
    </w:p>
    <w:p>
      <w:pPr>
        <w:jc w:val="both"/>
        <w:ind w:left="1300" w:right="20" w:hanging="647"/>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122.1.2 </w:t>
      </w:r>
      <w:r>
        <w:rPr>
          <w:rFonts w:ascii="Times New Roman" w:cs="Times New Roman" w:eastAsia="Times New Roman" w:hAnsi="Times New Roman"/>
          <w:sz w:val="19"/>
          <w:szCs w:val="19"/>
          <w:color w:val="auto"/>
        </w:rPr>
        <w:t>any other liability incurred by or attaching to him in relation to or in connection with his duties, powers or office,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in connection with the activities of the Company or an Associated Company in its capacity as a trustee of an occupational pension scheme, other than any liability of the kind referred to in Section 235(3) of the Companies Act 2006.</w:t>
      </w:r>
    </w:p>
    <w:p>
      <w:pPr>
        <w:spacing w:after="0" w:line="141"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122.2</w:t>
      </w:r>
      <w:r>
        <w:rPr>
          <w:sz w:val="20"/>
          <w:szCs w:val="20"/>
          <w:color w:val="auto"/>
        </w:rPr>
        <w:tab/>
      </w:r>
      <w:r>
        <w:rPr>
          <w:rFonts w:ascii="Times New Roman" w:cs="Times New Roman" w:eastAsia="Times New Roman" w:hAnsi="Times New Roman"/>
          <w:sz w:val="20"/>
          <w:szCs w:val="20"/>
          <w:color w:val="auto"/>
        </w:rPr>
        <w:t>Where a Relevant Officer is indemnified against any liability in accordance with this Article 122, such indemnity shall extend to all costs, charges, losses, expenses and liabilities incurred by him in relation thereto.</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122.3</w:t>
      </w:r>
      <w:r>
        <w:rPr>
          <w:sz w:val="20"/>
          <w:szCs w:val="20"/>
          <w:color w:val="auto"/>
        </w:rPr>
        <w:tab/>
      </w:r>
      <w:r>
        <w:rPr>
          <w:rFonts w:ascii="Times New Roman" w:cs="Times New Roman" w:eastAsia="Times New Roman" w:hAnsi="Times New Roman"/>
          <w:sz w:val="19"/>
          <w:szCs w:val="19"/>
          <w:color w:val="auto"/>
        </w:rPr>
        <w:t>In this Article 122: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122.3.1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Associated Company</w:t>
      </w:r>
      <w:r>
        <w:rPr>
          <w:rFonts w:ascii="Times New Roman" w:cs="Times New Roman" w:eastAsia="Times New Roman" w:hAnsi="Times New Roman"/>
          <w:sz w:val="19"/>
          <w:szCs w:val="19"/>
          <w:color w:val="auto"/>
        </w:rPr>
        <w:t>” shall have the same meaning as in Section 256 of the Companies Act 2006; and</w:t>
      </w:r>
    </w:p>
    <w:p>
      <w:pPr>
        <w:spacing w:after="0" w:line="241" w:lineRule="exact"/>
        <w:rPr>
          <w:sz w:val="20"/>
          <w:szCs w:val="20"/>
          <w:color w:val="auto"/>
        </w:rPr>
      </w:pPr>
    </w:p>
    <w:p>
      <w:pPr>
        <w:jc w:val="both"/>
        <w:ind w:left="1300" w:hanging="647"/>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122.3.2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Officer</w:t>
      </w:r>
      <w:r>
        <w:rPr>
          <w:rFonts w:ascii="Times New Roman" w:cs="Times New Roman" w:eastAsia="Times New Roman" w:hAnsi="Times New Roman"/>
          <w:sz w:val="19"/>
          <w:szCs w:val="19"/>
          <w:color w:val="auto"/>
        </w:rPr>
        <w:t>” means a Director or other officer or former Director or other officer of the Company or of an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Company of the Company, but excluding in each case any person engaged by the Company (or Associated Company) as auditor (whether or not he is also a Director or other officer), to the extent he acts in his capacity as auditor.</w:t>
      </w:r>
    </w:p>
    <w:p>
      <w:pPr>
        <w:spacing w:after="0" w:line="3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20"/>
          <w:szCs w:val="20"/>
          <w:b w:val="1"/>
          <w:bCs w:val="1"/>
          <w:color w:val="auto"/>
        </w:rPr>
        <w:t>Insurance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123.1</w:t>
      </w:r>
      <w:r>
        <w:rPr>
          <w:sz w:val="20"/>
          <w:szCs w:val="20"/>
          <w:color w:val="auto"/>
        </w:rPr>
        <w:tab/>
      </w:r>
      <w:r>
        <w:rPr>
          <w:rFonts w:ascii="Times New Roman" w:cs="Times New Roman" w:eastAsia="Times New Roman" w:hAnsi="Times New Roman"/>
          <w:sz w:val="19"/>
          <w:szCs w:val="19"/>
          <w:color w:val="auto"/>
        </w:rPr>
        <w:t>Without prejudice to Article 122, the Directors shall have power to purchase and maintain insurance for or for the benefit 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123.1.1 </w:t>
      </w:r>
      <w:r>
        <w:rPr>
          <w:rFonts w:ascii="Times New Roman" w:cs="Times New Roman" w:eastAsia="Times New Roman" w:hAnsi="Times New Roman"/>
          <w:sz w:val="19"/>
          <w:szCs w:val="19"/>
          <w:color w:val="auto"/>
        </w:rPr>
        <w:t>any person who is or was at any time a Director or Secretary of any Relevant Company (as defined in Article 123.2); or</w:t>
      </w:r>
    </w:p>
    <w:p>
      <w:pPr>
        <w:spacing w:after="0" w:line="227" w:lineRule="exact"/>
        <w:rPr>
          <w:sz w:val="20"/>
          <w:szCs w:val="20"/>
          <w:color w:val="auto"/>
        </w:rPr>
      </w:pPr>
    </w:p>
    <w:p>
      <w:pPr>
        <w:jc w:val="both"/>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123.1.2 </w:t>
      </w:r>
      <w:r>
        <w:rPr>
          <w:rFonts w:ascii="Times New Roman" w:cs="Times New Roman" w:eastAsia="Times New Roman" w:hAnsi="Times New Roman"/>
          <w:sz w:val="19"/>
          <w:szCs w:val="19"/>
          <w:color w:val="auto"/>
        </w:rPr>
        <w:t>any person who is or was at any time a trustee of any pension fund or employees’ share scheme in which employees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Relevant Company are interested,</w:t>
      </w:r>
    </w:p>
    <w:p>
      <w:pPr>
        <w:spacing w:after="0" w:line="12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including insurance against any liability (including all costs, charges, losses and expenses in relation to such liability) incurred by or attaching to him in relation to his duties, powers or offices in relation to any Relevant Company, or any such pension fund or employees’ share scheme.</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123.2</w:t>
      </w:r>
      <w:r>
        <w:rPr>
          <w:sz w:val="20"/>
          <w:szCs w:val="20"/>
          <w:color w:val="auto"/>
        </w:rPr>
        <w:tab/>
      </w:r>
      <w:r>
        <w:rPr>
          <w:rFonts w:ascii="Times New Roman" w:cs="Times New Roman" w:eastAsia="Times New Roman" w:hAnsi="Times New Roman"/>
          <w:sz w:val="19"/>
          <w:szCs w:val="19"/>
          <w:color w:val="auto"/>
        </w:rPr>
        <w:t>For the purpose of Article 123.1, “</w:t>
      </w:r>
      <w:r>
        <w:rPr>
          <w:rFonts w:ascii="Times New Roman" w:cs="Times New Roman" w:eastAsia="Times New Roman" w:hAnsi="Times New Roman"/>
          <w:sz w:val="19"/>
          <w:szCs w:val="19"/>
          <w:b w:val="1"/>
          <w:bCs w:val="1"/>
          <w:color w:val="auto"/>
        </w:rPr>
        <w:t>Relevant Company</w:t>
      </w:r>
      <w:r>
        <w:rPr>
          <w:rFonts w:ascii="Times New Roman" w:cs="Times New Roman" w:eastAsia="Times New Roman" w:hAnsi="Times New Roman"/>
          <w:sz w:val="19"/>
          <w:szCs w:val="19"/>
          <w:color w:val="auto"/>
        </w:rPr>
        <w:t>” shall mean: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123.2.1 </w:t>
      </w:r>
      <w:r>
        <w:rPr>
          <w:rFonts w:ascii="Times New Roman" w:cs="Times New Roman" w:eastAsia="Times New Roman" w:hAnsi="Times New Roman"/>
          <w:sz w:val="19"/>
          <w:szCs w:val="19"/>
          <w:color w:val="auto"/>
        </w:rPr>
        <w:t>the Company;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123.2.2 </w:t>
      </w:r>
      <w:r>
        <w:rPr>
          <w:rFonts w:ascii="Times New Roman" w:cs="Times New Roman" w:eastAsia="Times New Roman" w:hAnsi="Times New Roman"/>
          <w:sz w:val="19"/>
          <w:szCs w:val="19"/>
          <w:color w:val="auto"/>
        </w:rPr>
        <w:t>any holding company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258" w:name="page259"/>
    <w:bookmarkEnd w:id="258"/>
    <w:p>
      <w:pPr>
        <w:jc w:val="both"/>
        <w:ind w:left="1300" w:hanging="64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123.2.3 </w:t>
      </w:r>
      <w:r>
        <w:rPr>
          <w:rFonts w:ascii="Times New Roman" w:cs="Times New Roman" w:eastAsia="Times New Roman" w:hAnsi="Times New Roman"/>
          <w:sz w:val="19"/>
          <w:szCs w:val="19"/>
          <w:color w:val="auto"/>
        </w:rPr>
        <w:t>any other body, whether or not incorporated, in which the Company or such holding company or any of the predecessors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the Company or of such holding company has or had any interest whether direct or indirect or which is in any way allied to or associated with the Company; or</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123.2.4 </w:t>
      </w:r>
      <w:r>
        <w:rPr>
          <w:rFonts w:ascii="Times New Roman" w:cs="Times New Roman" w:eastAsia="Times New Roman" w:hAnsi="Times New Roman"/>
          <w:sz w:val="19"/>
          <w:szCs w:val="19"/>
          <w:color w:val="auto"/>
        </w:rPr>
        <w:t>any subsidiary of the Company or a subsidiary of such other body.</w:t>
      </w:r>
    </w:p>
    <w:p>
      <w:pPr>
        <w:spacing w:after="0" w:line="200" w:lineRule="exact"/>
        <w:rPr>
          <w:sz w:val="20"/>
          <w:szCs w:val="20"/>
          <w:color w:val="auto"/>
        </w:rPr>
      </w:pPr>
    </w:p>
    <w:p>
      <w:pPr>
        <w:spacing w:after="0" w:line="2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124</w:t>
      </w:r>
      <w:r>
        <w:rPr>
          <w:sz w:val="20"/>
          <w:szCs w:val="20"/>
          <w:color w:val="auto"/>
        </w:rPr>
        <w:tab/>
      </w:r>
      <w:r>
        <w:rPr>
          <w:rFonts w:ascii="Times New Roman" w:cs="Times New Roman" w:eastAsia="Times New Roman" w:hAnsi="Times New Roman"/>
          <w:sz w:val="20"/>
          <w:szCs w:val="20"/>
          <w:b w:val="1"/>
          <w:bCs w:val="1"/>
          <w:color w:val="auto"/>
        </w:rPr>
        <w:t>Defence expenditure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124.1</w:t>
      </w:r>
      <w:r>
        <w:rPr>
          <w:sz w:val="20"/>
          <w:szCs w:val="20"/>
          <w:color w:val="auto"/>
        </w:rPr>
        <w:tab/>
      </w:r>
      <w:r>
        <w:rPr>
          <w:rFonts w:ascii="Times New Roman" w:cs="Times New Roman" w:eastAsia="Times New Roman" w:hAnsi="Times New Roman"/>
          <w:sz w:val="19"/>
          <w:szCs w:val="19"/>
          <w:color w:val="auto"/>
        </w:rPr>
        <w:t>So far as may be permitted by the Legislation, the Company may: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124.1.1 </w:t>
      </w:r>
      <w:r>
        <w:rPr>
          <w:rFonts w:ascii="Times New Roman" w:cs="Times New Roman" w:eastAsia="Times New Roman" w:hAnsi="Times New Roman"/>
          <w:sz w:val="19"/>
          <w:szCs w:val="19"/>
          <w:color w:val="auto"/>
        </w:rPr>
        <w:t>provide a Relevant Officer with funds to meet expenditure incurred or to be incurred by him:</w:t>
      </w:r>
    </w:p>
    <w:p>
      <w:pPr>
        <w:spacing w:after="0" w:line="227" w:lineRule="exact"/>
        <w:rPr>
          <w:sz w:val="20"/>
          <w:szCs w:val="20"/>
          <w:color w:val="auto"/>
        </w:rPr>
      </w:pPr>
    </w:p>
    <w:p>
      <w:pPr>
        <w:ind w:left="1960" w:right="20" w:hanging="656"/>
        <w:spacing w:after="0" w:line="283" w:lineRule="auto"/>
        <w:tabs>
          <w:tab w:leader="none" w:pos="195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defending any criminal or civil proceedings in connection with any negligence, default, breach of duty or breach of trust by him in relation to the Company or an Associated Company of the Company; or</w:t>
      </w:r>
    </w:p>
    <w:p>
      <w:pPr>
        <w:spacing w:after="0" w:line="146"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95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application for relief under the provisions mentioned in Section 205(5) of the Companies Act 2006; and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124.1.2 </w:t>
      </w:r>
      <w:r>
        <w:rPr>
          <w:rFonts w:ascii="Times New Roman" w:cs="Times New Roman" w:eastAsia="Times New Roman" w:hAnsi="Times New Roman"/>
          <w:sz w:val="19"/>
          <w:szCs w:val="19"/>
          <w:color w:val="auto"/>
        </w:rPr>
        <w:t>do anything to enable any such Relevant Officer to avoid incurring such expenditure.</w:t>
      </w:r>
    </w:p>
    <w:p>
      <w:pPr>
        <w:spacing w:after="0" w:line="200" w:lineRule="exact"/>
        <w:rPr>
          <w:sz w:val="20"/>
          <w:szCs w:val="20"/>
          <w:color w:val="auto"/>
        </w:rPr>
      </w:pPr>
    </w:p>
    <w:p>
      <w:pPr>
        <w:spacing w:after="0" w:line="2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125</w:t>
      </w:r>
      <w:r>
        <w:rPr>
          <w:sz w:val="20"/>
          <w:szCs w:val="20"/>
          <w:color w:val="auto"/>
        </w:rPr>
        <w:tab/>
      </w:r>
      <w:r>
        <w:rPr>
          <w:rFonts w:ascii="Times New Roman" w:cs="Times New Roman" w:eastAsia="Times New Roman" w:hAnsi="Times New Roman"/>
          <w:sz w:val="20"/>
          <w:szCs w:val="20"/>
          <w:b w:val="1"/>
          <w:bCs w:val="1"/>
          <w:color w:val="auto"/>
        </w:rPr>
        <w:t>Approved Depositaries</w:t>
      </w:r>
    </w:p>
    <w:p>
      <w:pPr>
        <w:spacing w:after="0" w:line="22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125.1</w:t>
      </w:r>
      <w:r>
        <w:rPr>
          <w:sz w:val="20"/>
          <w:szCs w:val="20"/>
          <w:color w:val="auto"/>
        </w:rPr>
        <w:tab/>
      </w:r>
      <w:r>
        <w:rPr>
          <w:rFonts w:ascii="Times New Roman" w:cs="Times New Roman" w:eastAsia="Times New Roman" w:hAnsi="Times New Roman"/>
          <w:sz w:val="20"/>
          <w:szCs w:val="20"/>
          <w:color w:val="auto"/>
        </w:rPr>
        <w:t>An Approved Depositary shall maintain a register or system(s) (the “</w:t>
      </w:r>
      <w:r>
        <w:rPr>
          <w:rFonts w:ascii="Times New Roman" w:cs="Times New Roman" w:eastAsia="Times New Roman" w:hAnsi="Times New Roman"/>
          <w:sz w:val="20"/>
          <w:szCs w:val="20"/>
          <w:b w:val="1"/>
          <w:bCs w:val="1"/>
          <w:color w:val="auto"/>
        </w:rPr>
        <w:t>Proxy Register</w:t>
      </w:r>
      <w:r>
        <w:rPr>
          <w:rFonts w:ascii="Times New Roman" w:cs="Times New Roman" w:eastAsia="Times New Roman" w:hAnsi="Times New Roman"/>
          <w:sz w:val="20"/>
          <w:szCs w:val="20"/>
          <w:color w:val="auto"/>
        </w:rPr>
        <w:t>”) in which shall be recorded the aggregate number of ordinary shares which for the time being are registered in the name of the Approved Depositary or its Nominee (the “</w:t>
      </w:r>
      <w:r>
        <w:rPr>
          <w:rFonts w:ascii="Times New Roman" w:cs="Times New Roman" w:eastAsia="Times New Roman" w:hAnsi="Times New Roman"/>
          <w:sz w:val="20"/>
          <w:szCs w:val="20"/>
          <w:b w:val="1"/>
          <w:bCs w:val="1"/>
          <w:color w:val="auto"/>
        </w:rPr>
        <w:t>Depositary Shares</w:t>
      </w:r>
      <w:r>
        <w:rPr>
          <w:rFonts w:ascii="Times New Roman" w:cs="Times New Roman" w:eastAsia="Times New Roman" w:hAnsi="Times New Roman"/>
          <w:sz w:val="20"/>
          <w:szCs w:val="20"/>
          <w:color w:val="auto"/>
        </w:rPr>
        <w:t>”) as well as the name and address of each person who is for the time being appointed as an Appointed Proxy pursuant to Article 125.2 below and, against his name and address, the number of Depositary Shares in respect of which that Appointed Proxy’s appointment for the time being subsists (his “</w:t>
      </w:r>
      <w:r>
        <w:rPr>
          <w:rFonts w:ascii="Times New Roman" w:cs="Times New Roman" w:eastAsia="Times New Roman" w:hAnsi="Times New Roman"/>
          <w:sz w:val="20"/>
          <w:szCs w:val="20"/>
          <w:b w:val="1"/>
          <w:bCs w:val="1"/>
          <w:color w:val="auto"/>
        </w:rPr>
        <w:t>Appointed Number</w:t>
      </w:r>
      <w:r>
        <w:rPr>
          <w:rFonts w:ascii="Times New Roman" w:cs="Times New Roman" w:eastAsia="Times New Roman" w:hAnsi="Times New Roman"/>
          <w:sz w:val="20"/>
          <w:szCs w:val="20"/>
          <w:color w:val="auto"/>
        </w:rPr>
        <w:t>”). The Proxy Register shall be open to inspection by any person authorised by the Company during usual business hours and the Approved Depositary shall furnish to the Company or its agents upon demand all such information as to the contents of the Proxy Register, or any part of it, as may be requested.</w:t>
      </w:r>
    </w:p>
    <w:p>
      <w:pPr>
        <w:spacing w:after="0" w:line="17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125.2</w:t>
      </w:r>
      <w:r>
        <w:rPr>
          <w:sz w:val="20"/>
          <w:szCs w:val="20"/>
          <w:color w:val="auto"/>
        </w:rPr>
        <w:tab/>
      </w:r>
      <w:r>
        <w:rPr>
          <w:rFonts w:ascii="Times New Roman" w:cs="Times New Roman" w:eastAsia="Times New Roman" w:hAnsi="Times New Roman"/>
          <w:sz w:val="20"/>
          <w:szCs w:val="20"/>
          <w:color w:val="auto"/>
        </w:rPr>
        <w:t>Without prejudice to the right of an Approved Depositary or its Nominee to exercise any rights conferred in these Articles, an Approved Depositary or its Nominee may appoint as its proxy or proxies such person or persons as it thinks fit (each such person being an “</w:t>
      </w:r>
      <w:r>
        <w:rPr>
          <w:rFonts w:ascii="Times New Roman" w:cs="Times New Roman" w:eastAsia="Times New Roman" w:hAnsi="Times New Roman"/>
          <w:sz w:val="20"/>
          <w:szCs w:val="20"/>
          <w:b w:val="1"/>
          <w:bCs w:val="1"/>
          <w:color w:val="auto"/>
        </w:rPr>
        <w:t>Appointed Proxy</w:t>
      </w:r>
      <w:r>
        <w:rPr>
          <w:rFonts w:ascii="Times New Roman" w:cs="Times New Roman" w:eastAsia="Times New Roman" w:hAnsi="Times New Roman"/>
          <w:sz w:val="20"/>
          <w:szCs w:val="20"/>
          <w:color w:val="auto"/>
        </w:rPr>
        <w:t>”) and may determine the method by which and the terms upon which, such appointments are made, save that each such appointment shall specify the Appointed Number in respect of which that appointment is made and the aggregate Appointed Numbers of all the Appointed Proxies subsisting at any one time shall not exceed the aggregate number of Depositary Shares.</w:t>
      </w:r>
    </w:p>
    <w:p>
      <w:pPr>
        <w:spacing w:after="0" w:line="19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125.3</w:t>
      </w:r>
      <w:r>
        <w:rPr>
          <w:sz w:val="20"/>
          <w:szCs w:val="20"/>
          <w:color w:val="auto"/>
        </w:rPr>
        <w:tab/>
      </w:r>
      <w:r>
        <w:rPr>
          <w:rFonts w:ascii="Times New Roman" w:cs="Times New Roman" w:eastAsia="Times New Roman" w:hAnsi="Times New Roman"/>
          <w:sz w:val="20"/>
          <w:szCs w:val="20"/>
          <w:color w:val="auto"/>
        </w:rPr>
        <w:t>Subject to the provisions of the Legislation and subject to the provisions of these Articles, and so long as the Depositary Shares shall be of a sufficient number so as to include his Appointed Number, an Appointed Proxy:</w:t>
      </w:r>
    </w:p>
    <w:p>
      <w:pPr>
        <w:spacing w:after="0" w:line="150" w:lineRule="exact"/>
        <w:rPr>
          <w:sz w:val="20"/>
          <w:szCs w:val="20"/>
          <w:color w:val="auto"/>
        </w:rPr>
      </w:pPr>
    </w:p>
    <w:p>
      <w:pPr>
        <w:ind w:left="1300" w:right="2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125.3.1 </w:t>
      </w:r>
      <w:r>
        <w:rPr>
          <w:rFonts w:ascii="Times New Roman" w:cs="Times New Roman" w:eastAsia="Times New Roman" w:hAnsi="Times New Roman"/>
          <w:sz w:val="19"/>
          <w:szCs w:val="19"/>
          <w:color w:val="auto"/>
        </w:rPr>
        <w:t>shall upon production to the Company at a General Meeting of written evidence of his appointment (which shall be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form as the Company and the Approved Depositary shall determine from time to time) be entitled to the same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259" w:name="page260"/>
    <w:bookmarkEnd w:id="259"/>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(including, without limitation, those rights contained in Articles 54.1 and 61), and subject to the same restrictions, in relation to his Appointed Number as though the ordinary shares represented by the Appointed Number were registered in the name of the Approved Depositary (or its Nominee) and the Appointed Proxy was a person validly appointed as proxy by the Approved Depositary (or its Nominee) in accordance with Articles 59 and 60; and</w:t>
      </w:r>
    </w:p>
    <w:p>
      <w:pPr>
        <w:spacing w:after="0" w:line="172" w:lineRule="exact"/>
        <w:rPr>
          <w:sz w:val="20"/>
          <w:szCs w:val="20"/>
          <w:color w:val="auto"/>
        </w:rPr>
      </w:pPr>
    </w:p>
    <w:p>
      <w:pPr>
        <w:jc w:val="both"/>
        <w:ind w:left="1300" w:hanging="647"/>
        <w:spacing w:after="0" w:line="274" w:lineRule="auto"/>
        <w:rPr>
          <w:sz w:val="20"/>
          <w:szCs w:val="20"/>
          <w:color w:val="auto"/>
        </w:rPr>
      </w:pPr>
      <w:r>
        <w:rPr>
          <w:rFonts w:ascii="Times New Roman" w:cs="Times New Roman" w:eastAsia="Times New Roman" w:hAnsi="Times New Roman"/>
          <w:sz w:val="18"/>
          <w:szCs w:val="18"/>
          <w:b w:val="1"/>
          <w:bCs w:val="1"/>
          <w:color w:val="auto"/>
        </w:rPr>
        <w:t xml:space="preserve">125.3.2 </w:t>
      </w:r>
      <w:r>
        <w:rPr>
          <w:rFonts w:ascii="Times New Roman" w:cs="Times New Roman" w:eastAsia="Times New Roman" w:hAnsi="Times New Roman"/>
          <w:sz w:val="19"/>
          <w:szCs w:val="19"/>
          <w:color w:val="auto"/>
        </w:rPr>
        <w:t>shall himself be entitled, by an instrument of proxy duly signed by him pursuant to Article 59.1 and deposited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Company in accordance with Article 60.1, to appoint another person as his proxy in relation to his Appointed Number so that the provisions of these Articles shall apply (mutatis mutandis) in relation to such an appointment as though the ordinary shares represented by the Appointed Number were registered in the name of the Appointed Proxy and the appointment by the Appointed Proxy was made in accordance with Articles 59 and 60.</w:t>
      </w:r>
    </w:p>
    <w:p>
      <w:pPr>
        <w:spacing w:after="0" w:line="153"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125.4</w:t>
      </w:r>
      <w:r>
        <w:rPr>
          <w:sz w:val="20"/>
          <w:szCs w:val="20"/>
          <w:color w:val="auto"/>
        </w:rPr>
        <w:tab/>
      </w:r>
      <w:r>
        <w:rPr>
          <w:rFonts w:ascii="Times New Roman" w:cs="Times New Roman" w:eastAsia="Times New Roman" w:hAnsi="Times New Roman"/>
          <w:sz w:val="20"/>
          <w:szCs w:val="20"/>
          <w:color w:val="auto"/>
        </w:rPr>
        <w:t>The Company may send an Appointed Proxy at his address as is shown in the Proxy Register all notices and other documents which are sent to the holders of ordinary shares.</w:t>
      </w:r>
    </w:p>
    <w:p>
      <w:pPr>
        <w:spacing w:after="0" w:line="16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125.5</w:t>
      </w:r>
      <w:r>
        <w:rPr>
          <w:sz w:val="20"/>
          <w:szCs w:val="20"/>
          <w:color w:val="auto"/>
        </w:rPr>
        <w:tab/>
      </w:r>
      <w:r>
        <w:rPr>
          <w:rFonts w:ascii="Times New Roman" w:cs="Times New Roman" w:eastAsia="Times New Roman" w:hAnsi="Times New Roman"/>
          <w:sz w:val="20"/>
          <w:szCs w:val="20"/>
          <w:color w:val="auto"/>
        </w:rPr>
        <w:t>The Company may pay to an Appointed Proxy at his address as shown in the Proxy Register all dividends payable on the ordinary shares in respect of which he has been appointed as Appointed Proxy, and payment of any such dividend shall be a good discharge to the Company of its obligation to make payment to the Approved Depositary or its Nominee in respect of the ordinary shares concerned.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125.6</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125.6.1 </w:t>
      </w:r>
      <w:r>
        <w:rPr>
          <w:rFonts w:ascii="Times New Roman" w:cs="Times New Roman" w:eastAsia="Times New Roman" w:hAnsi="Times New Roman"/>
          <w:sz w:val="19"/>
          <w:szCs w:val="19"/>
          <w:color w:val="auto"/>
        </w:rPr>
        <w:t>For the purposes of determining which persons are entitled as Appointed Proxies:</w:t>
      </w:r>
    </w:p>
    <w:p>
      <w:pPr>
        <w:spacing w:after="0" w:line="227" w:lineRule="exact"/>
        <w:rPr>
          <w:sz w:val="20"/>
          <w:szCs w:val="20"/>
          <w:color w:val="auto"/>
        </w:rPr>
      </w:pPr>
    </w:p>
    <w:p>
      <w:pPr>
        <w:ind w:left="1940" w:hanging="636"/>
        <w:spacing w:after="0"/>
        <w:tabs>
          <w:tab w:leader="none" w:pos="19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exercise the rights conferred by Article 125.3;</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documents sent pursuant to Article 125.4;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paid dividends pursuant to Article 125.5,</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and each Appointed Proxy’s Appointed Number, the Approved Depositary may determine that the Appointed Proxies who are so entitled shall be the persons entered in the Proxy Register at the close of business on a date (a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determined by the Approved Depositary in consultation with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125.6.2 </w:t>
      </w:r>
      <w:r>
        <w:rPr>
          <w:rFonts w:ascii="Times New Roman" w:cs="Times New Roman" w:eastAsia="Times New Roman" w:hAnsi="Times New Roman"/>
          <w:sz w:val="19"/>
          <w:szCs w:val="19"/>
          <w:color w:val="auto"/>
        </w:rPr>
        <w:t>When a Record Date is determined for a particular purpose:</w:t>
      </w:r>
    </w:p>
    <w:p>
      <w:pPr>
        <w:spacing w:after="0" w:line="227" w:lineRule="exact"/>
        <w:rPr>
          <w:sz w:val="20"/>
          <w:szCs w:val="20"/>
          <w:color w:val="auto"/>
        </w:rPr>
      </w:pPr>
    </w:p>
    <w:p>
      <w:pPr>
        <w:jc w:val="both"/>
        <w:ind w:left="1960" w:hanging="656"/>
        <w:spacing w:after="0" w:line="261" w:lineRule="auto"/>
        <w:tabs>
          <w:tab w:leader="none" w:pos="195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Depositary Shares in respect of which a person entered in the Proxy Register as an Appointed Proxy is to be treated as having been appointed for that purpose shall be the number appearing against his name in the Proxy Register as at the close of business on the Record Date; and</w:t>
      </w:r>
    </w:p>
    <w:p>
      <w:pPr>
        <w:spacing w:after="0" w:line="181" w:lineRule="exact"/>
        <w:rPr>
          <w:rFonts w:ascii="Times New Roman" w:cs="Times New Roman" w:eastAsia="Times New Roman" w:hAnsi="Times New Roman"/>
          <w:sz w:val="20"/>
          <w:szCs w:val="20"/>
          <w:color w:val="auto"/>
        </w:rPr>
      </w:pPr>
    </w:p>
    <w:p>
      <w:pPr>
        <w:ind w:left="1960" w:hanging="656"/>
        <w:spacing w:after="0" w:line="283" w:lineRule="auto"/>
        <w:tabs>
          <w:tab w:leader="none" w:pos="195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entries in the Proxy Register after the close of business on the Record Date shall be disregarded in determining the entitlement of any person for the purpose concerned.</w:t>
      </w:r>
    </w:p>
    <w:p>
      <w:pPr>
        <w:spacing w:after="0" w:line="14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125.7</w:t>
      </w:r>
      <w:r>
        <w:rPr>
          <w:sz w:val="20"/>
          <w:szCs w:val="20"/>
          <w:color w:val="auto"/>
        </w:rPr>
        <w:tab/>
      </w:r>
      <w:r>
        <w:rPr>
          <w:rFonts w:ascii="Times New Roman" w:cs="Times New Roman" w:eastAsia="Times New Roman" w:hAnsi="Times New Roman"/>
          <w:sz w:val="20"/>
          <w:szCs w:val="20"/>
          <w:color w:val="auto"/>
        </w:rPr>
        <w:t>Except as required by law, no Appointed Proxy shall be recognised by the Company as holding any interest in shares upon any trust and, subject to the recognition of the rights conferred in relation to General Meetings by appointments made by Appointed Proxies pursuant to Article 125.3.2, the Company shall be entitled to treat any person entered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260" w:name="page261"/>
    <w:bookmarkEnd w:id="260"/>
    <w:p>
      <w:pPr>
        <w:ind w:left="660"/>
        <w:spacing w:after="0" w:line="283" w:lineRule="auto"/>
        <w:rPr>
          <w:sz w:val="20"/>
          <w:szCs w:val="20"/>
          <w:color w:val="auto"/>
        </w:rPr>
      </w:pPr>
      <w:r>
        <w:rPr>
          <w:rFonts w:ascii="Times New Roman" w:cs="Times New Roman" w:eastAsia="Times New Roman" w:hAnsi="Times New Roman"/>
          <w:sz w:val="20"/>
          <w:szCs w:val="20"/>
          <w:color w:val="auto"/>
        </w:rPr>
        <w:t>Proxy Register as an Appointed Proxy as the only person (other than the Approved Depositary) who has any interest in the ordinary shares in respect of which the Appointed Proxy has been appointed.</w:t>
      </w:r>
    </w:p>
    <w:p>
      <w:pPr>
        <w:spacing w:after="0" w:line="14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125.8</w:t>
      </w:r>
      <w:r>
        <w:rPr>
          <w:sz w:val="20"/>
          <w:szCs w:val="20"/>
          <w:color w:val="auto"/>
        </w:rPr>
        <w:tab/>
      </w:r>
      <w:r>
        <w:rPr>
          <w:rFonts w:ascii="Times New Roman" w:cs="Times New Roman" w:eastAsia="Times New Roman" w:hAnsi="Times New Roman"/>
          <w:sz w:val="20"/>
          <w:szCs w:val="20"/>
          <w:color w:val="auto"/>
        </w:rPr>
        <w:t>If any question shall arise as to whether any particular person or persons has or have been validly appointed to vote (or exercise any other right) in respect of any Depositary Shares (whether by reason of the aggregate number of shares in respect of which appointments are recorded in the Proxy Register exceeding the aggregate number of Depositary Shares or for any other reason) such question shall if arising at or in relation to a General Meeting be determined by the chair of the meeting (and if arising in any other circumstances shall be determined by the Directors) whose determination (which may include declining to recognise a particular appointment or appointments as valid) shall if made in good faith be conclusive and binding on all persons interested.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Exclusive Jurisdiction</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126</w:t>
      </w:r>
      <w:r>
        <w:rPr>
          <w:sz w:val="20"/>
          <w:szCs w:val="20"/>
          <w:color w:val="auto"/>
        </w:rPr>
        <w:tab/>
      </w:r>
      <w:r>
        <w:rPr>
          <w:rFonts w:ascii="Times New Roman" w:cs="Times New Roman" w:eastAsia="Times New Roman" w:hAnsi="Times New Roman"/>
          <w:sz w:val="20"/>
          <w:szCs w:val="20"/>
          <w:b w:val="1"/>
          <w:bCs w:val="1"/>
          <w:color w:val="auto"/>
        </w:rPr>
        <w:t>Exclusive jurisdiction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126.1</w:t>
      </w:r>
      <w:r>
        <w:rPr>
          <w:sz w:val="20"/>
          <w:szCs w:val="20"/>
          <w:color w:val="auto"/>
        </w:rPr>
        <w:tab/>
      </w:r>
      <w:r>
        <w:rPr>
          <w:rFonts w:ascii="Times New Roman" w:cs="Times New Roman" w:eastAsia="Times New Roman" w:hAnsi="Times New Roman"/>
          <w:sz w:val="20"/>
          <w:szCs w:val="20"/>
          <w:color w:val="auto"/>
        </w:rPr>
        <w:t>Save in respect of any cause of action arising under the Securities Act or the Exchange Act, unless the Company by ordinary resolution consents to the selection of an alternative forum, the courts of England and Wales shall be the exclusive forum for the resolution 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126.1.1 </w:t>
      </w:r>
      <w:r>
        <w:rPr>
          <w:rFonts w:ascii="Times New Roman" w:cs="Times New Roman" w:eastAsia="Times New Roman" w:hAnsi="Times New Roman"/>
          <w:sz w:val="19"/>
          <w:szCs w:val="19"/>
          <w:color w:val="auto"/>
        </w:rPr>
        <w:t>any derivative action or proceeding brought on behalf of the Company;</w:t>
      </w:r>
    </w:p>
    <w:p>
      <w:pPr>
        <w:spacing w:after="0" w:line="227" w:lineRule="exact"/>
        <w:rPr>
          <w:sz w:val="20"/>
          <w:szCs w:val="20"/>
          <w:color w:val="auto"/>
        </w:rPr>
      </w:pPr>
    </w:p>
    <w:p>
      <w:pPr>
        <w:ind w:left="1300" w:hanging="647"/>
        <w:spacing w:after="0" w:line="310" w:lineRule="auto"/>
        <w:rPr>
          <w:sz w:val="20"/>
          <w:szCs w:val="20"/>
          <w:color w:val="auto"/>
        </w:rPr>
      </w:pPr>
      <w:r>
        <w:rPr>
          <w:rFonts w:ascii="Times New Roman" w:cs="Times New Roman" w:eastAsia="Times New Roman" w:hAnsi="Times New Roman"/>
          <w:sz w:val="18"/>
          <w:szCs w:val="18"/>
          <w:b w:val="1"/>
          <w:bCs w:val="1"/>
          <w:color w:val="auto"/>
        </w:rPr>
        <w:t xml:space="preserve">126.1.2 </w:t>
      </w:r>
      <w:r>
        <w:rPr>
          <w:rFonts w:ascii="Times New Roman" w:cs="Times New Roman" w:eastAsia="Times New Roman" w:hAnsi="Times New Roman"/>
          <w:sz w:val="19"/>
          <w:szCs w:val="19"/>
          <w:color w:val="auto"/>
        </w:rPr>
        <w:t>any action or proceeding asserting a claim of breach of fiduciary duty owed by any director, officer or other employee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Company;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126.1.3 </w:t>
      </w:r>
      <w:r>
        <w:rPr>
          <w:rFonts w:ascii="Times New Roman" w:cs="Times New Roman" w:eastAsia="Times New Roman" w:hAnsi="Times New Roman"/>
          <w:sz w:val="19"/>
          <w:szCs w:val="19"/>
          <w:color w:val="auto"/>
        </w:rPr>
        <w:t>any action or proceeding asserting a claim arising out of any provision of the Companies Acts or these Articles; 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126.1.4 </w:t>
      </w:r>
      <w:r>
        <w:rPr>
          <w:rFonts w:ascii="Times New Roman" w:cs="Times New Roman" w:eastAsia="Times New Roman" w:hAnsi="Times New Roman"/>
          <w:sz w:val="19"/>
          <w:szCs w:val="19"/>
          <w:color w:val="auto"/>
        </w:rPr>
        <w:t>any action of proceeding asserting a claim or otherwise related to the affairs of the Company.</w:t>
      </w:r>
    </w:p>
    <w:p>
      <w:pPr>
        <w:spacing w:after="0" w:line="23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126.2</w:t>
      </w:r>
      <w:r>
        <w:rPr>
          <w:sz w:val="20"/>
          <w:szCs w:val="20"/>
          <w:color w:val="auto"/>
        </w:rPr>
        <w:tab/>
      </w:r>
      <w:r>
        <w:rPr>
          <w:rFonts w:ascii="Times New Roman" w:cs="Times New Roman" w:eastAsia="Times New Roman" w:hAnsi="Times New Roman"/>
          <w:sz w:val="20"/>
          <w:szCs w:val="20"/>
          <w:color w:val="auto"/>
        </w:rPr>
        <w:t>Unless the Company by ordinary resolution consents to the selection of an alternative forum in the United States, the United States District Court for the Northern District of California shall be the exclusive forum for the resolution of any complaint asserting a cause of action arising under the Securities Act or the Exchange Act.</w:t>
      </w:r>
    </w:p>
    <w:p>
      <w:pPr>
        <w:spacing w:after="0" w:line="168"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126.3</w:t>
      </w:r>
      <w:r>
        <w:rPr>
          <w:sz w:val="20"/>
          <w:szCs w:val="20"/>
          <w:color w:val="auto"/>
        </w:rPr>
        <w:tab/>
      </w:r>
      <w:r>
        <w:rPr>
          <w:rFonts w:ascii="Times New Roman" w:cs="Times New Roman" w:eastAsia="Times New Roman" w:hAnsi="Times New Roman"/>
          <w:sz w:val="20"/>
          <w:szCs w:val="20"/>
          <w:color w:val="auto"/>
        </w:rPr>
        <w:t>Any person or entity purchasing or otherwise acquiring any interest in the Company’s shares shall be deemed to have notice of and to have consented to the provisions of this Article 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Preliminary</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Default Articles not to apply</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Interpretation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3</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Liability of members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768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4</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Shares and special rights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5</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Directors’ powers to allot securities and to sell treasury shares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6</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Commissions on issue of shares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7</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Reduction of capital</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Fractions arising on consolidation or subdivision</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Capitalisation of profits and reserves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Only absolute interests recognised</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 Certificates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Issue of share certificates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share certificate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13</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Replacement of share certificates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14</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Consolidated and balance share certificates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not held in Certificated Form</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15</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Uncertificated shares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Calls on Shares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16</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Sums due on shares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17</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Power to differentiate between holders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18</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Calls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19</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Liability for calls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on overdue amounts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21</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 of calls in advance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Forfeiture and Lien</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22</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 on failure to pay a call</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23</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Forfeiture for non-compliance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24</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Disposal of forfeited shares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25</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Holder to remain liable despite forfeiture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26</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Lien on partly-paid shares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27</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 of shares subject to lien</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28</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Evidence of forfeiture</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24"/>
        </w:trPr>
        <w:tc>
          <w:tcPr>
            <w:tcW w:w="8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Variation of Rights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24"/>
        </w:trPr>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29</w:t>
            </w:r>
          </w:p>
        </w:tc>
        <w:tc>
          <w:tcPr>
            <w:tcW w:w="7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Manner of variation of rights</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14" w:right="339" w:bottom="913"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EU-460031.5</w:t>
      </w:r>
    </w:p>
    <w:p>
      <w:pPr>
        <w:sectPr>
          <w:pgSz w:w="11900" w:h="16838" w:orient="portrait"/>
          <w:cols w:equalWidth="0" w:num="1">
            <w:col w:w="11240"/>
          </w:cols>
          <w:pgMar w:left="320" w:top="114" w:right="339" w:bottom="913" w:gutter="0" w:footer="0" w:header="0"/>
          <w:type w:val="continuous"/>
        </w:sectPr>
      </w:pPr>
    </w:p>
    <w:bookmarkStart w:id="262" w:name="page263"/>
    <w:bookmarkEnd w:id="26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30</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Matters not constituting variation of rights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Transfer of Shares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31</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of transfer</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32</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 to refuse registration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33</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 fee on registration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34</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Branch register</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Transmission of Shares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35</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Persons entitled to shares on death</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36</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Election by persons entitled by transmission</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37</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Rights of persons entitled by transmission</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38</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Prior notices binding</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Untraced Shareholders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39</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Untraced shareholders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Meetings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40</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Annual General Meetings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41</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Convening of General Meetings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42</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Attendance and Participation by Electronic Facilities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 of General Meetings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43</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 of General Meetings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Proceedings at General Meetings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44</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Chair</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45</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Requirement for Quorum</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46</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Adjournment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47</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 of adjourned meeting</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48</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Amendments to resolutions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49</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Security arrangements and orderly conduct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50</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Satellite meeting places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Polls</w:t>
            </w:r>
          </w:p>
        </w:tc>
        <w:tc>
          <w:tcPr>
            <w:tcW w:w="738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51</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Method of voting</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52</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Procedure on a poll</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53</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Timing of poll</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Votes of Members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54</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Votes attaching to shares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55</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Votes of joint holders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56</w:t>
            </w:r>
          </w:p>
        </w:tc>
        <w:tc>
          <w:tcPr>
            <w:tcW w:w="7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Validity and result of vote</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bl>
    <w:p>
      <w:pPr>
        <w:spacing w:after="0" w:line="200" w:lineRule="exact"/>
        <w:rPr>
          <w:sz w:val="20"/>
          <w:szCs w:val="20"/>
          <w:color w:val="auto"/>
        </w:rPr>
      </w:pP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20"/>
          </w:cols>
          <w:pgMar w:left="340" w:top="114" w:right="339" w:bottom="1440" w:gutter="0" w:footer="0" w:header="0"/>
          <w:type w:val="continuous"/>
        </w:sectPr>
      </w:pPr>
    </w:p>
    <w:bookmarkStart w:id="263" w:name="page264"/>
    <w:bookmarkEnd w:id="26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Proxies and Corporate Representatives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57</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Appointment of proxies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58</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Multiple Proxies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59</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proxy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60</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Receipt of proxy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61</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Rights of proxy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62</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Termination of proxy’s authority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63</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Corporations acting by representatives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Default Shares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64</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Restriction on voting in particular circumstances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Directors</w:t>
            </w:r>
          </w:p>
        </w:tc>
        <w:tc>
          <w:tcPr>
            <w:tcW w:w="7040" w:type="dxa"/>
            <w:vAlign w:val="bottom"/>
          </w:tcPr>
          <w:p>
            <w:pPr>
              <w:spacing w:after="0"/>
              <w:rPr>
                <w:sz w:val="24"/>
                <w:szCs w:val="2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65</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Number of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66</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Share qualification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67</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fees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68</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remuneration of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69</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expenses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70</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Pensions and other benefits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71</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Appointment of executive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72</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Powers of executive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Appointment and Retirement of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73</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Election or appointment of additional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74</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Retirement at Annual General Meetings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75</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Re-election of retiring Director</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76</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Termination of office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77</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Removal of Director by resolution of Company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Meetings and Proceedings of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78</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Convening of meetings of Directors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79</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Quorum</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80</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Chair</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81</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 casting vote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82</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Number of Directors below minimum</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83</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written resolutions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84</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Validity of proceedings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Directors’ Interests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85</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Authorisation of Directors’ interests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8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86</w:t>
            </w:r>
          </w:p>
        </w:tc>
        <w:tc>
          <w:tcPr>
            <w:tcW w:w="70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Permitted Interests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bl>
    <w:p>
      <w:pPr>
        <w:spacing w:after="0" w:line="200" w:lineRule="exact"/>
        <w:rPr>
          <w:sz w:val="20"/>
          <w:szCs w:val="20"/>
          <w:color w:val="auto"/>
        </w:rPr>
      </w:pPr>
    </w:p>
    <w:p>
      <w:pPr>
        <w:sectPr>
          <w:pgSz w:w="11900" w:h="16838" w:orient="portrait"/>
          <w:cols w:equalWidth="0" w:num="1">
            <w:col w:w="11220"/>
          </w:cols>
          <w:pgMar w:left="340" w:top="114" w:right="339" w:bottom="9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20"/>
          </w:cols>
          <w:pgMar w:left="340" w:top="114" w:right="339" w:bottom="969" w:gutter="0" w:footer="0" w:header="0"/>
          <w:type w:val="continuous"/>
        </w:sectPr>
      </w:pPr>
    </w:p>
    <w:bookmarkStart w:id="264" w:name="page265"/>
    <w:bookmarkEnd w:id="26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87</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Restrictions on quorum and voting</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88</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Confidential information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89</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Directors’ interests - general</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Powers of Directors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90</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powers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91</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 for employees on cessation or transfer of business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92</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Bank mandates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93</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Borrowing powers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Delegation of Powers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94</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Appointment and constitution of committees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95</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Local boards and managers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96</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Appointment of attorney</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Alternate Directors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97</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Alternate Directors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Secretary</w:t>
            </w:r>
          </w:p>
        </w:tc>
        <w:tc>
          <w:tcPr>
            <w:tcW w:w="74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98</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Secretary</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The Seal</w:t>
            </w:r>
          </w:p>
        </w:tc>
        <w:tc>
          <w:tcPr>
            <w:tcW w:w="74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99</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 Seal</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Authentication of Documents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100</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Authentication of documents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w w:val="99"/>
              </w:rPr>
              <w:t>Dividends</w:t>
            </w:r>
          </w:p>
        </w:tc>
        <w:tc>
          <w:tcPr>
            <w:tcW w:w="74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Declaration of final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102</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Fixed and interim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103</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Distribution </w:t>
            </w:r>
            <w:r>
              <w:rPr>
                <w:rFonts w:ascii="Times New Roman" w:cs="Times New Roman" w:eastAsia="Times New Roman" w:hAnsi="Times New Roman"/>
                <w:sz w:val="20"/>
                <w:szCs w:val="20"/>
                <w:i w:val="1"/>
                <w:iCs w:val="1"/>
                <w:color w:val="auto"/>
              </w:rPr>
              <w:t>in specie</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104</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Ranking of shares for dividend</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105</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Manner of payment of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106</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Record date for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107</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 interest on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108</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Retention of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109</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Unclaimed dividend</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110</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of dividend</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Scrip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111</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Scrip dividends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Accounts</w:t>
            </w:r>
          </w:p>
        </w:tc>
        <w:tc>
          <w:tcPr>
            <w:tcW w:w="74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4"/>
        </w:trPr>
        <w:tc>
          <w:tcPr>
            <w:tcW w:w="8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112</w:t>
            </w:r>
          </w:p>
        </w:tc>
        <w:tc>
          <w:tcPr>
            <w:tcW w:w="7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records</w:t>
            </w: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bl>
    <w:p>
      <w:pPr>
        <w:spacing w:after="0" w:line="200" w:lineRule="exact"/>
        <w:rPr>
          <w:sz w:val="20"/>
          <w:szCs w:val="20"/>
          <w:color w:val="auto"/>
        </w:rPr>
      </w:pPr>
    </w:p>
    <w:p>
      <w:pPr>
        <w:sectPr>
          <w:pgSz w:w="11900" w:h="16838" w:orient="portrait"/>
          <w:cols w:equalWidth="0" w:num="1">
            <w:col w:w="11220"/>
          </w:cols>
          <w:pgMar w:left="3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20"/>
          </w:cols>
          <w:pgMar w:left="340" w:top="114" w:right="339" w:bottom="1440" w:gutter="0" w:footer="0" w:header="0"/>
          <w:type w:val="continuous"/>
        </w:sectPr>
      </w:pPr>
    </w:p>
    <w:bookmarkStart w:id="265" w:name="page266"/>
    <w:bookmarkEnd w:id="26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Communications with Members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113</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Service of notices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114</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Communication with joint holders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115</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Deceased and bankrupt members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116</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Failure to supply address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117</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Suspension of postal services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118</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Signature or authentication of documents sent by electronic means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119</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Statutory provisions as to notices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Winding Up</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120</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Directors’ power to petition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Destruction of Documents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121</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Destruction of documents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Directors’ Liabilities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122</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Indemnity</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123</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Insurance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124</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Defence expenditure</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125</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Approved Depositaries</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Exclusive Jurisdiction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6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126</w:t>
            </w:r>
          </w:p>
        </w:tc>
        <w:tc>
          <w:tcPr>
            <w:tcW w:w="79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Exclusive jurisdiction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20"/>
          </w:cols>
          <w:pgMar w:left="340" w:top="114"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725170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467995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and among</w:t>
      </w: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ARM HOLDINGS PLC,</w:t>
      </w:r>
    </w:p>
    <w:p>
      <w:pPr>
        <w:spacing w:after="0" w:line="200" w:lineRule="exact"/>
        <w:rPr>
          <w:sz w:val="20"/>
          <w:szCs w:val="20"/>
          <w:color w:val="auto"/>
        </w:rPr>
      </w:pPr>
    </w:p>
    <w:p>
      <w:pPr>
        <w:spacing w:after="0" w:line="24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CITIBANK, N.A.,</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Depositary,</w:t>
      </w:r>
    </w:p>
    <w:p>
      <w:pPr>
        <w:spacing w:after="0" w:line="200" w:lineRule="exact"/>
        <w:rPr>
          <w:sz w:val="20"/>
          <w:szCs w:val="20"/>
          <w:color w:val="auto"/>
        </w:rPr>
      </w:pPr>
    </w:p>
    <w:p>
      <w:pPr>
        <w:spacing w:after="0" w:line="2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THE HOLDERS AND BENEFICIAL OWNERS OF</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AMERICAN DEPOSITARY SHARES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467360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Dated as of September 13, 2023</w:t>
      </w:r>
    </w:p>
    <w:p>
      <w:pPr>
        <w:sectPr>
          <w:pgSz w:w="11900" w:h="16838" w:orient="portrait"/>
          <w:cols w:equalWidth="0" w:num="1">
            <w:col w:w="10120"/>
          </w:cols>
          <w:pgMar w:left="1440" w:top="122" w:right="33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82"/>
        </w:trPr>
        <w:tc>
          <w:tcPr>
            <w:tcW w:w="1780" w:type="dxa"/>
            <w:vAlign w:val="bottom"/>
          </w:tcPr>
          <w:p>
            <w:pPr>
              <w:spacing w:after="0"/>
              <w:rPr>
                <w:sz w:val="24"/>
                <w:szCs w:val="24"/>
                <w:color w:val="auto"/>
              </w:rPr>
            </w:pPr>
          </w:p>
        </w:tc>
        <w:tc>
          <w:tcPr>
            <w:tcW w:w="8960" w:type="dxa"/>
            <w:vAlign w:val="bottom"/>
          </w:tcPr>
          <w:p>
            <w:pPr>
              <w:ind w:left="2720"/>
              <w:spacing w:after="0"/>
              <w:rPr>
                <w:sz w:val="20"/>
                <w:szCs w:val="20"/>
                <w:color w:val="auto"/>
              </w:rPr>
            </w:pPr>
            <w:r>
              <w:rPr>
                <w:rFonts w:ascii="Times New Roman" w:cs="Times New Roman" w:eastAsia="Times New Roman" w:hAnsi="Times New Roman"/>
                <w:sz w:val="22"/>
                <w:szCs w:val="22"/>
                <w:color w:val="auto"/>
              </w:rPr>
              <w:t>TABLE OF CONTENTS</w:t>
            </w:r>
          </w:p>
        </w:tc>
        <w:tc>
          <w:tcPr>
            <w:tcW w:w="460" w:type="dxa"/>
            <w:vAlign w:val="bottom"/>
          </w:tcPr>
          <w:p>
            <w:pPr>
              <w:spacing w:after="0"/>
              <w:rPr>
                <w:sz w:val="24"/>
                <w:szCs w:val="24"/>
                <w:color w:val="auto"/>
              </w:rPr>
            </w:pPr>
          </w:p>
        </w:tc>
      </w:tr>
      <w:tr>
        <w:trPr>
          <w:trHeight w:val="52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DEFINITIONS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“ADS Record Date”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“Affiliate”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1.3</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“American Depositary Receipt(s)”, “ADR(s)” and “Receipt(s)”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1.4</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“American Depositary Share(s)” and “ADS(s)”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1.5</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“Beneficial Owner”</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1.6</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“Certificated ADS(s)”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1.7</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“Citibank”</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1.8</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“Commission”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1.9</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“Company”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1.10</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“CREST”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1.11</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“Custodian”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1.12</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“Deliver” and “Delivery”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1.13</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“Deposit Agreement”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1.14</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“Depositary”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1.15</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“Deposited Property”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1.16</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“Deposited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1.17</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“Dollars” and “$”</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1.18</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“DTC”</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1.19</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“DTC Participant”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1.20</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“Exchange Act”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1.21</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“Foreign Currency”</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1.22</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“Full Entitlement ADR(s)”, “Full Entitlement ADS(s)” and “Full Entitlement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1.23</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“Holder(s)”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1.24</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“Partial Entitlement ADR(s)”, “Partial Entitlement ADS(s)” and “Partial Entitlement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1.25</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“Principal Office”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1.26</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“Registrar”</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1.27</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“Restricted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1.28</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“Restricted ADR(s)”, “Restricted ADS(s)” and “Restricted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1.29</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“Securities Act”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1.30</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 Registrar”</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1.31</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1.32</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“Uncertificated ADS(s)”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1.33</w:t>
            </w:r>
          </w:p>
        </w:tc>
        <w:tc>
          <w:tcPr>
            <w:tcW w:w="89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“United States” and “U.S.”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pacing w:after="0" w:line="200" w:lineRule="exact"/>
        <w:rPr>
          <w:sz w:val="20"/>
          <w:szCs w:val="20"/>
          <w:color w:val="auto"/>
        </w:rPr>
      </w:pPr>
    </w:p>
    <w:p>
      <w:pPr>
        <w:sectPr>
          <w:pgSz w:w="11900" w:h="16838" w:orient="portrait"/>
          <w:cols w:equalWidth="0" w:num="1">
            <w:col w:w="11200"/>
          </w:cols>
          <w:pgMar w:left="340" w:top="14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22" w:right="359" w:bottom="1440" w:gutter="0" w:footer="0" w:header="0"/>
          <w:type w:val="continuous"/>
        </w:sectPr>
      </w:pPr>
    </w:p>
    <w:bookmarkStart w:id="268" w:name="page269"/>
    <w:bookmarkEnd w:id="268"/>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APPOINTMENT OF DEPOSITARY; FORM OF RECEIPTS; DEPOSIT OF SHARES;</w:t>
            </w:r>
          </w:p>
        </w:tc>
        <w:tc>
          <w:tcPr>
            <w:tcW w:w="420" w:type="dxa"/>
            <w:vAlign w:val="bottom"/>
          </w:tcPr>
          <w:p>
            <w:pPr>
              <w:spacing w:after="0"/>
              <w:rPr>
                <w:sz w:val="22"/>
                <w:szCs w:val="22"/>
                <w:color w:val="auto"/>
              </w:rPr>
            </w:pPr>
          </w:p>
        </w:tc>
      </w:tr>
      <w:tr>
        <w:trPr>
          <w:trHeight w:val="282"/>
        </w:trPr>
        <w:tc>
          <w:tcPr>
            <w:tcW w:w="1780" w:type="dxa"/>
            <w:vAlign w:val="bottom"/>
          </w:tcPr>
          <w:p>
            <w:pPr>
              <w:spacing w:after="0"/>
              <w:rPr>
                <w:sz w:val="24"/>
                <w:szCs w:val="24"/>
                <w:color w:val="auto"/>
              </w:rPr>
            </w:pP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EXECUTION AND DELIVERY, TRANSFER AND SURRENDER OF RECEIPTS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2.1</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Appointment of Depositary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2.2</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 and Transferability of ADSs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2.3</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Deposit of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2.4</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Registration and Safekeeping of Deposited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2.5</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Issuance of ADSs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2.6</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Transfer, Combination and Split-up of ADRs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2.7</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Surrender of ADSs and Withdrawal of Deposited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85"/>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2.8</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Limitations on Execution and Delivery, Transfer, etc. of ADSs; Suspension of Delivery, Transfer,</w:t>
            </w:r>
          </w:p>
        </w:tc>
        <w:tc>
          <w:tcPr>
            <w:tcW w:w="420" w:type="dxa"/>
            <w:vAlign w:val="bottom"/>
          </w:tcPr>
          <w:p>
            <w:pPr>
              <w:spacing w:after="0"/>
              <w:rPr>
                <w:sz w:val="24"/>
                <w:szCs w:val="24"/>
                <w:color w:val="auto"/>
              </w:rPr>
            </w:pPr>
          </w:p>
        </w:tc>
      </w:tr>
      <w:tr>
        <w:trPr>
          <w:trHeight w:val="282"/>
        </w:trPr>
        <w:tc>
          <w:tcPr>
            <w:tcW w:w="1780" w:type="dxa"/>
            <w:vAlign w:val="bottom"/>
          </w:tcPr>
          <w:p>
            <w:pPr>
              <w:spacing w:after="0"/>
              <w:rPr>
                <w:sz w:val="24"/>
                <w:szCs w:val="24"/>
                <w:color w:val="auto"/>
              </w:rPr>
            </w:pP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etc</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2.9</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Lost ADRs, etc</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2.10</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Cancellation and Destruction of Surrendered ADRs; Maintenance of Records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2.11</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Escheatment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2.12</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Partial Entitlement ADSs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2.13</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Certificated/Uncertificated ADSs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2.14</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Restricted ADSs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581"/>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CERTAIN OBLIGATIONS OF HOLDERS AND BENEFICIAL OWNERS OF ADSs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3.1</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Proofs, Certificates and Other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3.2</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Liability for Taxes and Other Charges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3.3</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Representations and Warranties on Deposit of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3.4</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Compliance with Information Requests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3.5</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Ownership Restrictions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3.6</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Reporting Obligations and Regulatory Approvals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58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DEPOSITED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Cash Distributions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4.2</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Distribution in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4.3</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Elective Distributions in Cash or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4.4</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Distribution of Rights to Purchase Additional ADSs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4.5</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Distributions Other Than Cash, Shares or Rights to Purchase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4.6</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4.7</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4.8</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Conversion of Foreign Currency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4.9</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Fixing of ADS Record Date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4.10</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Voting of Deposited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4.11</w:t>
            </w:r>
          </w:p>
        </w:tc>
        <w:tc>
          <w:tcPr>
            <w:tcW w:w="9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Changes Affecting Deposited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269" w:name="page270"/>
    <w:bookmarkEnd w:id="26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4.12</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Available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4.13</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Reports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4.14</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List of 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4.15</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Taxation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58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DEPOSITARY, THE CUSTODIAN AND THE COMPANY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5.1</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Maintenance of Office and Transfer Books by the Registrar</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5.2</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Exoneration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5.3</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Standard of Care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5.4</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Resignation and Removal of the Depositary; Appointment of Successor Depositary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5.5</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Custodian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5.6</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Notices and Reports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5.7</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Issuance of Additional Shares, ADSs etc</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5.8</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Indemnification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5.9</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ADS Fees and Charges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5.10</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Restricted Securities Owners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58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AMENDMENT AND TERMINATION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6.1</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Amendment/Supplement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6.2</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Termination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58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MISCELLANEOUS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7.1</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Counterparts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7.2</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 Third Party Beneficiaries/Acknowledgments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7.3</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Severability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11"/>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7.4</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Holders and Beneficial Owners as Parties; Binding Effect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7.5</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Notices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7.6</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Governing Law and Jurisdiction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7.7</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Assignment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7.8</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Compliance with, and No Disclaimer under, U.S. Securities Laws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7.9</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English Law References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10"/>
        </w:trPr>
        <w:tc>
          <w:tcPr>
            <w:tcW w:w="1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7.10</w:t>
            </w: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Titles and References</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581"/>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EXHIBITS</w:t>
            </w:r>
          </w:p>
        </w:tc>
        <w:tc>
          <w:tcPr>
            <w:tcW w:w="8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1780" w:type="dxa"/>
            <w:vAlign w:val="bottom"/>
          </w:tcPr>
          <w:p>
            <w:pPr>
              <w:spacing w:after="0"/>
              <w:rPr>
                <w:sz w:val="24"/>
                <w:szCs w:val="24"/>
                <w:color w:val="auto"/>
              </w:rPr>
            </w:pP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Form of ADR.</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A-1</w:t>
            </w:r>
          </w:p>
        </w:tc>
      </w:tr>
      <w:tr>
        <w:trPr>
          <w:trHeight w:val="311"/>
        </w:trPr>
        <w:tc>
          <w:tcPr>
            <w:tcW w:w="1780" w:type="dxa"/>
            <w:vAlign w:val="bottom"/>
          </w:tcPr>
          <w:p>
            <w:pPr>
              <w:spacing w:after="0"/>
              <w:rPr>
                <w:sz w:val="24"/>
                <w:szCs w:val="24"/>
                <w:color w:val="auto"/>
              </w:rPr>
            </w:pPr>
          </w:p>
        </w:tc>
        <w:tc>
          <w:tcPr>
            <w:tcW w:w="8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Fee Schedule.</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B-1</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270" w:name="page271"/>
    <w:bookmarkEnd w:id="270"/>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DEPOSIT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DEPOSIT AGREEMENT</w:t>
      </w:r>
      <w:r>
        <w:rPr>
          <w:rFonts w:ascii="Times New Roman" w:cs="Times New Roman" w:eastAsia="Times New Roman" w:hAnsi="Times New Roman"/>
          <w:sz w:val="22"/>
          <w:szCs w:val="22"/>
          <w:color w:val="auto"/>
        </w:rPr>
        <w:t>, dated as of September 13, 2023, by and among (i) Arm Holdings plc, a public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incorporated under the laws of England and Wales, and its successors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(ii) Citibank, N.A., a national banking association organized under the laws of the United States of America (“</w:t>
      </w:r>
      <w:r>
        <w:rPr>
          <w:rFonts w:ascii="Times New Roman" w:cs="Times New Roman" w:eastAsia="Times New Roman" w:hAnsi="Times New Roman"/>
          <w:sz w:val="22"/>
          <w:szCs w:val="22"/>
          <w:u w:val="single" w:color="auto"/>
          <w:color w:val="auto"/>
        </w:rPr>
        <w:t>Citibank</w:t>
      </w:r>
      <w:r>
        <w:rPr>
          <w:rFonts w:ascii="Times New Roman" w:cs="Times New Roman" w:eastAsia="Times New Roman" w:hAnsi="Times New Roman"/>
          <w:sz w:val="22"/>
          <w:szCs w:val="22"/>
          <w:color w:val="auto"/>
        </w:rPr>
        <w:t>”) acting in its capacity as depositary, and any successor depositary hereunder (Citibank in such capacity, the “</w:t>
      </w:r>
      <w:r>
        <w:rPr>
          <w:rFonts w:ascii="Times New Roman" w:cs="Times New Roman" w:eastAsia="Times New Roman" w:hAnsi="Times New Roman"/>
          <w:sz w:val="22"/>
          <w:szCs w:val="22"/>
          <w:u w:val="single" w:color="auto"/>
          <w:color w:val="auto"/>
        </w:rPr>
        <w:t>Depositary</w:t>
      </w:r>
      <w:r>
        <w:rPr>
          <w:rFonts w:ascii="Times New Roman" w:cs="Times New Roman" w:eastAsia="Times New Roman" w:hAnsi="Times New Roman"/>
          <w:sz w:val="22"/>
          <w:szCs w:val="22"/>
          <w:color w:val="auto"/>
        </w:rPr>
        <w:t>”), and (iii) all Holders and Beneficial Owners of American Depositary Shares issued hereunder (all such capitalized terms as hereinafter defined).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T H A 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establish with the Depositary an ADR facility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deposit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Depositary is willing to act as the Depositary for such ADR facility upon the terms set forth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 Agreement (as hereinafter defined); and</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any American Depositary Receipts issued pursuant to the terms of the Deposit Agreement are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with appropriate insertions, modifications and omissions, as hereinafter provided in the Deposit Agreement; and</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hereto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All capitalized terms used, but not otherwise defined, herein shall have the meanings set forth below, unless otherwise clearly indicated:</w:t>
      </w:r>
    </w:p>
    <w:p>
      <w:pPr>
        <w:spacing w:after="0" w:line="154"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ADS Record Date</w:t>
      </w:r>
      <w:r>
        <w:rPr>
          <w:rFonts w:ascii="Times New Roman" w:cs="Times New Roman" w:eastAsia="Times New Roman" w:hAnsi="Times New Roman"/>
          <w:sz w:val="21"/>
          <w:szCs w:val="21"/>
          <w:color w:val="auto"/>
        </w:rPr>
        <w:t>” shall have the meaning given to such term in Section 4.9.</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Section 1.2 “</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meaning assigned to such term by the Commission (as hereinafter defined)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C promulgated under the Securities Act (as hereinafter defined), or under any successor regulation thereto.</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American Depositary Receipt(s)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ADR(s)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Receipt(s)</w:t>
      </w:r>
      <w:r>
        <w:rPr>
          <w:rFonts w:ascii="Times New Roman" w:cs="Times New Roman" w:eastAsia="Times New Roman" w:hAnsi="Times New Roman"/>
          <w:sz w:val="22"/>
          <w:szCs w:val="22"/>
          <w:color w:val="auto"/>
        </w:rPr>
        <w:t>” shall mean the certificate(s) issued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to evidence the American Depositary Shares issued under the terms of the Deposit Agreement in the form of Certificated ADS(s) (as hereinafter defined), as such ADRs may be amended from time to time in accordance with the</w:t>
      </w:r>
    </w:p>
    <w:p>
      <w:pPr>
        <w:sectPr>
          <w:pgSz w:w="11900" w:h="16838" w:orient="portrait"/>
          <w:cols w:equalWidth="0" w:num="1">
            <w:col w:w="11240"/>
          </w:cols>
          <w:pgMar w:left="320" w:top="1440" w:right="339" w:bottom="1440" w:gutter="0" w:footer="0" w:header="0"/>
        </w:sectPr>
      </w:pPr>
    </w:p>
    <w:bookmarkStart w:id="271" w:name="page272"/>
    <w:bookmarkEnd w:id="271"/>
    <w:p>
      <w:pPr>
        <w:jc w:val="both"/>
        <w:spacing w:after="0" w:line="271" w:lineRule="auto"/>
        <w:rPr>
          <w:sz w:val="20"/>
          <w:szCs w:val="20"/>
          <w:color w:val="auto"/>
        </w:rPr>
      </w:pPr>
      <w:r>
        <w:rPr>
          <w:rFonts w:ascii="Times New Roman" w:cs="Times New Roman" w:eastAsia="Times New Roman" w:hAnsi="Times New Roman"/>
          <w:sz w:val="22"/>
          <w:szCs w:val="22"/>
          <w:color w:val="auto"/>
        </w:rPr>
        <w:t>provisions of the Deposit Agreement. An ADR may evidence any number of ADSs and may, in the case of ADSs held through a central depository such as DTC, be in the form of a “Balance Certificate.”</w:t>
      </w:r>
    </w:p>
    <w:p>
      <w:pPr>
        <w:spacing w:after="0" w:line="15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American Depositary Share(s)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ADS(s)</w:t>
      </w:r>
      <w:r>
        <w:rPr>
          <w:rFonts w:ascii="Times New Roman" w:cs="Times New Roman" w:eastAsia="Times New Roman" w:hAnsi="Times New Roman"/>
          <w:sz w:val="22"/>
          <w:szCs w:val="22"/>
          <w:color w:val="auto"/>
        </w:rPr>
        <w:t>” shall mean the rights and interests in the Deposited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(as hereinafter 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 (a) 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Beneficial Owner</w:t>
      </w:r>
      <w:r>
        <w:rPr>
          <w:rFonts w:ascii="Times New Roman" w:cs="Times New Roman" w:eastAsia="Times New Roman" w:hAnsi="Times New Roman"/>
          <w:sz w:val="22"/>
          <w:szCs w:val="22"/>
          <w:color w:val="auto"/>
        </w:rPr>
        <w:t>” shall mean, as to any ADS, any person or entity having a beneficial interest deriving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ownership 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72" w:name="page273"/>
    <w:bookmarkEnd w:id="272"/>
    <w:p>
      <w:pPr>
        <w:jc w:val="both"/>
        <w:spacing w:after="0" w:line="249" w:lineRule="auto"/>
        <w:rPr>
          <w:sz w:val="20"/>
          <w:szCs w:val="20"/>
          <w:color w:val="auto"/>
        </w:rPr>
      </w:pPr>
      <w:r>
        <w:rPr>
          <w:rFonts w:ascii="Times New Roman" w:cs="Times New Roman" w:eastAsia="Times New Roman" w:hAnsi="Times New Roman"/>
          <w:sz w:val="22"/>
          <w:szCs w:val="22"/>
          <w:color w:val="auto"/>
        </w:rPr>
        <w:t>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91"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1.6</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Certificated ADS(s)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meaning set forth in Section 2.13.</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Section 1.7 “</w:t>
      </w:r>
      <w:r>
        <w:rPr>
          <w:rFonts w:ascii="Times New Roman" w:cs="Times New Roman" w:eastAsia="Times New Roman" w:hAnsi="Times New Roman"/>
          <w:sz w:val="22"/>
          <w:szCs w:val="22"/>
          <w:b w:val="1"/>
          <w:bCs w:val="1"/>
          <w:u w:val="single" w:color="auto"/>
          <w:color w:val="auto"/>
        </w:rPr>
        <w:t>Citibank</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shall mean Citibank, N.A., a national banking association organized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of America, and its successors.</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shall mean the Securities and Exchange Commission of the United States or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agency thereto in the United States.</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shall mean Arm Holdings plc, a public limited company incorporated under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England and Wales, and its successors.</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CREST</w:t>
      </w:r>
      <w:r>
        <w:rPr>
          <w:rFonts w:ascii="Times New Roman" w:cs="Times New Roman" w:eastAsia="Times New Roman" w:hAnsi="Times New Roman"/>
          <w:sz w:val="22"/>
          <w:szCs w:val="22"/>
          <w:color w:val="auto"/>
        </w:rPr>
        <w:t>” shall mean the system for the paperless settlement of trades in securities and the holding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uncertificated securities operated by Euroclear UK &amp; Ireland Limited in accordance with the U.K. Uncertificated Securities Regulations 2001 (SI 2001 No. 3755) as amended from time to time, or any successor thereto.</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Custodian</w:t>
      </w:r>
      <w:r>
        <w:rPr>
          <w:rFonts w:ascii="Times New Roman" w:cs="Times New Roman" w:eastAsia="Times New Roman" w:hAnsi="Times New Roman"/>
          <w:sz w:val="22"/>
          <w:szCs w:val="22"/>
          <w:color w:val="auto"/>
        </w:rPr>
        <w:t>” shall mean (i) as of the date hereof, Citibank, N.A., London Branch, having its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at Citigroup Centre, Canada Square, 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Deliver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Delivery</w:t>
      </w:r>
      <w:r>
        <w:rPr>
          <w:rFonts w:ascii="Times New Roman" w:cs="Times New Roman" w:eastAsia="Times New Roman" w:hAnsi="Times New Roman"/>
          <w:sz w:val="22"/>
          <w:szCs w:val="22"/>
          <w:color w:val="auto"/>
        </w:rPr>
        <w:t>” shall mean (x)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when used in respect of Shares and other Deposited Securities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either (i) the physical delivery of the certificate(s) representing such securities, or (ii) the book-entry transfer and recordation of such securities on the books of the Share Registrar (as hereinafter defined) or in CREST, and (y) </w:t>
      </w:r>
      <w:r>
        <w:rPr>
          <w:rFonts w:ascii="Times New Roman" w:cs="Times New Roman" w:eastAsia="Times New Roman" w:hAnsi="Times New Roman"/>
          <w:sz w:val="22"/>
          <w:szCs w:val="22"/>
          <w:i w:val="1"/>
          <w:iCs w:val="1"/>
          <w:color w:val="auto"/>
        </w:rPr>
        <w:t>when used in respect of ADSs</w:t>
      </w:r>
      <w:r>
        <w:rPr>
          <w:rFonts w:ascii="Times New Roman" w:cs="Times New Roman" w:eastAsia="Times New Roman" w:hAnsi="Times New Roman"/>
          <w:sz w:val="22"/>
          <w:szCs w:val="22"/>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73" w:name="page274"/>
    <w:bookmarkEnd w:id="273"/>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Deposit Agreement</w:t>
      </w:r>
      <w:r>
        <w:rPr>
          <w:rFonts w:ascii="Times New Roman" w:cs="Times New Roman" w:eastAsia="Times New Roman" w:hAnsi="Times New Roman"/>
          <w:sz w:val="22"/>
          <w:szCs w:val="22"/>
          <w:color w:val="auto"/>
        </w:rPr>
        <w:t>” shall mean this Deposit Agreement and all exhibits hereto, as the same may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be amended and supplemented from time to time in accordance with the terms of the Deposit Agreement.</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Depositary</w:t>
      </w:r>
      <w:r>
        <w:rPr>
          <w:rFonts w:ascii="Times New Roman" w:cs="Times New Roman" w:eastAsia="Times New Roman" w:hAnsi="Times New Roman"/>
          <w:sz w:val="22"/>
          <w:szCs w:val="22"/>
          <w:color w:val="auto"/>
        </w:rPr>
        <w:t>” shall mean Citibank, N.A., a national banking association organized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in its capacity as depositary under the terms of the Deposit Agreement, and any successor depositary hereunder.</w:t>
      </w:r>
    </w:p>
    <w:p>
      <w:pPr>
        <w:spacing w:after="0" w:line="1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Section 1.15 “</w:t>
      </w:r>
      <w:r>
        <w:rPr>
          <w:rFonts w:ascii="Times New Roman" w:cs="Times New Roman" w:eastAsia="Times New Roman" w:hAnsi="Times New Roman"/>
          <w:sz w:val="22"/>
          <w:szCs w:val="22"/>
          <w:b w:val="1"/>
          <w:bCs w:val="1"/>
          <w:u w:val="single" w:color="auto"/>
          <w:color w:val="auto"/>
        </w:rPr>
        <w:t>Deposited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Deposited Securities and any cash and other property held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 by the Depositary 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Section 1.16 “</w:t>
      </w:r>
      <w:r>
        <w:rPr>
          <w:rFonts w:ascii="Times New Roman" w:cs="Times New Roman" w:eastAsia="Times New Roman" w:hAnsi="Times New Roman"/>
          <w:sz w:val="22"/>
          <w:szCs w:val="22"/>
          <w:b w:val="1"/>
          <w:bCs w:val="1"/>
          <w:u w:val="single" w:color="auto"/>
          <w:color w:val="auto"/>
        </w:rPr>
        <w:t>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Shares and any other securities held on deposit by the Custodian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in respect of the ADSs under the Deposit Agreement and constituting Deposited Property.</w:t>
      </w:r>
    </w:p>
    <w:p>
      <w:pPr>
        <w:spacing w:after="0" w:line="14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Dollars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u w:val="single" w:color="auto"/>
          <w:color w:val="auto"/>
        </w:rPr>
        <w:t>$</w:t>
      </w:r>
      <w:r>
        <w:rPr>
          <w:rFonts w:ascii="Times New Roman" w:cs="Times New Roman" w:eastAsia="Times New Roman" w:hAnsi="Times New Roman"/>
          <w:sz w:val="21"/>
          <w:szCs w:val="21"/>
          <w:color w:val="auto"/>
        </w:rPr>
        <w:t>” shall refer to the lawful currency of the United States.</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DTC</w:t>
      </w:r>
      <w:r>
        <w:rPr>
          <w:rFonts w:ascii="Times New Roman" w:cs="Times New Roman" w:eastAsia="Times New Roman" w:hAnsi="Times New Roman"/>
          <w:sz w:val="22"/>
          <w:szCs w:val="22"/>
          <w:color w:val="auto"/>
        </w:rPr>
        <w:t>” shall mean The Depository Trust Company, a national clearinghouse and the central book-entry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system for securities traded in the United States and, as such, the custodian for the securities of DTC Participants (as hereinafter defined) maintained in DTC, and any successor thereto.</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DTC Participant</w:t>
      </w:r>
      <w:r>
        <w:rPr>
          <w:rFonts w:ascii="Times New Roman" w:cs="Times New Roman" w:eastAsia="Times New Roman" w:hAnsi="Times New Roman"/>
          <w:sz w:val="22"/>
          <w:szCs w:val="22"/>
          <w:color w:val="auto"/>
        </w:rPr>
        <w:t>” shall mean any financial institution (or any nominee of such institution) having one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participant 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auto"/>
        </w:rPr>
        <w:t>Section 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Exchange Act</w:t>
      </w:r>
      <w:r>
        <w:rPr>
          <w:rFonts w:ascii="Times New Roman" w:cs="Times New Roman" w:eastAsia="Times New Roman" w:hAnsi="Times New Roman"/>
          <w:sz w:val="21"/>
          <w:szCs w:val="21"/>
          <w:color w:val="auto"/>
        </w:rPr>
        <w:t>” shall mean the United States Securities Exchange Act of 1934, as amended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274" w:name="page275"/>
    <w:bookmarkEnd w:id="274"/>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Foreign Currency</w:t>
      </w:r>
      <w:r>
        <w:rPr>
          <w:rFonts w:ascii="Times New Roman" w:cs="Times New Roman" w:eastAsia="Times New Roman" w:hAnsi="Times New Roman"/>
          <w:sz w:val="21"/>
          <w:szCs w:val="21"/>
          <w:color w:val="auto"/>
        </w:rPr>
        <w:t>” shall mean any currency other than Dollars.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Section 1.22 “</w:t>
      </w:r>
      <w:r>
        <w:rPr>
          <w:rFonts w:ascii="Times New Roman" w:cs="Times New Roman" w:eastAsia="Times New Roman" w:hAnsi="Times New Roman"/>
          <w:sz w:val="22"/>
          <w:szCs w:val="22"/>
          <w:b w:val="1"/>
          <w:bCs w:val="1"/>
          <w:u w:val="single" w:color="auto"/>
          <w:color w:val="auto"/>
        </w:rPr>
        <w:t>Full Entitlement ADR(s)</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b w:val="1"/>
          <w:bCs w:val="1"/>
          <w:u w:val="single" w:color="auto"/>
          <w:color w:val="auto"/>
        </w:rPr>
        <w:t>Full Entitlement ADS(s)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u w:val="single" w:color="auto"/>
          <w:color w:val="auto"/>
        </w:rPr>
        <w:t>Full Entitlement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respective meanings set forth in Section 2.12.</w:t>
      </w:r>
    </w:p>
    <w:p>
      <w:pPr>
        <w:spacing w:after="0" w:line="1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Holder(s)</w:t>
      </w:r>
      <w:r>
        <w:rPr>
          <w:rFonts w:ascii="Times New Roman" w:cs="Times New Roman" w:eastAsia="Times New Roman" w:hAnsi="Times New Roman"/>
          <w:sz w:val="22"/>
          <w:szCs w:val="22"/>
          <w:color w:val="auto"/>
        </w:rPr>
        <w:t>” shall mean the person(s) in whose name the ADSs are registered on the books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(or the Registrar, if 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Section 1.24 “</w:t>
      </w:r>
      <w:r>
        <w:rPr>
          <w:rFonts w:ascii="Times New Roman" w:cs="Times New Roman" w:eastAsia="Times New Roman" w:hAnsi="Times New Roman"/>
          <w:sz w:val="22"/>
          <w:szCs w:val="22"/>
          <w:b w:val="1"/>
          <w:bCs w:val="1"/>
          <w:u w:val="single" w:color="auto"/>
          <w:color w:val="auto"/>
        </w:rPr>
        <w:t>Partial Entitlement ADR(s)</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b w:val="1"/>
          <w:bCs w:val="1"/>
          <w:u w:val="single" w:color="auto"/>
          <w:color w:val="auto"/>
        </w:rPr>
        <w:t>Partial Entitlement ADS(s)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u w:val="single" w:color="auto"/>
          <w:color w:val="auto"/>
        </w:rPr>
        <w:t>Partial Entitlement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respective meanings set forth in Section 2.12.</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Principal Office</w:t>
      </w:r>
      <w:r>
        <w:rPr>
          <w:rFonts w:ascii="Times New Roman" w:cs="Times New Roman" w:eastAsia="Times New Roman" w:hAnsi="Times New Roman"/>
          <w:sz w:val="22"/>
          <w:szCs w:val="22"/>
          <w:color w:val="auto"/>
        </w:rPr>
        <w:t>” shall mean, when used with respect to the Depositary, the principal office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at which at any particular time its depositary receipts business shall be administered, which, at the date of the Deposit Agreement, is located at 388 Greenwich Street, New York, New York 10013, U.S.A.</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Registrar</w:t>
      </w:r>
      <w:r>
        <w:rPr>
          <w:rFonts w:ascii="Times New Roman" w:cs="Times New Roman" w:eastAsia="Times New Roman" w:hAnsi="Times New Roman"/>
          <w:sz w:val="22"/>
          <w:szCs w:val="22"/>
          <w:color w:val="auto"/>
        </w:rPr>
        <w:t>” shall mean the Depositary or any bank or trust company having an office in the Borough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Manhattan, The City of 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Securities</w:t>
      </w:r>
      <w:r>
        <w:rPr>
          <w:rFonts w:ascii="Times New Roman" w:cs="Times New Roman" w:eastAsia="Times New Roman" w:hAnsi="Times New Roman"/>
          <w:sz w:val="22"/>
          <w:szCs w:val="22"/>
          <w:color w:val="auto"/>
        </w:rPr>
        <w:t>” shall mean Shares, Deposited Securities or ADSs which (i) have been 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shareholders’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275" w:name="page276"/>
    <w:bookmarkEnd w:id="275"/>
    <w:p>
      <w:pPr>
        <w:jc w:val="both"/>
        <w:ind w:firstLine="891"/>
        <w:spacing w:after="0" w:line="275" w:lineRule="auto"/>
        <w:rPr>
          <w:sz w:val="20"/>
          <w:szCs w:val="20"/>
          <w:color w:val="auto"/>
        </w:rPr>
      </w:pPr>
      <w:r>
        <w:rPr>
          <w:rFonts w:ascii="Times New Roman" w:cs="Times New Roman" w:eastAsia="Times New Roman" w:hAnsi="Times New Roman"/>
          <w:sz w:val="22"/>
          <w:szCs w:val="22"/>
          <w:b w:val="1"/>
          <w:bCs w:val="1"/>
          <w:color w:val="auto"/>
        </w:rPr>
        <w:t>Section 1.28 “</w:t>
      </w:r>
      <w:r>
        <w:rPr>
          <w:rFonts w:ascii="Times New Roman" w:cs="Times New Roman" w:eastAsia="Times New Roman" w:hAnsi="Times New Roman"/>
          <w:sz w:val="22"/>
          <w:szCs w:val="22"/>
          <w:b w:val="1"/>
          <w:bCs w:val="1"/>
          <w:u w:val="single" w:color="auto"/>
          <w:color w:val="auto"/>
        </w:rPr>
        <w:t>Restricted ADR(s)</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b w:val="1"/>
          <w:bCs w:val="1"/>
          <w:u w:val="single" w:color="auto"/>
          <w:color w:val="auto"/>
        </w:rPr>
        <w:t>Restricted ADS(s)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u w:val="single" w:color="auto"/>
          <w:color w:val="auto"/>
        </w:rPr>
        <w:t>Restricted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set forth in Section 2.14.</w:t>
      </w:r>
    </w:p>
    <w:p>
      <w:pPr>
        <w:spacing w:after="0" w:line="14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Securities Act</w:t>
      </w:r>
      <w:r>
        <w:rPr>
          <w:rFonts w:ascii="Times New Roman" w:cs="Times New Roman" w:eastAsia="Times New Roman" w:hAnsi="Times New Roman"/>
          <w:sz w:val="21"/>
          <w:szCs w:val="21"/>
          <w:color w:val="auto"/>
        </w:rPr>
        <w:t>” shall mean the United States Securities Act of 1933, as amended from time to time.</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Share Registrar</w:t>
      </w:r>
      <w:r>
        <w:rPr>
          <w:rFonts w:ascii="Times New Roman" w:cs="Times New Roman" w:eastAsia="Times New Roman" w:hAnsi="Times New Roman"/>
          <w:sz w:val="22"/>
          <w:szCs w:val="22"/>
          <w:color w:val="auto"/>
        </w:rPr>
        <w:t>” shall mean Computershare Investor Services plc or any other institution 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laws of England and Wales appointed by the Company from time to time to carry out the duties of registrar for the Shares, and any successor thereto.</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color w:val="auto"/>
        </w:rPr>
        <w:t>” shall mean the Company’s ordinary shares, with a nominal value £0.001 per share, validly issued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outstanding and fully paid and may, if the Depositary so agrees after consultation with the Company, include evidence of the right to receive Shares;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there shall occur any change in nominal value, sub-division,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9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1.32</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Uncertificated ADS(s)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meaning set forth in Section 2.13.</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U.S.</w:t>
      </w:r>
      <w:r>
        <w:rPr>
          <w:rFonts w:ascii="Times New Roman" w:cs="Times New Roman" w:eastAsia="Times New Roman" w:hAnsi="Times New Roman"/>
          <w:sz w:val="22"/>
          <w:szCs w:val="22"/>
          <w:color w:val="auto"/>
        </w:rPr>
        <w:t>” shall have the meaning assigned to it in Regulation S as promulgated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Commission under the Securities Act.</w:t>
      </w:r>
    </w:p>
    <w:p>
      <w:pPr>
        <w:spacing w:after="0" w:line="1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APPOINTMENT OF DEPOSITARY; FORM OF RECEIPTS;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DEPOSIT OF SHARES; EXECUTION 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DELIVERY, TRANSFER AND SURRENDER OF RECEIPTS</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2.1 </w:t>
      </w:r>
      <w:r>
        <w:rPr>
          <w:rFonts w:ascii="Times New Roman" w:cs="Times New Roman" w:eastAsia="Times New Roman" w:hAnsi="Times New Roman"/>
          <w:sz w:val="21"/>
          <w:szCs w:val="21"/>
          <w:b w:val="1"/>
          <w:bCs w:val="1"/>
          <w:u w:val="single" w:color="auto"/>
          <w:color w:val="auto"/>
        </w:rPr>
        <w:t>Appointment of Depositary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hereby appoints the Depositary as depositary for the Deposited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Property and 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w:t>
      </w:r>
    </w:p>
    <w:p>
      <w:pPr>
        <w:spacing w:after="0" w:line="1" w:lineRule="exact"/>
        <w:rPr>
          <w:sz w:val="20"/>
          <w:szCs w:val="20"/>
          <w:color w:val="auto"/>
        </w:rPr>
      </w:pPr>
    </w:p>
    <w:p>
      <w:pPr>
        <w:jc w:val="both"/>
        <w:ind w:firstLine="8"/>
        <w:spacing w:after="0" w:line="246" w:lineRule="auto"/>
        <w:tabs>
          <w:tab w:leader="none" w:pos="29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acting reasonably, may deem necessary or appropriate to carry out the purposes of the Deposit Agreement and the applicable ADR(s), the taking of such actions to be the conclusive determinant of the necessity and appropriateness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276" w:name="page277"/>
    <w:bookmarkEnd w:id="276"/>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b w:val="1"/>
          <w:bCs w:val="1"/>
          <w:u w:val="single" w:color="auto"/>
          <w:color w:val="auto"/>
        </w:rPr>
        <w:t>Form and Transferability of ADSs</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jc w:val="both"/>
        <w:ind w:firstLine="656"/>
        <w:spacing w:after="0" w:line="260" w:lineRule="auto"/>
        <w:tabs>
          <w:tab w:leader="none" w:pos="1291" w:val="left"/>
        </w:tabs>
        <w:numPr>
          <w:ilvl w:val="0"/>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Certificated ADSs shall be evidenced by definitive ADRs which shall be engraved, printed, lithographed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produced in such other 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79" w:lineRule="exact"/>
        <w:rPr>
          <w:rFonts w:ascii="Times New Roman" w:cs="Times New Roman" w:eastAsia="Times New Roman" w:hAnsi="Times New Roman"/>
          <w:sz w:val="21"/>
          <w:szCs w:val="21"/>
          <w:b w:val="1"/>
          <w:bCs w:val="1"/>
          <w:color w:val="auto"/>
        </w:rPr>
      </w:pPr>
    </w:p>
    <w:p>
      <w:pPr>
        <w:jc w:val="both"/>
        <w:ind w:firstLine="656"/>
        <w:spacing w:after="0" w:line="263" w:lineRule="auto"/>
        <w:tabs>
          <w:tab w:leader="none" w:pos="1290" w:val="left"/>
        </w:tabs>
        <w:numPr>
          <w:ilvl w:val="0"/>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Legends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ADRs may be endorsed with, or have incorporated in the text thereof, such legends or recitals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inconsistent with the provisions of the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69" w:lineRule="exact"/>
        <w:rPr>
          <w:rFonts w:ascii="Times New Roman" w:cs="Times New Roman" w:eastAsia="Times New Roman" w:hAnsi="Times New Roman"/>
          <w:sz w:val="21"/>
          <w:szCs w:val="21"/>
          <w:b w:val="1"/>
          <w:bCs w:val="1"/>
          <w:color w:val="auto"/>
        </w:rPr>
      </w:pPr>
    </w:p>
    <w:p>
      <w:pPr>
        <w:jc w:val="both"/>
        <w:ind w:firstLine="656"/>
        <w:spacing w:after="0" w:line="252" w:lineRule="auto"/>
        <w:tabs>
          <w:tab w:leader="none" w:pos="1293"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limitations contained herein and in the ADR, title to an ADR (and to each Certificated ADS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evidenced thereby) 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277" w:name="page278"/>
    <w:bookmarkEnd w:id="277"/>
    <w:p>
      <w:pPr>
        <w:jc w:val="both"/>
        <w:spacing w:after="0" w:line="257" w:lineRule="auto"/>
        <w:rPr>
          <w:sz w:val="20"/>
          <w:szCs w:val="20"/>
          <w:color w:val="auto"/>
        </w:rPr>
      </w:pPr>
      <w:r>
        <w:rPr>
          <w:rFonts w:ascii="Times New Roman" w:cs="Times New Roman" w:eastAsia="Times New Roman" w:hAnsi="Times New Roman"/>
          <w:sz w:val="22"/>
          <w:szCs w:val="22"/>
          <w:color w:val="auto"/>
        </w:rPr>
        <w:t>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2" w:lineRule="exact"/>
        <w:rPr>
          <w:sz w:val="20"/>
          <w:szCs w:val="20"/>
          <w:color w:val="auto"/>
        </w:rPr>
      </w:pPr>
    </w:p>
    <w:p>
      <w:pPr>
        <w:jc w:val="both"/>
        <w:ind w:firstLine="656"/>
        <w:spacing w:after="0" w:line="247" w:lineRule="auto"/>
        <w:tabs>
          <w:tab w:leader="none" w:pos="129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Book-Entry Systems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shall make arrangements for the acceptance of the ADSs into DTC.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ADSs held through DTC 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2.3 </w:t>
      </w:r>
      <w:r>
        <w:rPr>
          <w:rFonts w:ascii="Times New Roman" w:cs="Times New Roman" w:eastAsia="Times New Roman" w:hAnsi="Times New Roman"/>
          <w:sz w:val="21"/>
          <w:szCs w:val="21"/>
          <w:b w:val="1"/>
          <w:bCs w:val="1"/>
          <w:u w:val="single" w:color="auto"/>
          <w:color w:val="auto"/>
        </w:rPr>
        <w:t>Deposit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terms and conditions of the Deposit Agreement and applicable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Shares or evidence of 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21"/>
          <w:szCs w:val="21"/>
          <w:i w:val="1"/>
          <w:iCs w:val="1"/>
          <w:color w:val="auto"/>
        </w:rPr>
        <w:t>in the case of Shares represented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by certificates issued in registered form</w:t>
      </w:r>
      <w:r>
        <w:rPr>
          <w:rFonts w:ascii="Times New Roman" w:cs="Times New Roman" w:eastAsia="Times New Roman" w:hAnsi="Times New Roman"/>
          <w:sz w:val="21"/>
          <w:szCs w:val="21"/>
          <w:color w:val="auto"/>
        </w:rPr>
        <w:t>, the certificate(s) representing such Shares and, where relevant, appropriate instruments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transfer or endorsement, in a form satisfactory to the Custodian, and (ii) </w:t>
      </w:r>
      <w:r>
        <w:rPr>
          <w:rFonts w:ascii="Times New Roman" w:cs="Times New Roman" w:eastAsia="Times New Roman" w:hAnsi="Times New Roman"/>
          <w:sz w:val="21"/>
          <w:szCs w:val="21"/>
          <w:i w:val="1"/>
          <w:iCs w:val="1"/>
          <w:color w:val="auto"/>
        </w:rPr>
        <w:t>in the case of Shares delivered by book-entry transfer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and recordation</w:t>
      </w:r>
      <w:r>
        <w:rPr>
          <w:rFonts w:ascii="Times New Roman" w:cs="Times New Roman" w:eastAsia="Times New Roman" w:hAnsi="Times New Roman"/>
          <w:sz w:val="21"/>
          <w:szCs w:val="21"/>
          <w:color w:val="auto"/>
        </w:rPr>
        <w:t>, confirmation of such book-entry transfer and recordation in the books of the Share Registrar or CREST,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to the Custodian or that irrevocable instructions have been given to cause such Shares to be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78" w:name="page279"/>
    <w:bookmarkEnd w:id="278"/>
    <w:p>
      <w:pPr>
        <w:jc w:val="both"/>
        <w:spacing w:after="0" w:line="260" w:lineRule="auto"/>
        <w:rPr>
          <w:sz w:val="20"/>
          <w:szCs w:val="20"/>
          <w:color w:val="auto"/>
        </w:rPr>
      </w:pPr>
      <w:r>
        <w:rPr>
          <w:rFonts w:ascii="Times New Roman" w:cs="Times New Roman" w:eastAsia="Times New Roman" w:hAnsi="Times New Roman"/>
          <w:sz w:val="21"/>
          <w:szCs w:val="21"/>
          <w:color w:val="auto"/>
        </w:rPr>
        <w:t>issued or transferred, as applicable,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Without limiting any other provision of the Deposit Agreement, the Depositary shall instruct the Custodian not to, and the Depositary shall not knowingly, accept for deposit (a) any Restricted Securities (except as contemplated by Section 2.14) nor</w:t>
      </w:r>
    </w:p>
    <w:p>
      <w:pPr>
        <w:spacing w:after="0" w:line="2" w:lineRule="exact"/>
        <w:rPr>
          <w:sz w:val="20"/>
          <w:szCs w:val="20"/>
          <w:color w:val="auto"/>
        </w:rPr>
      </w:pPr>
    </w:p>
    <w:p>
      <w:pPr>
        <w:jc w:val="both"/>
        <w:ind w:firstLine="8"/>
        <w:spacing w:after="0" w:line="246" w:lineRule="auto"/>
        <w:tabs>
          <w:tab w:leader="none" w:pos="34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Without limitation of the foregoing, the Depositary shall not knowingly accept for deposit under the Deposit Agreement</w:t>
      </w:r>
    </w:p>
    <w:p>
      <w:pPr>
        <w:spacing w:after="0" w:line="28" w:lineRule="exact"/>
        <w:rPr>
          <w:sz w:val="20"/>
          <w:szCs w:val="20"/>
          <w:color w:val="auto"/>
        </w:rPr>
      </w:pPr>
    </w:p>
    <w:p>
      <w:pPr>
        <w:jc w:val="both"/>
        <w:ind w:firstLine="8"/>
        <w:spacing w:after="0" w:line="254" w:lineRule="auto"/>
        <w:tabs>
          <w:tab w:leader="none" w:pos="375"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or other securities required to be registered under the provisions of the Securities Act, unless (i) a registration statement is in effect as to such Shares or other securities or (ii) the deposit is made upon terms contemplated in Section 2.14, or</w:t>
      </w:r>
    </w:p>
    <w:p>
      <w:pPr>
        <w:spacing w:after="0" w:line="1" w:lineRule="exact"/>
        <w:rPr>
          <w:rFonts w:ascii="Times New Roman" w:cs="Times New Roman" w:eastAsia="Times New Roman" w:hAnsi="Times New Roman"/>
          <w:sz w:val="21"/>
          <w:szCs w:val="21"/>
          <w:color w:val="auto"/>
        </w:rPr>
      </w:pPr>
    </w:p>
    <w:p>
      <w:pPr>
        <w:jc w:val="both"/>
        <w:ind w:firstLine="8"/>
        <w:spacing w:after="0" w:line="270" w:lineRule="auto"/>
        <w:tabs>
          <w:tab w:leader="none" w:pos="383"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or other securities the deposit of which would violate any provisions of the Articles of Association of the Company or the laws of England and Wales. For purposes of the foregoing sentence, the Depositary shall be entitled to rely upon representations and warranties made or deemed made pursuant to the Deposit Agreement and shall not be required to make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79" w:name="page280"/>
    <w:bookmarkEnd w:id="279"/>
    <w:p>
      <w:pPr>
        <w:jc w:val="both"/>
        <w:spacing w:after="0" w:line="256" w:lineRule="auto"/>
        <w:rPr>
          <w:sz w:val="20"/>
          <w:szCs w:val="20"/>
          <w:color w:val="auto"/>
        </w:rPr>
      </w:pPr>
      <w:r>
        <w:rPr>
          <w:rFonts w:ascii="Times New Roman" w:cs="Times New Roman" w:eastAsia="Times New Roman" w:hAnsi="Times New Roman"/>
          <w:sz w:val="22"/>
          <w:szCs w:val="22"/>
          <w:color w:val="auto"/>
        </w:rPr>
        <w:t>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2.4 </w:t>
      </w:r>
      <w:r>
        <w:rPr>
          <w:rFonts w:ascii="Times New Roman" w:cs="Times New Roman" w:eastAsia="Times New Roman" w:hAnsi="Times New Roman"/>
          <w:sz w:val="22"/>
          <w:szCs w:val="22"/>
          <w:b w:val="1"/>
          <w:bCs w:val="1"/>
          <w:u w:val="single" w:color="auto"/>
          <w:color w:val="auto"/>
        </w:rPr>
        <w:t>Registration and Safekeeping of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shall instruct the Custodian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Delivery of registered Shares being deposited hereunder with the Custodian (or other Deposited Securities pursuant to Article IV hereof), together with the other documents above specified, to present such Shares, together with the appropriate instrument(s) of transfer or endorsement, duly stamped (if required to be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2.5 </w:t>
      </w:r>
      <w:r>
        <w:rPr>
          <w:rFonts w:ascii="Times New Roman" w:cs="Times New Roman" w:eastAsia="Times New Roman" w:hAnsi="Times New Roman"/>
          <w:sz w:val="22"/>
          <w:szCs w:val="22"/>
          <w:b w:val="1"/>
          <w:bCs w:val="1"/>
          <w:u w:val="single" w:color="auto"/>
          <w:color w:val="auto"/>
        </w:rPr>
        <w:t>Issuance of ADSs</w:t>
      </w:r>
      <w:r>
        <w:rPr>
          <w:rFonts w:ascii="Times New Roman" w:cs="Times New Roman" w:eastAsia="Times New Roman" w:hAnsi="Times New Roman"/>
          <w:sz w:val="22"/>
          <w:szCs w:val="22"/>
          <w:color w:val="auto"/>
        </w:rPr>
        <w:t>. The Depositary has made arrangements with the Custodian for the Custodian to confirm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Depositary 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CREST, (iii) that all required documents have been received, and (iv) if applicable,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80" w:name="page281"/>
    <w:bookmarkEnd w:id="280"/>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Custodian, the Depositary, subject to the terms and conditions of the Deposit Agreement and applicable law, shall as directed by the depositor(s) of the Shares (x)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and all taxes and governmental charges and fees payable in connection with such deposit and the transfer of the Shares and the issuance of the ADS(s), or (y) hold the Shares in custody at the direction, and for the benefit, of the beneficial owner(s) of the Shares, and reserve ADSs for future issuance in respect of such Shares, in each case, upon such terms and conditions as the Company, the Depositary and/or the beneficial owner(s) of the Shares may agree at, or prior to, the deposit of the Shares (which shall not become Deposited Property under the terms of the Deposit Agreement for purposes of determining the rights of Holders and Beneficial Owners of ADSs until ADSs are issued and delivered to, and at the instruction of, the beneficial owner(s) of the Shares). Upon receipt of satisfactory instructions from ADS Holders and payment of applicable taxes and the ADS fees and charges of the Depositary for the issuance, cancellation and conversion of ADSs (as set forth in Section 5.9 and Exhibit B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 (ii) only process such ADS conversion to the extent the Depositary has to the extent applicable instructed the Custodian to transfer the corresponding Shares from and into the applicable custody accounts maintained for the applicable ADS series. The Depositary shall only (i) issue ADSs in whole numbers and deliver, if applicable, ADR(s) evidencing whole numbers of ADSs, and (ii) reserve ADSs for issuance in accordance with this Section 2.5 upon receipt of confirmation from the Custodian that the corresponding Shares have been received in custody by the Custodian.</w:t>
      </w:r>
    </w:p>
    <w:p>
      <w:pPr>
        <w:spacing w:after="0" w:line="17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2.6</w:t>
      </w:r>
      <w:r>
        <w:rPr>
          <w:sz w:val="20"/>
          <w:szCs w:val="20"/>
          <w:color w:val="auto"/>
        </w:rPr>
        <w:tab/>
      </w:r>
      <w:r>
        <w:rPr>
          <w:rFonts w:ascii="Times New Roman" w:cs="Times New Roman" w:eastAsia="Times New Roman" w:hAnsi="Times New Roman"/>
          <w:sz w:val="21"/>
          <w:szCs w:val="21"/>
          <w:b w:val="1"/>
          <w:bCs w:val="1"/>
          <w:u w:val="single" w:color="auto"/>
          <w:color w:val="auto"/>
        </w:rPr>
        <w:t>Transfer, Combination and Split-up of ADRs</w:t>
      </w:r>
      <w:r>
        <w:rPr>
          <w:rFonts w:ascii="Times New Roman" w:cs="Times New Roman" w:eastAsia="Times New Roman" w:hAnsi="Times New Roman"/>
          <w:sz w:val="21"/>
          <w:szCs w:val="21"/>
          <w:b w:val="1"/>
          <w:bCs w:val="1"/>
          <w:color w:val="auto"/>
        </w:rPr>
        <w:t>.</w:t>
      </w:r>
    </w:p>
    <w:p>
      <w:pPr>
        <w:spacing w:after="0" w:line="233" w:lineRule="exact"/>
        <w:rPr>
          <w:sz w:val="20"/>
          <w:szCs w:val="20"/>
          <w:color w:val="auto"/>
        </w:rPr>
      </w:pPr>
    </w:p>
    <w:p>
      <w:pPr>
        <w:jc w:val="both"/>
        <w:ind w:firstLine="656"/>
        <w:spacing w:after="0" w:line="248" w:lineRule="auto"/>
        <w:tabs>
          <w:tab w:leader="none" w:pos="1291"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Registrar shall promptly register the transfer of ADRs (and of the ADSs represented thereby)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books maintained for such purpose and the Depositary shall promptly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81" w:name="page282"/>
    <w:bookmarkEnd w:id="281"/>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have been paid, </w:t>
      </w:r>
      <w:r>
        <w:rPr>
          <w:rFonts w:ascii="Times New Roman" w:cs="Times New Roman" w:eastAsia="Times New Roman" w:hAnsi="Times New Roman"/>
          <w:sz w:val="22"/>
          <w:szCs w:val="22"/>
          <w:i w:val="1"/>
          <w:iCs w:val="1"/>
          <w:color w:val="auto"/>
        </w:rPr>
        <w:t>subject, however, in each case,</w:t>
      </w:r>
      <w:r>
        <w:rPr>
          <w:rFonts w:ascii="Times New Roman" w:cs="Times New Roman" w:eastAsia="Times New Roman" w:hAnsi="Times New Roman"/>
          <w:sz w:val="22"/>
          <w:szCs w:val="22"/>
          <w:color w:val="auto"/>
        </w:rPr>
        <w:t xml:space="preserve"> to the terms and conditions of the applicable ADRs, of the Deposit Agreement and of applicable law, in each case as in effect at the time thereof.</w:t>
      </w:r>
    </w:p>
    <w:p>
      <w:pPr>
        <w:spacing w:after="0" w:line="172" w:lineRule="exact"/>
        <w:rPr>
          <w:sz w:val="20"/>
          <w:szCs w:val="20"/>
          <w:color w:val="auto"/>
        </w:rPr>
      </w:pPr>
    </w:p>
    <w:p>
      <w:pPr>
        <w:jc w:val="both"/>
        <w:ind w:firstLine="656"/>
        <w:spacing w:after="0" w:line="248" w:lineRule="auto"/>
        <w:tabs>
          <w:tab w:leader="none" w:pos="129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Combination &amp; Split-Up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Registrar shall promptly register the split-up or combination of ADRs (and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ADSs represented thereby) on the books maintained for such purpose and the Depositary shall promptly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have been paid, </w:t>
      </w:r>
      <w:r>
        <w:rPr>
          <w:rFonts w:ascii="Times New Roman" w:cs="Times New Roman" w:eastAsia="Times New Roman" w:hAnsi="Times New Roman"/>
          <w:sz w:val="22"/>
          <w:szCs w:val="22"/>
          <w:i w:val="1"/>
          <w:iCs w:val="1"/>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 in each case</w:t>
      </w:r>
      <w:r>
        <w:rPr>
          <w:rFonts w:ascii="Times New Roman" w:cs="Times New Roman" w:eastAsia="Times New Roman" w:hAnsi="Times New Roman"/>
          <w:sz w:val="22"/>
          <w:szCs w:val="22"/>
          <w:color w:val="auto"/>
        </w:rPr>
        <w:t>, to the terms and conditions of the applicable ADRs, of the Deposit Agreement and of applicable law,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case as in effect at the time thereof.</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2.7 </w:t>
      </w:r>
      <w:r>
        <w:rPr>
          <w:rFonts w:ascii="Times New Roman" w:cs="Times New Roman" w:eastAsia="Times New Roman" w:hAnsi="Times New Roman"/>
          <w:sz w:val="22"/>
          <w:szCs w:val="22"/>
          <w:b w:val="1"/>
          <w:bCs w:val="1"/>
          <w:u w:val="single" w:color="auto"/>
          <w:color w:val="auto"/>
        </w:rPr>
        <w:t>Surrender of ADSs and Withdrawal of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of ADSs shall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Delivery (at the 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have been paid, </w:t>
      </w:r>
      <w:r>
        <w:rPr>
          <w:rFonts w:ascii="Times New Roman" w:cs="Times New Roman" w:eastAsia="Times New Roman" w:hAnsi="Times New Roman"/>
          <w:sz w:val="22"/>
          <w:szCs w:val="22"/>
          <w:i w:val="1"/>
          <w:iCs w:val="1"/>
          <w:color w:val="auto"/>
        </w:rPr>
        <w:t>subject, however, in each case</w:t>
      </w:r>
      <w:r>
        <w:rPr>
          <w:rFonts w:ascii="Times New Roman" w:cs="Times New Roman" w:eastAsia="Times New Roman" w:hAnsi="Times New Roman"/>
          <w:sz w:val="22"/>
          <w:szCs w:val="22"/>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Upon satisfaction of each of the conditions specified above, the Depositary (i) shall promptly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82" w:name="page283"/>
    <w:bookmarkEnd w:id="282"/>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22"/>
          <w:szCs w:val="22"/>
          <w:i w:val="1"/>
          <w:iCs w:val="1"/>
          <w:color w:val="auto"/>
        </w:rPr>
        <w:t>subject however, in each case,</w:t>
      </w:r>
      <w:r>
        <w:rPr>
          <w:rFonts w:ascii="Times New Roman" w:cs="Times New Roman" w:eastAsia="Times New Roman" w:hAnsi="Times New Roman"/>
          <w:sz w:val="22"/>
          <w:szCs w:val="22"/>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w:t>
      </w:r>
    </w:p>
    <w:p>
      <w:pPr>
        <w:spacing w:after="0" w:line="1" w:lineRule="exact"/>
        <w:rPr>
          <w:sz w:val="20"/>
          <w:szCs w:val="20"/>
          <w:color w:val="auto"/>
        </w:rPr>
      </w:pPr>
    </w:p>
    <w:p>
      <w:pPr>
        <w:jc w:val="both"/>
        <w:ind w:firstLine="8"/>
        <w:spacing w:after="0" w:line="243" w:lineRule="auto"/>
        <w:tabs>
          <w:tab w:leader="none" w:pos="27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to the person surrendering such ADSs the number of ADSs representing any remaining fractional Share, or (ii) sell or cause to be sold the fractional Share represented by the ADSs so surrendered and remit the proceeds of such sale (net of</w:t>
      </w:r>
    </w:p>
    <w:p>
      <w:pPr>
        <w:ind w:firstLine="8"/>
        <w:spacing w:after="0" w:line="248" w:lineRule="auto"/>
        <w:tabs>
          <w:tab w:leader="none" w:pos="31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fees and charges of, and expenses incurred by, the Depositary and (b) taxes withheld) to the person surrendering the ADSs.</w:t>
      </w:r>
    </w:p>
    <w:p>
      <w:pPr>
        <w:spacing w:after="0" w:line="18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Upon receipt of satisfactory instructions from ADS Holders and payment of applicable taxes and the ADS fees and charges of the Depositary for the issuance, cancellation, and conversion of ADSs (as set forth in Section 5.9 and Exhibit B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83" w:name="page284"/>
    <w:bookmarkEnd w:id="283"/>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2.8</w:t>
      </w:r>
      <w:r>
        <w:rPr>
          <w:sz w:val="20"/>
          <w:szCs w:val="20"/>
          <w:color w:val="auto"/>
        </w:rPr>
        <w:tab/>
      </w:r>
      <w:r>
        <w:rPr>
          <w:rFonts w:ascii="Times New Roman" w:cs="Times New Roman" w:eastAsia="Times New Roman" w:hAnsi="Times New Roman"/>
          <w:sz w:val="21"/>
          <w:szCs w:val="21"/>
          <w:b w:val="1"/>
          <w:bCs w:val="1"/>
          <w:u w:val="single" w:color="auto"/>
          <w:color w:val="auto"/>
        </w:rPr>
        <w:t>Limitations on Execution and Delivery, Transfer, etc. of ADSs; Suspension of Delivery, Transfer, etc</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jc w:val="both"/>
        <w:ind w:firstLine="656"/>
        <w:spacing w:after="0" w:line="262" w:lineRule="auto"/>
        <w:tabs>
          <w:tab w:leader="none" w:pos="1291" w:val="left"/>
        </w:tabs>
        <w:numPr>
          <w:ilvl w:val="0"/>
          <w:numId w:val="1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Additional Requirements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 condition precedent to the execution and Delivery, the registration of issuance,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71" w:lineRule="exact"/>
        <w:rPr>
          <w:rFonts w:ascii="Times New Roman" w:cs="Times New Roman" w:eastAsia="Times New Roman" w:hAnsi="Times New Roman"/>
          <w:sz w:val="21"/>
          <w:szCs w:val="21"/>
          <w:b w:val="1"/>
          <w:bCs w:val="1"/>
          <w:color w:val="auto"/>
        </w:rPr>
      </w:pPr>
    </w:p>
    <w:p>
      <w:pPr>
        <w:jc w:val="both"/>
        <w:ind w:firstLine="656"/>
        <w:spacing w:after="0" w:line="250" w:lineRule="auto"/>
        <w:tabs>
          <w:tab w:leader="none" w:pos="129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Limitations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issuance of ADSs against deposits of Shares generally or against deposits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3"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Regulatory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 of the Deposit Agreement or any ADR(s)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2.9 </w:t>
      </w:r>
      <w:r>
        <w:rPr>
          <w:rFonts w:ascii="Times New Roman" w:cs="Times New Roman" w:eastAsia="Times New Roman" w:hAnsi="Times New Roman"/>
          <w:sz w:val="22"/>
          <w:szCs w:val="22"/>
          <w:b w:val="1"/>
          <w:bCs w:val="1"/>
          <w:u w:val="single" w:color="auto"/>
          <w:color w:val="auto"/>
        </w:rPr>
        <w:t>Lost ADRs,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case any ADR shall be mutilated, destroyed, lost, or stolen, the Depositary shall execute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deliver a new ADR of like tenor at the expense of the Holder (a) </w:t>
      </w:r>
      <w:r>
        <w:rPr>
          <w:rFonts w:ascii="Times New Roman" w:cs="Times New Roman" w:eastAsia="Times New Roman" w:hAnsi="Times New Roman"/>
          <w:sz w:val="22"/>
          <w:szCs w:val="22"/>
          <w:i w:val="1"/>
          <w:iCs w:val="1"/>
          <w:color w:val="auto"/>
        </w:rPr>
        <w:t>in the case of a mutilated ADR,</w:t>
      </w:r>
      <w:r>
        <w:rPr>
          <w:rFonts w:ascii="Times New Roman" w:cs="Times New Roman" w:eastAsia="Times New Roman" w:hAnsi="Times New Roman"/>
          <w:sz w:val="22"/>
          <w:szCs w:val="22"/>
          <w:color w:val="auto"/>
        </w:rPr>
        <w:t xml:space="preserve"> in exchange of and substitution for such mutilated ADR upon cancellation thereof, or (b) </w:t>
      </w:r>
      <w:r>
        <w:rPr>
          <w:rFonts w:ascii="Times New Roman" w:cs="Times New Roman" w:eastAsia="Times New Roman" w:hAnsi="Times New Roman"/>
          <w:sz w:val="22"/>
          <w:szCs w:val="22"/>
          <w:i w:val="1"/>
          <w:iCs w:val="1"/>
          <w:color w:val="auto"/>
        </w:rPr>
        <w:t>in the case of a destroyed, lost or stolen ADR,</w:t>
      </w:r>
      <w:r>
        <w:rPr>
          <w:rFonts w:ascii="Times New Roman" w:cs="Times New Roman" w:eastAsia="Times New Roman" w:hAnsi="Times New Roman"/>
          <w:sz w:val="22"/>
          <w:szCs w:val="22"/>
          <w:color w:val="auto"/>
        </w:rPr>
        <w:t xml:space="preserve"> in lieu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284" w:name="page285"/>
    <w:bookmarkEnd w:id="284"/>
    <w:p>
      <w:pPr>
        <w:jc w:val="both"/>
        <w:spacing w:after="0" w:line="251" w:lineRule="auto"/>
        <w:rPr>
          <w:sz w:val="20"/>
          <w:szCs w:val="20"/>
          <w:color w:val="auto"/>
        </w:rPr>
      </w:pPr>
      <w:r>
        <w:rPr>
          <w:rFonts w:ascii="Times New Roman" w:cs="Times New Roman" w:eastAsia="Times New Roman" w:hAnsi="Times New Roman"/>
          <w:sz w:val="22"/>
          <w:szCs w:val="22"/>
          <w:color w:val="auto"/>
        </w:rPr>
        <w:t>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2.10 </w:t>
      </w:r>
      <w:r>
        <w:rPr>
          <w:rFonts w:ascii="Times New Roman" w:cs="Times New Roman" w:eastAsia="Times New Roman" w:hAnsi="Times New Roman"/>
          <w:sz w:val="22"/>
          <w:szCs w:val="22"/>
          <w:b w:val="1"/>
          <w:bCs w:val="1"/>
          <w:u w:val="single" w:color="auto"/>
          <w:color w:val="auto"/>
        </w:rPr>
        <w:t>Cancellation and Destruction of Surrendered ADRs; Maintenance of Records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ADRs surrendered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Depositary shall be canceled by the Depositary. Canceled ADRs shall not be entitled to any benefits under the Deposit Agreement or be valid or enforceable against the Depositary or the Company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2.11 </w:t>
      </w:r>
      <w:r>
        <w:rPr>
          <w:rFonts w:ascii="Times New Roman" w:cs="Times New Roman" w:eastAsia="Times New Roman" w:hAnsi="Times New Roman"/>
          <w:sz w:val="22"/>
          <w:szCs w:val="22"/>
          <w:b w:val="1"/>
          <w:bCs w:val="1"/>
          <w:u w:val="single" w:color="auto"/>
          <w:color w:val="auto"/>
        </w:rPr>
        <w:t>Escheatment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any unclaimed property relating to the ADSs, for any reason, is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Depositary and 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Section 2.12 </w:t>
      </w:r>
      <w:r>
        <w:rPr>
          <w:rFonts w:ascii="Times New Roman" w:cs="Times New Roman" w:eastAsia="Times New Roman" w:hAnsi="Times New Roman"/>
          <w:sz w:val="21"/>
          <w:szCs w:val="21"/>
          <w:b w:val="1"/>
          <w:bCs w:val="1"/>
          <w:u w:val="single" w:color="auto"/>
          <w:color w:val="auto"/>
        </w:rPr>
        <w:t>Partial Entitlement ADSs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any Shares are deposited which (i) entitle the holders thereof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a per-share 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21"/>
          <w:szCs w:val="21"/>
          <w:u w:val="single" w:color="auto"/>
          <w:color w:val="auto"/>
        </w:rPr>
        <w:t>Full Entitlement Shares</w:t>
      </w:r>
      <w:r>
        <w:rPr>
          <w:rFonts w:ascii="Times New Roman" w:cs="Times New Roman" w:eastAsia="Times New Roman" w:hAnsi="Times New Roman"/>
          <w:sz w:val="21"/>
          <w:szCs w:val="21"/>
          <w:color w:val="auto"/>
        </w:rPr>
        <w:t>” and the Shares with different entitlement, “</w:t>
      </w:r>
      <w:r>
        <w:rPr>
          <w:rFonts w:ascii="Times New Roman" w:cs="Times New Roman" w:eastAsia="Times New Roman" w:hAnsi="Times New Roman"/>
          <w:sz w:val="21"/>
          <w:szCs w:val="21"/>
          <w:u w:val="single" w:color="auto"/>
          <w:color w:val="auto"/>
        </w:rPr>
        <w:t>Partial Entitlement Shares</w:t>
      </w:r>
      <w:r>
        <w:rPr>
          <w:rFonts w:ascii="Times New Roman" w:cs="Times New Roman" w:eastAsia="Times New Roman" w:hAnsi="Times New Roman"/>
          <w:sz w:val="21"/>
          <w:szCs w:val="21"/>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21"/>
          <w:szCs w:val="21"/>
          <w:u w:val="single" w:color="auto"/>
          <w:color w:val="auto"/>
        </w:rPr>
        <w:t>Partial Entitlement ADSs/ADRs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Full Entitlement ADSs/ADRs</w:t>
      </w:r>
      <w:r>
        <w:rPr>
          <w:rFonts w:ascii="Times New Roman" w:cs="Times New Roman" w:eastAsia="Times New Roman" w:hAnsi="Times New Roman"/>
          <w:sz w:val="21"/>
          <w:szCs w:val="21"/>
          <w:color w:val="auto"/>
        </w:rPr>
        <w:t>”,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Exhibit B hereto) for each of the issuance, cancellation, transfer and conversion processes undertaken in connection with the removal of distinctions between the Partial Entitlement ADRs, the Partial Entitlement ADSs and/or the Partial Entitlement Shares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285" w:name="page286"/>
    <w:bookmarkEnd w:id="285"/>
    <w:p>
      <w:pPr>
        <w:jc w:val="both"/>
        <w:spacing w:after="0" w:line="248" w:lineRule="auto"/>
        <w:rPr>
          <w:sz w:val="20"/>
          <w:szCs w:val="20"/>
          <w:color w:val="auto"/>
        </w:rPr>
      </w:pPr>
      <w:r>
        <w:rPr>
          <w:rFonts w:ascii="Times New Roman" w:cs="Times New Roman" w:eastAsia="Times New Roman" w:hAnsi="Times New Roman"/>
          <w:sz w:val="22"/>
          <w:szCs w:val="22"/>
          <w:color w:val="auto"/>
        </w:rPr>
        <w:t>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2.13 </w:t>
      </w:r>
      <w:r>
        <w:rPr>
          <w:rFonts w:ascii="Times New Roman" w:cs="Times New Roman" w:eastAsia="Times New Roman" w:hAnsi="Times New Roman"/>
          <w:sz w:val="21"/>
          <w:szCs w:val="21"/>
          <w:b w:val="1"/>
          <w:bCs w:val="1"/>
          <w:u w:val="single" w:color="auto"/>
          <w:color w:val="auto"/>
        </w:rPr>
        <w:t>Certificated/Uncertificated ADSs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other provision of the Deposit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Depositary may, at any time and from time to time, issue ADSs that are not evidenced by ADRs (such ADSs, the “</w:t>
      </w:r>
      <w:r>
        <w:rPr>
          <w:rFonts w:ascii="Times New Roman" w:cs="Times New Roman" w:eastAsia="Times New Roman" w:hAnsi="Times New Roman"/>
          <w:sz w:val="21"/>
          <w:szCs w:val="21"/>
          <w:u w:val="single" w:color="auto"/>
          <w:color w:val="auto"/>
        </w:rPr>
        <w:t>Uncertificated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ADS(s)</w:t>
      </w:r>
      <w:r>
        <w:rPr>
          <w:rFonts w:ascii="Times New Roman" w:cs="Times New Roman" w:eastAsia="Times New Roman" w:hAnsi="Times New Roman"/>
          <w:sz w:val="21"/>
          <w:szCs w:val="21"/>
          <w:color w:val="auto"/>
        </w:rPr>
        <w:t xml:space="preserve"> ” and the ADS(s) evidenced by ADR(s), the “</w:t>
      </w:r>
      <w:r>
        <w:rPr>
          <w:rFonts w:ascii="Times New Roman" w:cs="Times New Roman" w:eastAsia="Times New Roman" w:hAnsi="Times New Roman"/>
          <w:sz w:val="21"/>
          <w:szCs w:val="21"/>
          <w:u w:val="single" w:color="auto"/>
          <w:color w:val="auto"/>
        </w:rPr>
        <w:t>Certificated ADS(s)</w:t>
      </w:r>
      <w:r>
        <w:rPr>
          <w:rFonts w:ascii="Times New Roman" w:cs="Times New Roman" w:eastAsia="Times New Roman" w:hAnsi="Times New Roman"/>
          <w:sz w:val="21"/>
          <w:szCs w:val="21"/>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w:t>
      </w:r>
    </w:p>
    <w:p>
      <w:pPr>
        <w:spacing w:after="0" w:line="12" w:lineRule="exact"/>
        <w:rPr>
          <w:sz w:val="20"/>
          <w:szCs w:val="20"/>
          <w:color w:val="auto"/>
        </w:rPr>
      </w:pPr>
    </w:p>
    <w:p>
      <w:pPr>
        <w:jc w:val="both"/>
        <w:ind w:firstLine="8"/>
        <w:spacing w:after="0" w:line="249" w:lineRule="auto"/>
        <w:tabs>
          <w:tab w:leader="none" w:pos="29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286" w:name="page287"/>
    <w:bookmarkEnd w:id="286"/>
    <w:p>
      <w:pPr>
        <w:jc w:val="both"/>
        <w:spacing w:after="0" w:line="258" w:lineRule="auto"/>
        <w:rPr>
          <w:sz w:val="20"/>
          <w:szCs w:val="20"/>
          <w:color w:val="auto"/>
        </w:rPr>
      </w:pPr>
      <w:r>
        <w:rPr>
          <w:rFonts w:ascii="Times New Roman" w:cs="Times New Roman" w:eastAsia="Times New Roman" w:hAnsi="Times New Roman"/>
          <w:sz w:val="21"/>
          <w:szCs w:val="21"/>
          <w:color w:val="auto"/>
        </w:rPr>
        <w:t>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2.14 </w:t>
      </w:r>
      <w:r>
        <w:rPr>
          <w:rFonts w:ascii="Times New Roman" w:cs="Times New Roman" w:eastAsia="Times New Roman" w:hAnsi="Times New Roman"/>
          <w:sz w:val="22"/>
          <w:szCs w:val="22"/>
          <w:b w:val="1"/>
          <w:bCs w:val="1"/>
          <w:u w:val="single" w:color="auto"/>
          <w:color w:val="auto"/>
        </w:rPr>
        <w:t>Restricted ADSs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shall, at the request and expense of the Company, establish procedures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enabling the deposit 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22"/>
          <w:szCs w:val="22"/>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Upon receipt of a written request from the Company to accept Restricted Shares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87" w:name="page288"/>
    <w:bookmarkEnd w:id="287"/>
    <w:p>
      <w:pPr>
        <w:jc w:val="both"/>
        <w:spacing w:after="0" w:line="258" w:lineRule="auto"/>
        <w:rPr>
          <w:sz w:val="20"/>
          <w:szCs w:val="20"/>
          <w:color w:val="auto"/>
        </w:rPr>
      </w:pPr>
      <w:r>
        <w:rPr>
          <w:rFonts w:ascii="Times New Roman" w:cs="Times New Roman" w:eastAsia="Times New Roman" w:hAnsi="Times New Roman"/>
          <w:sz w:val="21"/>
          <w:szCs w:val="21"/>
          <w:color w:val="auto"/>
        </w:rPr>
        <w:t>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21"/>
          <w:szCs w:val="21"/>
          <w:u w:val="single" w:color="auto"/>
          <w:color w:val="auto"/>
        </w:rPr>
        <w:t>Restricted ADSs</w:t>
      </w:r>
      <w:r>
        <w:rPr>
          <w:rFonts w:ascii="Times New Roman" w:cs="Times New Roman" w:eastAsia="Times New Roman" w:hAnsi="Times New Roman"/>
          <w:sz w:val="21"/>
          <w:szCs w:val="21"/>
          <w:color w:val="auto"/>
        </w:rPr>
        <w:t>,” and the ADRs evidencing such Restricted ADSs, the “</w:t>
      </w:r>
      <w:r>
        <w:rPr>
          <w:rFonts w:ascii="Times New Roman" w:cs="Times New Roman" w:eastAsia="Times New Roman" w:hAnsi="Times New Roman"/>
          <w:sz w:val="21"/>
          <w:szCs w:val="21"/>
          <w:u w:val="single" w:color="auto"/>
          <w:color w:val="auto"/>
        </w:rPr>
        <w:t>Restricted ADRs</w:t>
      </w:r>
      <w:r>
        <w:rPr>
          <w:rFonts w:ascii="Times New Roman" w:cs="Times New Roman" w:eastAsia="Times New Roman" w:hAnsi="Times New Roman"/>
          <w:sz w:val="21"/>
          <w:szCs w:val="21"/>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21"/>
          <w:szCs w:val="21"/>
          <w:u w:val="single" w:color="auto"/>
          <w:color w:val="auto"/>
        </w:rPr>
        <w:t>Uncertificated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Restricted ADSs</w:t>
      </w:r>
      <w:r>
        <w:rPr>
          <w:rFonts w:ascii="Times New Roman" w:cs="Times New Roman" w:eastAsia="Times New Roman" w:hAnsi="Times New Roman"/>
          <w:sz w:val="21"/>
          <w:szCs w:val="21"/>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88" w:name="page289"/>
    <w:bookmarkEnd w:id="288"/>
    <w:p>
      <w:pPr>
        <w:jc w:val="both"/>
        <w:spacing w:after="0" w:line="271" w:lineRule="auto"/>
        <w:rPr>
          <w:sz w:val="20"/>
          <w:szCs w:val="20"/>
          <w:color w:val="auto"/>
        </w:rPr>
      </w:pPr>
      <w:r>
        <w:rPr>
          <w:rFonts w:ascii="Times New Roman" w:cs="Times New Roman" w:eastAsia="Times New Roman" w:hAnsi="Times New Roman"/>
          <w:sz w:val="22"/>
          <w:szCs w:val="22"/>
          <w:color w:val="auto"/>
        </w:rPr>
        <w:t>govern the rights and obligations of the parties to the Deposit Agreement pertaining to the deposited Restricted Shares, the Restricted ADSs and Restricted ADRs.</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If the Restricted ADRs, the Restricted ADSs and the Restricted Shares cease to be Restricted Securities, the Depositary, upon receipt of (x) an opinion of counsel reasonably satisfactory to the Depositary setting forth, inter alia,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Exhibit B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CERTAIN OBLIGATIONS OF HOLDERS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BENEFICIAL OWNERS OF ADSs</w:t>
      </w:r>
    </w:p>
    <w:p>
      <w:pPr>
        <w:spacing w:after="0" w:line="20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3.1 </w:t>
      </w:r>
      <w:r>
        <w:rPr>
          <w:rFonts w:ascii="Times New Roman" w:cs="Times New Roman" w:eastAsia="Times New Roman" w:hAnsi="Times New Roman"/>
          <w:sz w:val="22"/>
          <w:szCs w:val="22"/>
          <w:b w:val="1"/>
          <w:bCs w:val="1"/>
          <w:u w:val="single" w:color="auto"/>
          <w:color w:val="auto"/>
        </w:rPr>
        <w:t>Proofs, Certificates and Other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person presenting Shares for deposit, any Holder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89" w:name="page290"/>
    <w:bookmarkEnd w:id="289"/>
    <w:p>
      <w:pPr>
        <w:jc w:val="both"/>
        <w:spacing w:after="0" w:line="248" w:lineRule="auto"/>
        <w:rPr>
          <w:sz w:val="20"/>
          <w:szCs w:val="20"/>
          <w:color w:val="auto"/>
        </w:rPr>
      </w:pPr>
      <w:r>
        <w:rPr>
          <w:rFonts w:ascii="Times New Roman" w:cs="Times New Roman" w:eastAsia="Times New Roman" w:hAnsi="Times New Roman"/>
          <w:sz w:val="22"/>
          <w:szCs w:val="22"/>
          <w:color w:val="auto"/>
        </w:rPr>
        <w:t>may reasonably require by written request to the Depositary consistent with its obligations under the Deposit Agreement and the applicable ADR(s) and the Holder or Beneficial Owner is legally able to provide. The Depositary and the Registrar, as applicable, may, and at the request of the Company, shall, to the extent practicable,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(whether or not the Holder or Beneficial Owner is legally able to provide it).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Section 3.2 </w:t>
      </w:r>
      <w:r>
        <w:rPr>
          <w:rFonts w:ascii="Times New Roman" w:cs="Times New Roman" w:eastAsia="Times New Roman" w:hAnsi="Times New Roman"/>
          <w:sz w:val="21"/>
          <w:szCs w:val="21"/>
          <w:b w:val="1"/>
          <w:bCs w:val="1"/>
          <w:u w:val="single" w:color="auto"/>
          <w:color w:val="auto"/>
        </w:rPr>
        <w:t>Liability for Taxes and Other Charges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tax or other governmental charge payable by the Custodian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by the 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90" w:name="page291"/>
    <w:bookmarkEnd w:id="290"/>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3.3 </w:t>
      </w:r>
      <w:r>
        <w:rPr>
          <w:rFonts w:ascii="Times New Roman" w:cs="Times New Roman" w:eastAsia="Times New Roman" w:hAnsi="Times New Roman"/>
          <w:sz w:val="21"/>
          <w:szCs w:val="21"/>
          <w:b w:val="1"/>
          <w:bCs w:val="1"/>
          <w:u w:val="single" w:color="auto"/>
          <w:color w:val="auto"/>
        </w:rPr>
        <w:t>Representations and Warranties on Deposit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person depositing Shares under the Deposit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deemed thereby to represent and warrant that (i) such Shares and the certificates therefor are duly authorized, validly issued, fully paid, non-assessable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not subject to call for payment of further capital)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3.4 </w:t>
      </w:r>
      <w:r>
        <w:rPr>
          <w:rFonts w:ascii="Times New Roman" w:cs="Times New Roman" w:eastAsia="Times New Roman" w:hAnsi="Times New Roman"/>
          <w:sz w:val="22"/>
          <w:szCs w:val="22"/>
          <w:b w:val="1"/>
          <w:bCs w:val="1"/>
          <w:u w:val="single" w:color="auto"/>
          <w:color w:val="auto"/>
        </w:rPr>
        <w:t>Compliance with Information Requests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the Deposit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any ADR(s), each Holder and Beneficial Owner agrees to comply with requests from the Company pursuant to applicable law, the rules and requirements of any stock exchange on which the Shares or ADSs are, or will be, registered, traded or listed and/or the Articles of Association of the Company, which are made to provide information,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commercially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3.5 </w:t>
      </w:r>
      <w:r>
        <w:rPr>
          <w:rFonts w:ascii="Times New Roman" w:cs="Times New Roman" w:eastAsia="Times New Roman" w:hAnsi="Times New Roman"/>
          <w:sz w:val="22"/>
          <w:szCs w:val="22"/>
          <w:b w:val="1"/>
          <w:bCs w:val="1"/>
          <w:u w:val="single" w:color="auto"/>
          <w:color w:val="auto"/>
        </w:rPr>
        <w:t>Ownership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contained in the Deposit Agreement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ADR(s) to the 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18" w:right="339" w:bottom="1440" w:gutter="0" w:footer="0" w:header="0"/>
        </w:sectPr>
      </w:pPr>
    </w:p>
    <w:bookmarkStart w:id="291" w:name="page292"/>
    <w:bookmarkEnd w:id="291"/>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3.6 </w:t>
      </w:r>
      <w:r>
        <w:rPr>
          <w:rFonts w:ascii="Times New Roman" w:cs="Times New Roman" w:eastAsia="Times New Roman" w:hAnsi="Times New Roman"/>
          <w:sz w:val="22"/>
          <w:szCs w:val="22"/>
          <w:b w:val="1"/>
          <w:bCs w:val="1"/>
          <w:u w:val="single" w:color="auto"/>
          <w:color w:val="auto"/>
        </w:rPr>
        <w:t>Reporting Obligations and Regulatory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 of the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of the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DEPOSITED SECURITIES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4.1 </w:t>
      </w:r>
      <w:r>
        <w:rPr>
          <w:rFonts w:ascii="Times New Roman" w:cs="Times New Roman" w:eastAsia="Times New Roman" w:hAnsi="Times New Roman"/>
          <w:sz w:val="22"/>
          <w:szCs w:val="22"/>
          <w:b w:val="1"/>
          <w:bCs w:val="1"/>
          <w:u w:val="single" w:color="auto"/>
          <w:color w:val="auto"/>
        </w:rPr>
        <w:t>Cash Distributions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the Company intends to make a distribution of a cash dividend or other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distribution in 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in respect of any Deposited Property (whether from the Company or otherwise), or (y)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18" w:right="339" w:bottom="1440" w:gutter="0" w:footer="0" w:header="0"/>
        </w:sectPr>
      </w:pPr>
    </w:p>
    <w:bookmarkStart w:id="292" w:name="page293"/>
    <w:bookmarkEnd w:id="292"/>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4.2 </w:t>
      </w:r>
      <w:r>
        <w:rPr>
          <w:rFonts w:ascii="Times New Roman" w:cs="Times New Roman" w:eastAsia="Times New Roman" w:hAnsi="Times New Roman"/>
          <w:sz w:val="22"/>
          <w:szCs w:val="22"/>
          <w:b w:val="1"/>
          <w:bCs w:val="1"/>
          <w:u w:val="single" w:color="auto"/>
          <w:color w:val="auto"/>
        </w:rPr>
        <w:t>Distribution in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the Company intends to make a distribution that consists of a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or free distribution of, Shares,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93" w:name="page294"/>
    <w:bookmarkEnd w:id="293"/>
    <w:p>
      <w:pPr>
        <w:jc w:val="both"/>
        <w:spacing w:after="0" w:line="259" w:lineRule="auto"/>
        <w:rPr>
          <w:sz w:val="20"/>
          <w:szCs w:val="20"/>
          <w:color w:val="auto"/>
        </w:rPr>
      </w:pPr>
      <w:r>
        <w:rPr>
          <w:rFonts w:ascii="Times New Roman" w:cs="Times New Roman" w:eastAsia="Times New Roman" w:hAnsi="Times New Roman"/>
          <w:sz w:val="21"/>
          <w:szCs w:val="21"/>
          <w:color w:val="auto"/>
        </w:rPr>
        <w:t>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reasonable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4.3 </w:t>
      </w:r>
      <w:r>
        <w:rPr>
          <w:rFonts w:ascii="Times New Roman" w:cs="Times New Roman" w:eastAsia="Times New Roman" w:hAnsi="Times New Roman"/>
          <w:sz w:val="22"/>
          <w:szCs w:val="22"/>
          <w:b w:val="1"/>
          <w:bCs w:val="1"/>
          <w:u w:val="single" w:color="auto"/>
          <w:color w:val="auto"/>
        </w:rPr>
        <w:t>Elective Distributions in Cash or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the Company intends to make a distribution payable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 the election of the 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294" w:name="page295"/>
    <w:bookmarkEnd w:id="294"/>
    <w:p>
      <w:pPr>
        <w:jc w:val="both"/>
        <w:spacing w:after="0" w:line="248" w:lineRule="auto"/>
        <w:rPr>
          <w:sz w:val="20"/>
          <w:szCs w:val="20"/>
          <w:color w:val="auto"/>
        </w:rPr>
      </w:pPr>
      <w:r>
        <w:rPr>
          <w:rFonts w:ascii="Times New Roman" w:cs="Times New Roman" w:eastAsia="Times New Roman" w:hAnsi="Times New Roman"/>
          <w:sz w:val="22"/>
          <w:szCs w:val="22"/>
          <w:color w:val="auto"/>
        </w:rPr>
        <w:t>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79"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4.4</w:t>
      </w:r>
      <w:r>
        <w:rPr>
          <w:sz w:val="20"/>
          <w:szCs w:val="20"/>
          <w:color w:val="auto"/>
        </w:rPr>
        <w:tab/>
      </w:r>
      <w:r>
        <w:rPr>
          <w:rFonts w:ascii="Times New Roman" w:cs="Times New Roman" w:eastAsia="Times New Roman" w:hAnsi="Times New Roman"/>
          <w:sz w:val="21"/>
          <w:szCs w:val="21"/>
          <w:b w:val="1"/>
          <w:bCs w:val="1"/>
          <w:u w:val="single" w:color="auto"/>
          <w:color w:val="auto"/>
        </w:rPr>
        <w:t>Distribution of Rights to Purchase Additional ADSs</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jc w:val="both"/>
        <w:ind w:firstLine="656"/>
        <w:spacing w:after="0" w:line="247" w:lineRule="auto"/>
        <w:tabs>
          <w:tab w:leader="none" w:pos="1291"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Distribution to ADS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the Company intends to distribute to the holders of the Deposited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Securities 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95" w:name="page296"/>
    <w:bookmarkEnd w:id="295"/>
    <w:p>
      <w:pPr>
        <w:spacing w:after="0" w:line="271" w:lineRule="auto"/>
        <w:rPr>
          <w:sz w:val="20"/>
          <w:szCs w:val="20"/>
          <w:color w:val="auto"/>
        </w:rPr>
      </w:pPr>
      <w:r>
        <w:rPr>
          <w:rFonts w:ascii="Times New Roman" w:cs="Times New Roman" w:eastAsia="Times New Roman" w:hAnsi="Times New Roman"/>
          <w:sz w:val="22"/>
          <w:szCs w:val="22"/>
          <w:color w:val="auto"/>
        </w:rPr>
        <w:t>Company shall assist the Depositary to the extent necessary in establishing such procedures. Nothing herein shall obligate the Depositary to make available to the Holders a method to exercise rights to subscribe for Shares (rather than ADSs).</w:t>
      </w:r>
    </w:p>
    <w:p>
      <w:pPr>
        <w:spacing w:after="0" w:line="154" w:lineRule="exact"/>
        <w:rPr>
          <w:sz w:val="20"/>
          <w:szCs w:val="20"/>
          <w:color w:val="auto"/>
        </w:rPr>
      </w:pPr>
    </w:p>
    <w:p>
      <w:pPr>
        <w:jc w:val="both"/>
        <w:ind w:firstLine="656"/>
        <w:spacing w:after="0" w:line="265" w:lineRule="auto"/>
        <w:tabs>
          <w:tab w:leader="none" w:pos="1290" w:val="left"/>
        </w:tabs>
        <w:numPr>
          <w:ilvl w:val="0"/>
          <w:numId w:val="1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Sale of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(i) the Company does not timely request the Depositary to make the rights available to 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requests that the 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reasonable expenses incurred by, the Depositary and (b) taxes) upon the terms set forth in Section 4.1.</w:t>
      </w:r>
    </w:p>
    <w:p>
      <w:pPr>
        <w:spacing w:after="0" w:line="161" w:lineRule="exact"/>
        <w:rPr>
          <w:rFonts w:ascii="Times New Roman" w:cs="Times New Roman" w:eastAsia="Times New Roman" w:hAnsi="Times New Roman"/>
          <w:sz w:val="21"/>
          <w:szCs w:val="21"/>
          <w:b w:val="1"/>
          <w:bCs w:val="1"/>
          <w:color w:val="auto"/>
        </w:rPr>
      </w:pPr>
    </w:p>
    <w:p>
      <w:pPr>
        <w:jc w:val="both"/>
        <w:ind w:firstLine="656"/>
        <w:spacing w:after="0" w:line="259" w:lineRule="auto"/>
        <w:tabs>
          <w:tab w:leader="none" w:pos="1293"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Lapse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Depositary is unable to make any rights available to Holders upon the terms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4.4(a) or to arrange for the sale of the rights upon the terms described in Section 4.4(b), the Depositary shall allow such rights to lapse.</w:t>
      </w:r>
    </w:p>
    <w:p>
      <w:pPr>
        <w:spacing w:after="0" w:line="1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296" w:name="page297"/>
    <w:bookmarkEnd w:id="296"/>
    <w:p>
      <w:pPr>
        <w:jc w:val="both"/>
        <w:spacing w:after="0" w:line="271" w:lineRule="auto"/>
        <w:rPr>
          <w:sz w:val="20"/>
          <w:szCs w:val="20"/>
          <w:color w:val="auto"/>
        </w:rPr>
      </w:pPr>
      <w:r>
        <w:rPr>
          <w:rFonts w:ascii="Times New Roman" w:cs="Times New Roman" w:eastAsia="Times New Roman" w:hAnsi="Times New Roman"/>
          <w:sz w:val="22"/>
          <w:szCs w:val="22"/>
          <w:color w:val="auto"/>
        </w:rPr>
        <w:t>rights to subscribe therefor) in such amounts and in such manner, including by public or private sale, as the Depositary deems necessary and practicable to pay any such taxes or charges.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4.5</w:t>
      </w:r>
      <w:r>
        <w:rPr>
          <w:sz w:val="20"/>
          <w:szCs w:val="20"/>
          <w:color w:val="auto"/>
        </w:rPr>
        <w:tab/>
      </w:r>
      <w:r>
        <w:rPr>
          <w:rFonts w:ascii="Times New Roman" w:cs="Times New Roman" w:eastAsia="Times New Roman" w:hAnsi="Times New Roman"/>
          <w:sz w:val="21"/>
          <w:szCs w:val="21"/>
          <w:b w:val="1"/>
          <w:bCs w:val="1"/>
          <w:u w:val="single" w:color="auto"/>
          <w:color w:val="auto"/>
        </w:rPr>
        <w:t>Distributions Other Than Cash, Shares or Rights to Purchase Shares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61" w:lineRule="auto"/>
        <w:tabs>
          <w:tab w:leader="none" w:pos="1291" w:val="left"/>
        </w:tabs>
        <w:numPr>
          <w:ilvl w:val="1"/>
          <w:numId w:val="1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w:t>
      </w:r>
    </w:p>
    <w:p>
      <w:pPr>
        <w:ind w:right="20" w:firstLine="8"/>
        <w:spacing w:after="0" w:line="261" w:lineRule="auto"/>
        <w:tabs>
          <w:tab w:leader="none" w:pos="33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Depositary shall have received satisfactory documentation within the terms of Section 5.7, and (iii) the Depositary shall have determined that such distribution is reasonably practicable.</w:t>
      </w:r>
    </w:p>
    <w:p>
      <w:pPr>
        <w:spacing w:after="0" w:line="168"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0" w:val="left"/>
        </w:tabs>
        <w:numPr>
          <w:ilvl w:val="1"/>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3" w:val="left"/>
        </w:tabs>
        <w:numPr>
          <w:ilvl w:val="1"/>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2"/>
          <w:szCs w:val="22"/>
          <w:color w:val="auto"/>
        </w:rPr>
        <w:t>property for the account of the Holders in any way it deems reasonably practicable under the circumstances.</w:t>
      </w:r>
    </w:p>
    <w:p>
      <w:pPr>
        <w:spacing w:after="0" w:line="220" w:lineRule="exact"/>
        <w:rPr>
          <w:sz w:val="20"/>
          <w:szCs w:val="20"/>
          <w:color w:val="auto"/>
        </w:rPr>
      </w:pPr>
    </w:p>
    <w:p>
      <w:pPr>
        <w:jc w:val="both"/>
        <w:ind w:firstLine="656"/>
        <w:spacing w:after="0" w:line="263" w:lineRule="auto"/>
        <w:tabs>
          <w:tab w:leader="none" w:pos="129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63"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4.6</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4.7 </w:t>
      </w:r>
      <w:r>
        <w:rPr>
          <w:rFonts w:ascii="Times New Roman" w:cs="Times New Roman" w:eastAsia="Times New Roman" w:hAnsi="Times New Roman"/>
          <w:sz w:val="22"/>
          <w:szCs w:val="22"/>
          <w:b w:val="1"/>
          <w:bCs w:val="1"/>
          <w:u w:val="single" w:color="auto"/>
          <w:color w:val="auto"/>
        </w:rPr>
        <w:t>Redemption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Company intends to exercise any right of redemption in respect of any of the Deposited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the Company shall give 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Depository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the funds representing the redemption price have been received, the Depositary shall convert, transfer, and distribute the proceeds (net of applicable (a) fees and charges of, and the reasonable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20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9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4.8 </w:t>
      </w:r>
      <w:r>
        <w:rPr>
          <w:rFonts w:ascii="Times New Roman" w:cs="Times New Roman" w:eastAsia="Times New Roman" w:hAnsi="Times New Roman"/>
          <w:sz w:val="22"/>
          <w:szCs w:val="22"/>
          <w:b w:val="1"/>
          <w:bCs w:val="1"/>
          <w:u w:val="single" w:color="auto"/>
          <w:color w:val="auto"/>
        </w:rPr>
        <w:t>Conversion of Foreign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the Depositary or the Custodian shall receive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by way of dividends or other distributions or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298" w:name="page299"/>
    <w:bookmarkEnd w:id="298"/>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proceeds from the sale of Deposited Property, which in the reasonable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4.9 </w:t>
      </w:r>
      <w:r>
        <w:rPr>
          <w:rFonts w:ascii="Times New Roman" w:cs="Times New Roman" w:eastAsia="Times New Roman" w:hAnsi="Times New Roman"/>
          <w:sz w:val="21"/>
          <w:szCs w:val="21"/>
          <w:b w:val="1"/>
          <w:bCs w:val="1"/>
          <w:u w:val="single" w:color="auto"/>
          <w:color w:val="auto"/>
        </w:rPr>
        <w:t>Fixing of ADS Record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Whenever (a) the Depositary shall receive notice of the fixing of a record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by the Company 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21"/>
          <w:szCs w:val="21"/>
          <w:u w:val="single" w:color="auto"/>
          <w:color w:val="auto"/>
        </w:rPr>
        <w:t>ADS Record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299" w:name="page300"/>
    <w:bookmarkEnd w:id="299"/>
    <w:p>
      <w:pPr>
        <w:jc w:val="both"/>
        <w:spacing w:after="0" w:line="250" w:lineRule="auto"/>
        <w:rPr>
          <w:sz w:val="20"/>
          <w:szCs w:val="20"/>
          <w:color w:val="auto"/>
        </w:rPr>
      </w:pPr>
      <w:r>
        <w:rPr>
          <w:rFonts w:ascii="Times New Roman" w:cs="Times New Roman" w:eastAsia="Times New Roman" w:hAnsi="Times New Roman"/>
          <w:sz w:val="22"/>
          <w:szCs w:val="22"/>
          <w:color w:val="auto"/>
        </w:rPr>
        <w:t>by each ADS. The Depositary shall make commercially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4.10 </w:t>
      </w:r>
      <w:r>
        <w:rPr>
          <w:rFonts w:ascii="Times New Roman" w:cs="Times New Roman" w:eastAsia="Times New Roman" w:hAnsi="Times New Roman"/>
          <w:sz w:val="22"/>
          <w:szCs w:val="22"/>
          <w:b w:val="1"/>
          <w:bCs w:val="1"/>
          <w:u w:val="single" w:color="auto"/>
          <w:color w:val="auto"/>
        </w:rPr>
        <w:t>Voting of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soon as practicable after receipt of notice of any meeting at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 of Deposited 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Depositary has been advised by the Company that under the Articles of Association of the Company as in effect on the date of the Deposit Agreement, voting at any meeting of shareholders of the Company is by poll</w:t>
      </w:r>
      <w:r>
        <w:rPr>
          <w:rFonts w:ascii="Times New Roman" w:cs="Times New Roman" w:eastAsia="Times New Roman" w:hAnsi="Times New Roman"/>
          <w:sz w:val="22"/>
          <w:szCs w:val="22"/>
          <w:b w:val="1"/>
          <w:bCs w:val="1"/>
          <w:color w:val="auto"/>
        </w:rPr>
        <w: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300" w:name="page301"/>
    <w:bookmarkEnd w:id="300"/>
    <w:p>
      <w:pPr>
        <w:jc w:val="both"/>
        <w:spacing w:after="0" w:line="271" w:lineRule="auto"/>
        <w:rPr>
          <w:sz w:val="20"/>
          <w:szCs w:val="20"/>
          <w:color w:val="auto"/>
        </w:rPr>
      </w:pPr>
      <w:r>
        <w:rPr>
          <w:rFonts w:ascii="Times New Roman" w:cs="Times New Roman" w:eastAsia="Times New Roman" w:hAnsi="Times New Roman"/>
          <w:sz w:val="22"/>
          <w:szCs w:val="22"/>
          <w:color w:val="auto"/>
        </w:rPr>
        <w:t>of the Deposited Securities, to vote, or cause the Custodian to vote, the Deposited Securities (in person or by proxy) represented by such Holder’s ADSs in accordance with such voting instructions.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the laws of the U.S. or England and Wales. The Company agrees to take any and all actions reasonably necessary and as permitted by the laws of the U.S. and England and Wales to enable Holders and Beneficial Owners to exercise the voting rights accruing to the Deposited Securities and to deliver to the Depositary an opinion of U.S. counsel addressing any actions requested to be taken if reasonably requested by the Depositary.</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There can be no assurance that Holders generally or any Holder in particular will receive the notice described above with sufficient time to enable the Holder to return voting instructions to the Depositary in a timely manner, provided that the Depositary will nonetheless take commercially reasonable efforts to deliver the notice described above to Holders as soon as practicable after receipt of the notice from Company.</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4.11 </w:t>
      </w:r>
      <w:r>
        <w:rPr>
          <w:rFonts w:ascii="Times New Roman" w:cs="Times New Roman" w:eastAsia="Times New Roman" w:hAnsi="Times New Roman"/>
          <w:sz w:val="22"/>
          <w:szCs w:val="22"/>
          <w:b w:val="1"/>
          <w:bCs w:val="1"/>
          <w:u w:val="single" w:color="auto"/>
          <w:color w:val="auto"/>
        </w:rPr>
        <w:t>Changes Affecting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any change in nominal value, sub-division, cancellation,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consolidation or any other 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301" w:name="page302"/>
    <w:bookmarkEnd w:id="301"/>
    <w:p>
      <w:pPr>
        <w:jc w:val="both"/>
        <w:spacing w:after="0" w:line="261" w:lineRule="auto"/>
        <w:rPr>
          <w:sz w:val="20"/>
          <w:szCs w:val="20"/>
          <w:color w:val="auto"/>
        </w:rPr>
      </w:pPr>
      <w:r>
        <w:rPr>
          <w:rFonts w:ascii="Times New Roman" w:cs="Times New Roman" w:eastAsia="Times New Roman" w:hAnsi="Times New Roman"/>
          <w:sz w:val="21"/>
          <w:szCs w:val="21"/>
          <w:color w:val="auto"/>
        </w:rPr>
        <w:t>Property. In giving effect to such change, sub-division,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sz w:val="20"/>
          <w:szCs w:val="20"/>
          <w:color w:val="auto"/>
        </w:rPr>
      </w:pPr>
    </w:p>
    <w:p>
      <w:pPr>
        <w:jc w:val="both"/>
        <w:ind w:firstLine="8"/>
        <w:spacing w:after="0" w:line="246" w:lineRule="auto"/>
        <w:tabs>
          <w:tab w:leader="none" w:pos="32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4.12 </w:t>
      </w:r>
      <w:r>
        <w:rPr>
          <w:rFonts w:ascii="Times New Roman" w:cs="Times New Roman" w:eastAsia="Times New Roman" w:hAnsi="Times New Roman"/>
          <w:sz w:val="22"/>
          <w:szCs w:val="22"/>
          <w:b w:val="1"/>
          <w:bCs w:val="1"/>
          <w:u w:val="single" w:color="auto"/>
          <w:color w:val="auto"/>
        </w:rPr>
        <w:t>Available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is subject to the periodic reporting requirements of the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4.13 </w:t>
      </w:r>
      <w:r>
        <w:rPr>
          <w:rFonts w:ascii="Times New Roman" w:cs="Times New Roman" w:eastAsia="Times New Roman" w:hAnsi="Times New Roman"/>
          <w:sz w:val="22"/>
          <w:szCs w:val="22"/>
          <w:b w:val="1"/>
          <w:bCs w:val="1"/>
          <w:u w:val="single" w:color="auto"/>
          <w:color w:val="auto"/>
        </w:rPr>
        <w:t>Reports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shall make available for inspection by Holders at its Principal Office any reports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302" w:name="page303"/>
    <w:bookmarkEnd w:id="302"/>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4.14 </w:t>
      </w:r>
      <w:r>
        <w:rPr>
          <w:rFonts w:ascii="Times New Roman" w:cs="Times New Roman" w:eastAsia="Times New Roman" w:hAnsi="Times New Roman"/>
          <w:sz w:val="22"/>
          <w:szCs w:val="22"/>
          <w:b w:val="1"/>
          <w:bCs w:val="1"/>
          <w:u w:val="single" w:color="auto"/>
          <w:color w:val="auto"/>
        </w:rPr>
        <w:t>List of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upon written request by the Company, the Depositary shall furnish to it a list,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recent date, of the names, addresses and holdings of ADSs of all Holders.</w:t>
      </w:r>
    </w:p>
    <w:p>
      <w:pPr>
        <w:spacing w:after="0" w:line="14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4.15 </w:t>
      </w:r>
      <w:r>
        <w:rPr>
          <w:rFonts w:ascii="Times New Roman" w:cs="Times New Roman" w:eastAsia="Times New Roman" w:hAnsi="Times New Roman"/>
          <w:sz w:val="22"/>
          <w:szCs w:val="22"/>
          <w:b w:val="1"/>
          <w:bCs w:val="1"/>
          <w:u w:val="single" w:color="auto"/>
          <w:color w:val="auto"/>
        </w:rPr>
        <w:t>Taxation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will, and will instruct the Custodian to, forward to the Company or its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information from 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which the Holder or Beneficial Owner is legally able to provide,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in respect of Deposited Property.</w:t>
      </w:r>
    </w:p>
    <w:p>
      <w:pPr>
        <w:spacing w:after="0" w:line="20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stamp duty tax, capital gains or other similar tax), the Company shall (and shall cause such agent to) use commercially reasonable efforts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18" w:right="339" w:bottom="1440" w:gutter="0" w:footer="0" w:header="0"/>
        </w:sectPr>
      </w:pPr>
    </w:p>
    <w:bookmarkStart w:id="303" w:name="page304"/>
    <w:bookmarkEnd w:id="303"/>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Depositary is under no obligation to provide the Holders and Beneficial Owners with any information about the tax status of the Company except to the extent that the Company provides information to the Depositary for distribution to the Holders, and the Depositary reasonably agrees to distribute to the Holders.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DEPOSITARY, THE CUSTODIAN AND THE COMPANY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5.1 </w:t>
      </w:r>
      <w:r>
        <w:rPr>
          <w:rFonts w:ascii="Times New Roman" w:cs="Times New Roman" w:eastAsia="Times New Roman" w:hAnsi="Times New Roman"/>
          <w:sz w:val="22"/>
          <w:szCs w:val="22"/>
          <w:b w:val="1"/>
          <w:bCs w:val="1"/>
          <w:u w:val="single" w:color="auto"/>
          <w:color w:val="auto"/>
        </w:rPr>
        <w:t>Maintenance of Office and Transfer Books by the Registrar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termination of the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upon written notice given as promptly as practicable to the Company.</w:t>
      </w:r>
    </w:p>
    <w:p>
      <w:pPr>
        <w:spacing w:after="0" w:line="177"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5.2 </w:t>
      </w:r>
      <w:r>
        <w:rPr>
          <w:rFonts w:ascii="Times New Roman" w:cs="Times New Roman" w:eastAsia="Times New Roman" w:hAnsi="Times New Roman"/>
          <w:sz w:val="22"/>
          <w:szCs w:val="22"/>
          <w:b w:val="1"/>
          <w:bCs w:val="1"/>
          <w:u w:val="single" w:color="auto"/>
          <w:color w:val="auto"/>
        </w:rPr>
        <w:t>Exoneration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contained in the Deposit Agreement or any ADR, neither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nor the Company shall be obligated to do or perform any act or thing which is inconsistent with the provisions of the Deposit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304" w:name="page305"/>
    <w:bookmarkEnd w:id="304"/>
    <w:p>
      <w:pPr>
        <w:jc w:val="both"/>
        <w:spacing w:after="0" w:line="258" w:lineRule="auto"/>
        <w:rPr>
          <w:sz w:val="20"/>
          <w:szCs w:val="20"/>
          <w:color w:val="auto"/>
        </w:rPr>
      </w:pPr>
      <w:r>
        <w:rPr>
          <w:rFonts w:ascii="Times New Roman" w:cs="Times New Roman" w:eastAsia="Times New Roman" w:hAnsi="Times New Roman"/>
          <w:sz w:val="21"/>
          <w:szCs w:val="21"/>
          <w:color w:val="auto"/>
        </w:rPr>
        <w:t>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w:t>
      </w:r>
    </w:p>
    <w:p>
      <w:pPr>
        <w:spacing w:after="0" w:line="11" w:lineRule="exact"/>
        <w:rPr>
          <w:sz w:val="20"/>
          <w:szCs w:val="20"/>
          <w:color w:val="auto"/>
        </w:rPr>
      </w:pPr>
    </w:p>
    <w:p>
      <w:pPr>
        <w:jc w:val="both"/>
        <w:ind w:firstLine="8"/>
        <w:spacing w:after="0" w:line="247" w:lineRule="auto"/>
        <w:tabs>
          <w:tab w:leader="none" w:pos="32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5.3 </w:t>
      </w:r>
      <w:r>
        <w:rPr>
          <w:rFonts w:ascii="Times New Roman" w:cs="Times New Roman" w:eastAsia="Times New Roman" w:hAnsi="Times New Roman"/>
          <w:sz w:val="22"/>
          <w:szCs w:val="22"/>
          <w:b w:val="1"/>
          <w:bCs w:val="1"/>
          <w:u w:val="single" w:color="auto"/>
          <w:color w:val="auto"/>
        </w:rPr>
        <w:t>Standard of Care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the Depositary assume no obligation and shall not be subject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under the 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305" w:name="page306"/>
    <w:bookmarkEnd w:id="305"/>
    <w:p>
      <w:pPr>
        <w:jc w:val="both"/>
        <w:spacing w:after="0" w:line="257" w:lineRule="auto"/>
        <w:rPr>
          <w:sz w:val="20"/>
          <w:szCs w:val="20"/>
          <w:color w:val="auto"/>
        </w:rPr>
      </w:pPr>
      <w:r>
        <w:rPr>
          <w:rFonts w:ascii="Times New Roman" w:cs="Times New Roman" w:eastAsia="Times New Roman" w:hAnsi="Times New Roman"/>
          <w:sz w:val="22"/>
          <w:szCs w:val="22"/>
          <w:color w:val="auto"/>
        </w:rPr>
        <w:t>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5.4 </w:t>
      </w:r>
      <w:r>
        <w:rPr>
          <w:rFonts w:ascii="Times New Roman" w:cs="Times New Roman" w:eastAsia="Times New Roman" w:hAnsi="Times New Roman"/>
          <w:sz w:val="22"/>
          <w:szCs w:val="22"/>
          <w:b w:val="1"/>
          <w:bCs w:val="1"/>
          <w:u w:val="single" w:color="auto"/>
          <w:color w:val="auto"/>
        </w:rPr>
        <w:t>Resignation and Removal of the Depositary; Appointment of Successor Depositary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at any time resign as Depositary hereunder by written notice of resignation delivered to the Company, such resignation to be effective on the earlier of (i)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2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Depositary may at any time be removed by the Company by written notice of such removal, which removal shall be effective on the later of (i)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306" w:name="page307"/>
    <w:bookmarkEnd w:id="306"/>
    <w:p>
      <w:pPr>
        <w:jc w:val="both"/>
        <w:spacing w:after="0" w:line="249" w:lineRule="auto"/>
        <w:rPr>
          <w:sz w:val="20"/>
          <w:szCs w:val="20"/>
          <w:color w:val="auto"/>
        </w:rPr>
      </w:pPr>
      <w:r>
        <w:rPr>
          <w:rFonts w:ascii="Times New Roman" w:cs="Times New Roman" w:eastAsia="Times New Roman" w:hAnsi="Times New Roman"/>
          <w:sz w:val="22"/>
          <w:szCs w:val="22"/>
          <w:color w:val="auto"/>
        </w:rPr>
        <w:t>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entity into or with which the Depositary may be merged or consolidated shall be the successor of the Depositary without the execution or filing of any document or any further act.</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5.5 </w:t>
      </w:r>
      <w:r>
        <w:rPr>
          <w:rFonts w:ascii="Times New Roman" w:cs="Times New Roman" w:eastAsia="Times New Roman" w:hAnsi="Times New Roman"/>
          <w:sz w:val="22"/>
          <w:szCs w:val="22"/>
          <w:b w:val="1"/>
          <w:bCs w:val="1"/>
          <w:u w:val="single" w:color="auto"/>
          <w:color w:val="auto"/>
        </w:rPr>
        <w:t>The Custodian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has initially appointed Citibank, N.A., London Branch as Custodian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purpose of the Deposit Agreement. The Custodian or its successors in acting hereunder shall be authorized to act as custodian </w:t>
      </w:r>
      <w:r>
        <w:rPr>
          <w:rFonts w:ascii="Times New Roman" w:cs="Times New Roman" w:eastAsia="Times New Roman" w:hAnsi="Times New Roman"/>
          <w:sz w:val="19"/>
          <w:szCs w:val="19"/>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England and Wales and shall be </w:t>
      </w:r>
      <w:r>
        <w:rPr>
          <w:rFonts w:ascii="Times New Roman" w:cs="Times New Roman" w:eastAsia="Times New Roman" w:hAnsi="Times New Roman"/>
          <w:sz w:val="21"/>
          <w:szCs w:val="21"/>
          <w:color w:val="auto"/>
        </w:rPr>
        <w:t>subject at all times and in all respects to the direction of the Depositary for the Deposited Property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Citibank may at any time act as Custodian of the Deposited Property pursuant to the Deposit Agreement, in which case any reference to Custodian shall mean Citibank solely in its capacity as Custodian pursuant to the Deposit Agreement and the Depositary shall promptly give notice thereof to the Company. Notwithstanding anything contained in the Deposit Agreement or any ADR to the contrary, the Depositary shall not be obligated to give notice to any Holders of ADSs or any other Custodian of its acting as Custodian pursuant to the Deposit Agreement.</w:t>
      </w:r>
    </w:p>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307" w:name="page308"/>
    <w:bookmarkEnd w:id="307"/>
    <w:p>
      <w:pPr>
        <w:jc w:val="both"/>
        <w:spacing w:after="0" w:line="271" w:lineRule="auto"/>
        <w:rPr>
          <w:sz w:val="20"/>
          <w:szCs w:val="20"/>
          <w:color w:val="auto"/>
        </w:rPr>
      </w:pPr>
      <w:r>
        <w:rPr>
          <w:rFonts w:ascii="Times New Roman" w:cs="Times New Roman" w:eastAsia="Times New Roman" w:hAnsi="Times New Roman"/>
          <w:sz w:val="22"/>
          <w:szCs w:val="22"/>
          <w:color w:val="auto"/>
        </w:rPr>
        <w:t>request of any Custodian, execute and deliver to such Custodian all such instruments as may be proper to give to such Custodian full and complete power and authority to act on the direction of such successor depositary.</w:t>
      </w:r>
    </w:p>
    <w:p>
      <w:pPr>
        <w:spacing w:after="0" w:line="15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5.6 </w:t>
      </w:r>
      <w:r>
        <w:rPr>
          <w:rFonts w:ascii="Times New Roman" w:cs="Times New Roman" w:eastAsia="Times New Roman" w:hAnsi="Times New Roman"/>
          <w:sz w:val="22"/>
          <w:szCs w:val="22"/>
          <w:b w:val="1"/>
          <w:bCs w:val="1"/>
          <w:u w:val="single" w:color="auto"/>
          <w:color w:val="auto"/>
        </w:rPr>
        <w:t>Notices and Reports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or before the first date on which the Company gives notice, by publication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Company will also transmit to the Depositary (a) the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8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5.7 </w:t>
      </w:r>
      <w:r>
        <w:rPr>
          <w:rFonts w:ascii="Times New Roman" w:cs="Times New Roman" w:eastAsia="Times New Roman" w:hAnsi="Times New Roman"/>
          <w:sz w:val="22"/>
          <w:szCs w:val="22"/>
          <w:b w:val="1"/>
          <w:bCs w:val="1"/>
          <w:u w:val="single" w:color="auto"/>
          <w:color w:val="auto"/>
        </w:rPr>
        <w:t>Issuance of Additional Shares, ADSs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agrees that in the event it or any of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proposes (i) an 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scheme of arrangement or consolidation or transfer of assets, (viii) any assumption, reclassification, recapitalization, reorganization, merger, scheme of arrangement, consolidation or sale of assets which affects the Deposited Securities, or (ix) a distribution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308" w:name="page309"/>
    <w:bookmarkEnd w:id="308"/>
    <w:p>
      <w:pPr>
        <w:jc w:val="both"/>
        <w:spacing w:after="0" w:line="259" w:lineRule="auto"/>
        <w:rPr>
          <w:sz w:val="20"/>
          <w:szCs w:val="20"/>
          <w:color w:val="auto"/>
        </w:rPr>
      </w:pPr>
      <w:r>
        <w:rPr>
          <w:rFonts w:ascii="Times New Roman" w:cs="Times New Roman" w:eastAsia="Times New Roman" w:hAnsi="Times New Roman"/>
          <w:sz w:val="21"/>
          <w:szCs w:val="21"/>
          <w:color w:val="auto"/>
        </w:rPr>
        <w:t>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else contained in the Deposit Agreement, nothing in the Deposit Agreement shall be deemed to obligate the Company to file any registration statement in respect of any proposed transaction.</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5.8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agrees to indemnify the Company and its directors, officers,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agents and Affiliates against, and hold each of them harmless from, any direct loss, liability, tax, charge or expense of any kind whatsoever (including, but not limited to, the reasonable fees and expenses of counsel excluding value added tax recoverable by the relevant person or an affiliate) which may arise out of acts performed or omitted by the Depositary and the Custodian (for so long as the Custodian is a branch of Citibank) under the terms hereof due to the negligence or bad faith of the Depositary or such Custodian, as applicable.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agrees to indemnify the Depositary, the Custodian and any of their respective directors, officers, employees, agents and Affiliates against, and hold each of them harmless from, any direct loss, liability, tax, charge or expense of any kind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309" w:name="page310"/>
    <w:bookmarkEnd w:id="309"/>
    <w:p>
      <w:pPr>
        <w:jc w:val="both"/>
        <w:spacing w:after="0" w:line="248" w:lineRule="auto"/>
        <w:rPr>
          <w:sz w:val="20"/>
          <w:szCs w:val="20"/>
          <w:color w:val="auto"/>
        </w:rPr>
      </w:pPr>
      <w:r>
        <w:rPr>
          <w:rFonts w:ascii="Times New Roman" w:cs="Times New Roman" w:eastAsia="Times New Roman" w:hAnsi="Times New Roman"/>
          <w:sz w:val="22"/>
          <w:szCs w:val="22"/>
          <w:color w:val="auto"/>
        </w:rPr>
        <w:t>(including, but not limited to, the reasonable fees and expenses of counsel excluding value added tax recoverable by the relevant person or an affiliate)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provided, however, that the Company, except as otherwise agreed to in writing between the Company and the Depositary, shall not be liable for any fees, charges or expenses payable by third party Holders or Beneficial Owners under this Deposit Agreement. The Company shall not indemnify the Depositary or the Custodian (for so long as the Custodian is a branch of Citibank) against any liability or expense arising out of information relating to the Depositary or such Custodian, as the case may be, furnished in writing to the Company, executed by the Depositary expressly for use in the registration statement, prospectus or preliminary prospectus relating to any Deposited Securities represented by the ADSs.</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obligations set forth in this Section shall survive the termination of the Deposit Agreement and the succession or substitution of any party hereto.</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5.9 </w:t>
      </w:r>
      <w:r>
        <w:rPr>
          <w:rFonts w:ascii="Times New Roman" w:cs="Times New Roman" w:eastAsia="Times New Roman" w:hAnsi="Times New Roman"/>
          <w:sz w:val="22"/>
          <w:szCs w:val="22"/>
          <w:b w:val="1"/>
          <w:bCs w:val="1"/>
          <w:u w:val="single" w:color="auto"/>
          <w:color w:val="auto"/>
        </w:rPr>
        <w:t>ADS Fees and Charges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the Holders, the Beneficial Owners, persons depositing Shares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withdrawing Deposited 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any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310" w:name="page311"/>
    <w:bookmarkEnd w:id="31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may be made only in the manner contemplated in Section 6.1. The Depositary shall provide, without charge, a copy of its latest ADS fee schedule to anyone upon request.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firstLine="8"/>
        <w:spacing w:after="0" w:line="247" w:lineRule="auto"/>
        <w:tabs>
          <w:tab w:leader="none" w:pos="26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obligations of Holders and Beneficial Owners to pay ADS fees and charges shall survive the termination of the Deposit Agreement. As to any Depositary, upon the resignation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311" w:name="page312"/>
    <w:bookmarkEnd w:id="311"/>
    <w:p>
      <w:pPr>
        <w:jc w:val="both"/>
        <w:spacing w:after="0" w:line="271" w:lineRule="auto"/>
        <w:rPr>
          <w:sz w:val="20"/>
          <w:szCs w:val="20"/>
          <w:color w:val="auto"/>
        </w:rPr>
      </w:pPr>
      <w:r>
        <w:rPr>
          <w:rFonts w:ascii="Times New Roman" w:cs="Times New Roman" w:eastAsia="Times New Roman" w:hAnsi="Times New Roman"/>
          <w:sz w:val="22"/>
          <w:szCs w:val="22"/>
          <w:color w:val="auto"/>
        </w:rPr>
        <w:t>removal of such Depositary as described in Section 5.4, the right to collect ADS fees and charges shall extend for those ADS fees and charges incurred prior to the effectiveness of such resignation or removal.</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5.10 </w:t>
      </w:r>
      <w:r>
        <w:rPr>
          <w:rFonts w:ascii="Times New Roman" w:cs="Times New Roman" w:eastAsia="Times New Roman" w:hAnsi="Times New Roman"/>
          <w:sz w:val="22"/>
          <w:szCs w:val="22"/>
          <w:b w:val="1"/>
          <w:bCs w:val="1"/>
          <w:u w:val="single" w:color="auto"/>
          <w:color w:val="auto"/>
        </w:rPr>
        <w:t>Restricted Securities Owners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agrees to advise in writing each of the persons or entities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to the knowledge 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AND TERMINATION</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6.1 </w:t>
      </w:r>
      <w:r>
        <w:rPr>
          <w:rFonts w:ascii="Times New Roman" w:cs="Times New Roman" w:eastAsia="Times New Roman" w:hAnsi="Times New Roman"/>
          <w:sz w:val="22"/>
          <w:szCs w:val="22"/>
          <w:b w:val="1"/>
          <w:bCs w:val="1"/>
          <w:u w:val="single" w:color="auto"/>
          <w:color w:val="auto"/>
        </w:rPr>
        <w:t>Amendment/Supplement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and conditions of this Section 6.1 and applicable law,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ADRs 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312" w:name="page313"/>
    <w:bookmarkEnd w:id="312"/>
    <w:p>
      <w:pPr>
        <w:jc w:val="both"/>
        <w:spacing w:after="0" w:line="253" w:lineRule="auto"/>
        <w:rPr>
          <w:sz w:val="20"/>
          <w:szCs w:val="20"/>
          <w:color w:val="auto"/>
        </w:rPr>
      </w:pPr>
      <w:r>
        <w:rPr>
          <w:rFonts w:ascii="Times New Roman" w:cs="Times New Roman" w:eastAsia="Times New Roman" w:hAnsi="Times New Roman"/>
          <w:sz w:val="22"/>
          <w:szCs w:val="22"/>
          <w:color w:val="auto"/>
        </w:rPr>
        <w:t>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7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6.2 </w:t>
      </w:r>
      <w:r>
        <w:rPr>
          <w:rFonts w:ascii="Times New Roman" w:cs="Times New Roman" w:eastAsia="Times New Roman" w:hAnsi="Times New Roman"/>
          <w:sz w:val="21"/>
          <w:szCs w:val="21"/>
          <w:b w:val="1"/>
          <w:bCs w:val="1"/>
          <w:u w:val="single" w:color="auto"/>
          <w:color w:val="auto"/>
        </w:rPr>
        <w:t>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Depositary shall, at any time at the written direction of the Company, terminate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313" w:name="page314"/>
    <w:bookmarkEnd w:id="313"/>
    <w:p>
      <w:pPr>
        <w:jc w:val="both"/>
        <w:spacing w:after="0" w:line="263" w:lineRule="auto"/>
        <w:rPr>
          <w:sz w:val="20"/>
          <w:szCs w:val="20"/>
          <w:color w:val="auto"/>
        </w:rPr>
      </w:pPr>
      <w:r>
        <w:rPr>
          <w:rFonts w:ascii="Times New Roman" w:cs="Times New Roman" w:eastAsia="Times New Roman" w:hAnsi="Times New Roman"/>
          <w:sz w:val="21"/>
          <w:szCs w:val="21"/>
          <w:color w:val="auto"/>
        </w:rPr>
        <w:t>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Notwithstanding anything contained in the Deposit Agreement or any ADR, in connection with the termination of the Deposit Agreement, the Depositary may, with the consent of the Company, and shall, at the instruction of the Company, distribute to all Holders in a mandatory exchange for, and upon a mandatory cancellation of, their ADSs the corresponding Deposited Securities, upon such terms and conditions as the Depositary may deem reasonably practicable and appropriate, subject however, in each case, to receipt by the Depositary of (i) confirmation of satisfaction of the applicable registration requirements under the Securities Act and the Exchange Act, and (ii) payment of the applicable fees and charges of, and reimbursement of the applicable expenses incurred by, the Depositary. In the event of such mandatory exchange and cancellation of ADSs for Deposited Securities, the Depositary shall give notice thereof to the Holders of ADSs at least thirty (30) calendar days prior the termination of the Deposit Agreement, shall require the Holders of ADSs to surrender their ADSs (and, if applicable, the ADRs representing such ADSs) in exchange for the corresponding Deposited Securities and shall cancel all ADSs (and, if applicable, the ADRs representing such ADSs) received in exchange for the corresponding Deposited Securities.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Section 7.1 </w:t>
      </w: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The Deposit Agreement may be executed in any number of counterparts, each of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deemed an original and all of such counterparts together shall constitute one and the same agreement. Copies of the Deposit Agreement shall be maintained with the Depositary and shall be open to inspection by any Holder during business hours.</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7.2 </w:t>
      </w:r>
      <w:r>
        <w:rPr>
          <w:rFonts w:ascii="Times New Roman" w:cs="Times New Roman" w:eastAsia="Times New Roman" w:hAnsi="Times New Roman"/>
          <w:sz w:val="22"/>
          <w:szCs w:val="22"/>
          <w:b w:val="1"/>
          <w:bCs w:val="1"/>
          <w:u w:val="single" w:color="auto"/>
          <w:color w:val="auto"/>
        </w:rPr>
        <w:t>No Third-Party Beneficiaries/Acknowledgments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 Agreement is for the exclusive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314" w:name="page315"/>
    <w:bookmarkEnd w:id="314"/>
    <w:p>
      <w:pPr>
        <w:jc w:val="both"/>
        <w:spacing w:after="0" w:line="247" w:lineRule="auto"/>
        <w:rPr>
          <w:sz w:val="20"/>
          <w:szCs w:val="20"/>
          <w:color w:val="auto"/>
        </w:rPr>
      </w:pPr>
      <w:r>
        <w:rPr>
          <w:rFonts w:ascii="Times New Roman" w:cs="Times New Roman" w:eastAsia="Times New Roman" w:hAnsi="Times New Roman"/>
          <w:sz w:val="22"/>
          <w:szCs w:val="22"/>
          <w:color w:val="auto"/>
        </w:rPr>
        <w:t>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7.3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case any one or more of the provisions contained in the Deposit Agreement or in the ADRs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be or become invalid, illegal or unenforceable in any respect, the validity, legality and enforceability of the remaining provisions contained herein or therein shall in no way be affected, prejudiced or disturbed thereby.</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7.4 </w:t>
      </w:r>
      <w:r>
        <w:rPr>
          <w:rFonts w:ascii="Times New Roman" w:cs="Times New Roman" w:eastAsia="Times New Roman" w:hAnsi="Times New Roman"/>
          <w:sz w:val="22"/>
          <w:szCs w:val="22"/>
          <w:b w:val="1"/>
          <w:bCs w:val="1"/>
          <w:u w:val="single" w:color="auto"/>
          <w:color w:val="auto"/>
        </w:rPr>
        <w:t>Holders and Beneficial Owners as Parties; Binding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Holders and Beneficial Owners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of ADSs issued hereunder shall be parties to the Deposit Agreement and shall be bound by all of the terms and conditions hereof and of any ADR evidencing their ADSs by acceptance thereof or any beneficial interest therein.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7.5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and all notices to be given to the Company shall be deemed to have been duly given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personally delivered or sent by mail, air courier or cable, telex or facsimile transmission, confirmed by letter personally delivered or sent by mail or air courier, addressed to Arm Holdings plc, 110 Fulbourn Road, Cambridge, CB1 9NJ, United Kingdom, </w:t>
      </w:r>
      <w:r>
        <w:rPr>
          <w:rFonts w:ascii="Times New Roman" w:cs="Times New Roman" w:eastAsia="Times New Roman" w:hAnsi="Times New Roman"/>
          <w:sz w:val="22"/>
          <w:szCs w:val="22"/>
          <w:u w:val="single" w:color="auto"/>
          <w:color w:val="auto"/>
        </w:rPr>
        <w:t>Attention</w:t>
      </w:r>
      <w:r>
        <w:rPr>
          <w:rFonts w:ascii="Times New Roman" w:cs="Times New Roman" w:eastAsia="Times New Roman" w:hAnsi="Times New Roman"/>
          <w:sz w:val="22"/>
          <w:szCs w:val="22"/>
          <w:color w:val="auto"/>
        </w:rPr>
        <w:t>: Chief Legal Officer, or to any other address which the Company may specify in writing to the Depositary.</w:t>
      </w:r>
    </w:p>
    <w:p>
      <w:pPr>
        <w:spacing w:after="0" w:line="17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22"/>
          <w:szCs w:val="22"/>
          <w:u w:val="single" w:color="auto"/>
          <w:color w:val="auto"/>
        </w:rPr>
        <w:t>Attention</w:t>
      </w:r>
      <w:r>
        <w:rPr>
          <w:rFonts w:ascii="Times New Roman" w:cs="Times New Roman" w:eastAsia="Times New Roman" w:hAnsi="Times New Roman"/>
          <w:sz w:val="22"/>
          <w:szCs w:val="22"/>
          <w:color w:val="auto"/>
        </w:rPr>
        <w:t>: Depositary Receipts Department, or to any other address which the Depositary may specify in writing to the Company.</w:t>
      </w:r>
    </w:p>
    <w:p>
      <w:pPr>
        <w:spacing w:after="0" w:line="17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 xml:space="preserve">Any and all notices to be given to any Holder shall be deemed to have been duly given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315" w:name="page316"/>
    <w:bookmarkEnd w:id="31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for such Holder be mailed to some other address, at the address specified in such request, or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9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7.6 </w:t>
      </w:r>
      <w:r>
        <w:rPr>
          <w:rFonts w:ascii="Times New Roman" w:cs="Times New Roman" w:eastAsia="Times New Roman" w:hAnsi="Times New Roman"/>
          <w:sz w:val="22"/>
          <w:szCs w:val="22"/>
          <w:b w:val="1"/>
          <w:bCs w:val="1"/>
          <w:u w:val="single" w:color="auto"/>
          <w:color w:val="auto"/>
        </w:rPr>
        <w:t>Governing Law and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 Agreement, the ADRs and the ADSs shall be interpreted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Arm, Inc.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now at 120 Rose Orchard Way, San Jose, CA 95134 as its authorized agent to receive and accept for and on its behalf, and on behalf of its properties, assets and revenues, service by mail of any and all legal process, summons, notices and documents that may be served in any suit,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18" w:right="339" w:bottom="1440" w:gutter="0" w:footer="0" w:header="0"/>
        </w:sectPr>
      </w:pPr>
    </w:p>
    <w:bookmarkStart w:id="316" w:name="page317"/>
    <w:bookmarkEnd w:id="316"/>
    <w:p>
      <w:pPr>
        <w:jc w:val="both"/>
        <w:spacing w:after="0" w:line="263" w:lineRule="auto"/>
        <w:rPr>
          <w:sz w:val="20"/>
          <w:szCs w:val="20"/>
          <w:color w:val="auto"/>
        </w:rPr>
      </w:pPr>
      <w:r>
        <w:rPr>
          <w:rFonts w:ascii="Times New Roman" w:cs="Times New Roman" w:eastAsia="Times New Roman" w:hAnsi="Times New Roman"/>
          <w:sz w:val="21"/>
          <w:szCs w:val="21"/>
          <w:color w:val="auto"/>
        </w:rPr>
        <w:t>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7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the Depositary and the Company unconditionally agree that in the event of any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7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EACH OF THE PARTIES TO THE DEPOSIT AGREEMENT (INCLUDING, WITHOUT LIMITATION, EACH HOLDER AND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317" w:name="page318"/>
    <w:bookmarkEnd w:id="317"/>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provisions of this Section 7.6 shall survive any termination of the Deposit Agreement, in whole or in part.</w:t>
      </w:r>
    </w:p>
    <w:p>
      <w:pPr>
        <w:spacing w:after="0" w:line="21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7.7 </w:t>
      </w: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of Section 5.4, the Deposit Agreement may not be assigned by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the Depositary.</w:t>
      </w:r>
    </w:p>
    <w:p>
      <w:pPr>
        <w:spacing w:after="0" w:line="163"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2"/>
          <w:szCs w:val="22"/>
          <w:b w:val="1"/>
          <w:bCs w:val="1"/>
          <w:color w:val="auto"/>
        </w:rPr>
        <w:t>Section 7.8</w:t>
      </w:r>
      <w:r>
        <w:rPr>
          <w:sz w:val="20"/>
          <w:szCs w:val="20"/>
          <w:color w:val="auto"/>
        </w:rPr>
        <w:tab/>
      </w:r>
      <w:r>
        <w:rPr>
          <w:rFonts w:ascii="Times New Roman" w:cs="Times New Roman" w:eastAsia="Times New Roman" w:hAnsi="Times New Roman"/>
          <w:sz w:val="21"/>
          <w:szCs w:val="21"/>
          <w:b w:val="1"/>
          <w:bCs w:val="1"/>
          <w:u w:val="single" w:color="auto"/>
          <w:color w:val="auto"/>
        </w:rPr>
        <w:t>Compliance with, and No Disclaimer under, U.S. Securities Laws</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jc w:val="both"/>
        <w:ind w:firstLine="656"/>
        <w:spacing w:after="0" w:line="257" w:lineRule="auto"/>
        <w:tabs>
          <w:tab w:leader="none" w:pos="1291"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2" w:lineRule="exact"/>
        <w:rPr>
          <w:rFonts w:ascii="Times New Roman" w:cs="Times New Roman" w:eastAsia="Times New Roman" w:hAnsi="Times New Roman"/>
          <w:sz w:val="22"/>
          <w:szCs w:val="22"/>
          <w:b w:val="1"/>
          <w:bCs w:val="1"/>
          <w:color w:val="auto"/>
        </w:rPr>
      </w:pPr>
    </w:p>
    <w:p>
      <w:pPr>
        <w:jc w:val="both"/>
        <w:ind w:firstLine="656"/>
        <w:spacing w:after="0" w:line="263" w:lineRule="auto"/>
        <w:tabs>
          <w:tab w:leader="none" w:pos="129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7.9 </w:t>
      </w:r>
      <w:r>
        <w:rPr>
          <w:rFonts w:ascii="Times New Roman" w:cs="Times New Roman" w:eastAsia="Times New Roman" w:hAnsi="Times New Roman"/>
          <w:sz w:val="22"/>
          <w:szCs w:val="22"/>
          <w:b w:val="1"/>
          <w:bCs w:val="1"/>
          <w:u w:val="single" w:color="auto"/>
          <w:color w:val="auto"/>
        </w:rPr>
        <w:t>English Law References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summary of the laws and regulations of England and Wales and of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Company’s 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8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7.10</w:t>
      </w:r>
      <w:r>
        <w:rPr>
          <w:sz w:val="20"/>
          <w:szCs w:val="20"/>
          <w:color w:val="auto"/>
        </w:rPr>
        <w:tab/>
      </w:r>
      <w:r>
        <w:rPr>
          <w:rFonts w:ascii="Times New Roman" w:cs="Times New Roman" w:eastAsia="Times New Roman" w:hAnsi="Times New Roman"/>
          <w:sz w:val="21"/>
          <w:szCs w:val="21"/>
          <w:b w:val="1"/>
          <w:bCs w:val="1"/>
          <w:u w:val="single" w:color="auto"/>
          <w:color w:val="auto"/>
        </w:rPr>
        <w:t>Titles and References</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jc w:val="both"/>
        <w:ind w:firstLine="656"/>
        <w:spacing w:after="0" w:line="250" w:lineRule="auto"/>
        <w:tabs>
          <w:tab w:leader="none" w:pos="1291"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Deposit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references in the Deposit Agreement to exhibits, articles, sections, subsections,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subdivisions refer 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xml:space="preserve">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18" w:right="339" w:bottom="1440" w:gutter="0" w:footer="0" w:header="0"/>
        </w:sectPr>
      </w:pPr>
    </w:p>
    <w:bookmarkStart w:id="318" w:name="page319"/>
    <w:bookmarkEnd w:id="318"/>
    <w:p>
      <w:pPr>
        <w:jc w:val="both"/>
        <w:spacing w:after="0" w:line="256" w:lineRule="auto"/>
        <w:rPr>
          <w:sz w:val="20"/>
          <w:szCs w:val="20"/>
          <w:color w:val="auto"/>
        </w:rPr>
      </w:pPr>
      <w:r>
        <w:rPr>
          <w:rFonts w:ascii="Times New Roman" w:cs="Times New Roman" w:eastAsia="Times New Roman" w:hAnsi="Times New Roman"/>
          <w:sz w:val="22"/>
          <w:szCs w:val="22"/>
          <w:color w:val="auto"/>
        </w:rPr>
        <w:t>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72" w:lineRule="exact"/>
        <w:rPr>
          <w:sz w:val="20"/>
          <w:szCs w:val="20"/>
          <w:color w:val="auto"/>
        </w:rPr>
      </w:pPr>
    </w:p>
    <w:p>
      <w:pPr>
        <w:jc w:val="both"/>
        <w:ind w:firstLine="656"/>
        <w:spacing w:after="0" w:line="261" w:lineRule="auto"/>
        <w:tabs>
          <w:tab w:leader="none" w:pos="1290" w:val="left"/>
        </w:tabs>
        <w:numPr>
          <w:ilvl w:val="0"/>
          <w:numId w:val="1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references in any ADR(s) to paragraphs, exhibits, articles, sections, subsections, and other subdivisions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21"/>
          <w:szCs w:val="21"/>
          <w:i w:val="1"/>
          <w:iCs w:val="1"/>
          <w:color w:val="auto"/>
        </w:rPr>
        <w:t>vice versa</w:t>
      </w:r>
      <w:r>
        <w:rPr>
          <w:rFonts w:ascii="Times New Roman" w:cs="Times New Roman" w:eastAsia="Times New Roman" w:hAnsi="Times New Roman"/>
          <w:sz w:val="21"/>
          <w:szCs w:val="21"/>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319" w:name="page320"/>
    <w:bookmarkEnd w:id="31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WITNESS WHEREOF, ARM HOLDINGS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2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ARM HOLDINGS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27940</wp:posOffset>
            </wp:positionV>
            <wp:extent cx="29749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1" w:lineRule="exact"/>
        <w:rPr>
          <w:sz w:val="20"/>
          <w:szCs w:val="20"/>
          <w:color w:val="auto"/>
        </w:rPr>
      </w:pPr>
    </w:p>
    <w:p>
      <w:pPr>
        <w:ind w:left="5660"/>
        <w:spacing w:after="0"/>
        <w:tabs>
          <w:tab w:leader="none" w:pos="6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Rene Haas</w:t>
      </w:r>
    </w:p>
    <w:p>
      <w:pPr>
        <w:spacing w:after="0" w:line="58" w:lineRule="exact"/>
        <w:rPr>
          <w:sz w:val="20"/>
          <w:szCs w:val="20"/>
          <w:color w:val="auto"/>
        </w:rPr>
      </w:pPr>
    </w:p>
    <w:p>
      <w:pPr>
        <w:ind w:left="5660"/>
        <w:spacing w:after="0"/>
        <w:tabs>
          <w:tab w:leader="none" w:pos="6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22"/>
          <w:szCs w:val="22"/>
          <w:color w:val="auto"/>
        </w:rPr>
        <w:t>By:</w:t>
        <w:tab/>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27940</wp:posOffset>
            </wp:positionV>
            <wp:extent cx="29749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1" w:lineRule="exact"/>
        <w:rPr>
          <w:sz w:val="20"/>
          <w:szCs w:val="20"/>
          <w:color w:val="auto"/>
        </w:rPr>
      </w:pPr>
    </w:p>
    <w:p>
      <w:pPr>
        <w:ind w:left="5660"/>
        <w:spacing w:after="0"/>
        <w:tabs>
          <w:tab w:leader="none" w:pos="66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Keith Galfo</w:t>
      </w:r>
    </w:p>
    <w:p>
      <w:pPr>
        <w:spacing w:after="0" w:line="58" w:lineRule="exact"/>
        <w:rPr>
          <w:sz w:val="20"/>
          <w:szCs w:val="20"/>
          <w:color w:val="auto"/>
        </w:rPr>
      </w:pPr>
    </w:p>
    <w:p>
      <w:pPr>
        <w:ind w:left="5660"/>
        <w:spacing w:after="0"/>
        <w:tabs>
          <w:tab w:leader="none" w:pos="6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the Deposit Agreement]</w:t>
      </w:r>
    </w:p>
    <w:p>
      <w:pPr>
        <w:sectPr>
          <w:pgSz w:w="11900" w:h="16838" w:orient="portrait"/>
          <w:cols w:equalWidth="0" w:num="1">
            <w:col w:w="11240"/>
          </w:cols>
          <w:pgMar w:left="320" w:top="1422" w:right="339" w:bottom="1440" w:gutter="0" w:footer="0" w:header="0"/>
        </w:sectPr>
      </w:pPr>
    </w:p>
    <w:bookmarkStart w:id="320" w:name="page321"/>
    <w:bookmarkEnd w:id="320"/>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ADR]</w:t>
      </w:r>
    </w:p>
    <w:p>
      <w:pPr>
        <w:spacing w:after="0" w:line="278" w:lineRule="exact"/>
        <w:rPr>
          <w:sz w:val="20"/>
          <w:szCs w:val="20"/>
          <w:color w:val="auto"/>
        </w:rPr>
      </w:pPr>
    </w:p>
    <w:p>
      <w:pPr>
        <w:ind w:left="60"/>
        <w:spacing w:after="0"/>
        <w:tabs>
          <w:tab w:leader="none" w:pos="5920" w:val="left"/>
        </w:tabs>
        <w:rPr>
          <w:sz w:val="20"/>
          <w:szCs w:val="20"/>
          <w:color w:val="auto"/>
        </w:rPr>
      </w:pPr>
      <w:r>
        <w:rPr>
          <w:rFonts w:ascii="Times New Roman" w:cs="Times New Roman" w:eastAsia="Times New Roman" w:hAnsi="Times New Roman"/>
          <w:sz w:val="22"/>
          <w:szCs w:val="22"/>
          <w:color w:val="auto"/>
        </w:rPr>
        <w:t>Number:</w:t>
      </w:r>
      <w:r>
        <w:rPr>
          <w:sz w:val="20"/>
          <w:szCs w:val="20"/>
          <w:color w:val="auto"/>
        </w:rPr>
        <w:tab/>
      </w:r>
      <w:r>
        <w:rPr>
          <w:rFonts w:ascii="Times New Roman" w:cs="Times New Roman" w:eastAsia="Times New Roman" w:hAnsi="Times New Roman"/>
          <w:sz w:val="22"/>
          <w:szCs w:val="22"/>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27940</wp:posOffset>
            </wp:positionV>
            <wp:extent cx="12941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9413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27940</wp:posOffset>
            </wp:positionV>
            <wp:extent cx="15087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35" w:lineRule="exact"/>
        <w:rPr>
          <w:sz w:val="20"/>
          <w:szCs w:val="20"/>
          <w:color w:val="auto"/>
        </w:rPr>
      </w:pPr>
    </w:p>
    <w:p>
      <w:pPr>
        <w:ind w:left="5460"/>
        <w:spacing w:after="0" w:line="295" w:lineRule="auto"/>
        <w:rPr>
          <w:sz w:val="20"/>
          <w:szCs w:val="20"/>
          <w:color w:val="auto"/>
        </w:rPr>
      </w:pPr>
      <w:r>
        <w:rPr>
          <w:rFonts w:ascii="Times New Roman" w:cs="Times New Roman" w:eastAsia="Times New Roman" w:hAnsi="Times New Roman"/>
          <w:sz w:val="21"/>
          <w:szCs w:val="21"/>
          <w:color w:val="auto"/>
        </w:rPr>
        <w:t>American Depositary Shares (each American Depositary Share representing the right to receive one (1) fully paid ordinary share)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DEPOSITARY RECEIPT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DEPOSITED ORDINARY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ARM HOLDINGS PLC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(Incorporated under the laws of England and Wales)</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CITIBANK, N.A., a national banking association organized and existing under the laws of the United States of America, as depositary (the “Depositary”), hereby certifies that _____________is the owner of ______________ American Depositary</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Shares (hereinafter “ADS”) representing deposited ordinary shares, including evidence of rights to receive such ordinary shares (the “Shares”), of Arm Holdings plc, a public limited company incorporated under the laws of England and Wales (the “Company”). As of the date of issuance of this ADR, each ADS represents the right to receive one (1) Share deposited under the Deposit Agreement (as hereinafter defined) with the Custodian, which at the date of issuance of this ADR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171" w:lineRule="exact"/>
        <w:rPr>
          <w:sz w:val="20"/>
          <w:szCs w:val="20"/>
          <w:color w:val="auto"/>
        </w:rPr>
      </w:pPr>
    </w:p>
    <w:p>
      <w:pPr>
        <w:jc w:val="both"/>
        <w:ind w:firstLine="656"/>
        <w:spacing w:after="0" w:line="258" w:lineRule="auto"/>
        <w:tabs>
          <w:tab w:leader="none" w:pos="1291"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The Deposit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American Depositary Receipt is one of an issue of American Depositary Receipts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(“ADRs”), all issued and to be issued upon the terms and conditions set forth in the Deposit Agreement, dated as of September 13, 2023 (as amended and supplemented from time to time, the “Deposit Agreement”), by and among the Company, the Depositary, and all Holders and Beneficial Owners from time to time of ADSs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40" w:right="339" w:bottom="1440" w:gutter="0" w:footer="0" w:header="0"/>
        </w:sectPr>
      </w:pPr>
    </w:p>
    <w:bookmarkStart w:id="321" w:name="page322"/>
    <w:bookmarkEnd w:id="321"/>
    <w:p>
      <w:pPr>
        <w:jc w:val="both"/>
        <w:spacing w:after="0" w:line="260" w:lineRule="auto"/>
        <w:rPr>
          <w:sz w:val="20"/>
          <w:szCs w:val="20"/>
          <w:color w:val="auto"/>
        </w:rPr>
      </w:pPr>
      <w:r>
        <w:rPr>
          <w:rFonts w:ascii="Times New Roman" w:cs="Times New Roman" w:eastAsia="Times New Roman" w:hAnsi="Times New Roman"/>
          <w:sz w:val="21"/>
          <w:szCs w:val="21"/>
          <w:color w:val="auto"/>
        </w:rPr>
        <w:t>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acting reasonably,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capitalized terms not defined herein shall have the meanings ascribed thereto in the Deposit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5" w:lineRule="exact"/>
        <w:rPr>
          <w:sz w:val="20"/>
          <w:szCs w:val="20"/>
          <w:color w:val="auto"/>
        </w:rPr>
      </w:pPr>
    </w:p>
    <w:p>
      <w:pPr>
        <w:jc w:val="both"/>
        <w:ind w:firstLine="656"/>
        <w:spacing w:after="0" w:line="251" w:lineRule="auto"/>
        <w:tabs>
          <w:tab w:leader="none" w:pos="1291" w:val="left"/>
        </w:tabs>
        <w:numPr>
          <w:ilvl w:val="0"/>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Surrender of ADSs and Withdrawal of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of this ADR (and of the ADSs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evidenced hereby) shall be 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2" w:right="339" w:bottom="1440" w:gutter="0" w:footer="0" w:header="0"/>
        </w:sectPr>
      </w:pPr>
    </w:p>
    <w:bookmarkStart w:id="322" w:name="page323"/>
    <w:bookmarkEnd w:id="32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have been paid, </w:t>
      </w:r>
      <w:r>
        <w:rPr>
          <w:rFonts w:ascii="Times New Roman" w:cs="Times New Roman" w:eastAsia="Times New Roman" w:hAnsi="Times New Roman"/>
          <w:sz w:val="22"/>
          <w:szCs w:val="22"/>
          <w:i w:val="1"/>
          <w:iCs w:val="1"/>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 in each case</w:t>
      </w:r>
      <w:r>
        <w:rPr>
          <w:rFonts w:ascii="Times New Roman" w:cs="Times New Roman" w:eastAsia="Times New Roman" w:hAnsi="Times New Roman"/>
          <w:sz w:val="22"/>
          <w:szCs w:val="22"/>
          <w:color w:val="auto"/>
        </w:rPr>
        <w:t>, to the terms and conditions of this ADR evidencing the surrendered ADSs, of the Deposit Agreement,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Articles of Association and of any applicable laws and the rules of CREST, and to any provisions of or governing the Deposited Securities, in each case as in effect at the time thereof.</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Upon satisfaction of each of the conditions specified above, the Depositary (i) shall promptly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21"/>
          <w:szCs w:val="21"/>
          <w:i w:val="1"/>
          <w:iCs w:val="1"/>
          <w:color w:val="auto"/>
        </w:rPr>
        <w:t>subject however, in each case</w:t>
      </w:r>
      <w:r>
        <w:rPr>
          <w:rFonts w:ascii="Times New Roman" w:cs="Times New Roman" w:eastAsia="Times New Roman" w:hAnsi="Times New Roman"/>
          <w:sz w:val="21"/>
          <w:szCs w:val="21"/>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w:t>
      </w:r>
    </w:p>
    <w:p>
      <w:pPr>
        <w:spacing w:after="0" w:line="2" w:lineRule="exact"/>
        <w:rPr>
          <w:sz w:val="20"/>
          <w:szCs w:val="20"/>
          <w:color w:val="auto"/>
        </w:rPr>
      </w:pPr>
    </w:p>
    <w:p>
      <w:pPr>
        <w:jc w:val="both"/>
        <w:ind w:firstLine="8"/>
        <w:spacing w:after="0" w:line="248" w:lineRule="auto"/>
        <w:tabs>
          <w:tab w:leader="none" w:pos="27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to the person surrendering such ADSs the number of ADSs representing any remaining fractional Share, or (ii) sell or cause to be sold the fractional Share represented by the ADSs so surrendered and remit the proceeds of such sale (net of</w:t>
      </w:r>
    </w:p>
    <w:p>
      <w:pPr>
        <w:spacing w:after="0" w:line="1" w:lineRule="exact"/>
        <w:rPr>
          <w:rFonts w:ascii="Times New Roman" w:cs="Times New Roman" w:eastAsia="Times New Roman" w:hAnsi="Times New Roman"/>
          <w:sz w:val="22"/>
          <w:szCs w:val="22"/>
          <w:color w:val="auto"/>
        </w:rPr>
      </w:pPr>
    </w:p>
    <w:p>
      <w:pPr>
        <w:ind w:firstLine="8"/>
        <w:spacing w:after="0" w:line="248" w:lineRule="auto"/>
        <w:tabs>
          <w:tab w:leader="none" w:pos="31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fees and charges of, and expenses incurred by, the Depositary and (b) taxes withheld) to the person surrendering the ADSs.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receipt of satisfactory instructions from ADS Holders and payment of applicable taxes and the ADS fees and charges of the Depositary for the issuance, cancellation, and conversion of ADSs (as set forth in Section 5.9 and Exhibit B of the Deposit Agreement),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323" w:name="page324"/>
    <w:bookmarkEnd w:id="32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91" w:lineRule="exact"/>
        <w:rPr>
          <w:sz w:val="20"/>
          <w:szCs w:val="20"/>
          <w:color w:val="auto"/>
        </w:rPr>
      </w:pPr>
    </w:p>
    <w:p>
      <w:pPr>
        <w:jc w:val="both"/>
        <w:ind w:firstLine="656"/>
        <w:spacing w:after="0" w:line="248" w:lineRule="auto"/>
        <w:tabs>
          <w:tab w:leader="none" w:pos="1291" w:val="left"/>
        </w:tabs>
        <w:numPr>
          <w:ilvl w:val="0"/>
          <w:numId w:val="1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Transfer, Combination and Split-up of ADRs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Registrar shall promptly register the transfer of this ADR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of the ADSs represented hereby) on the books maintained for such purpose and the Depositary shall promptly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have been paid, </w:t>
      </w:r>
      <w:r>
        <w:rPr>
          <w:rFonts w:ascii="Times New Roman" w:cs="Times New Roman" w:eastAsia="Times New Roman" w:hAnsi="Times New Roman"/>
          <w:sz w:val="22"/>
          <w:szCs w:val="22"/>
          <w:i w:val="1"/>
          <w:iCs w:val="1"/>
          <w:color w:val="auto"/>
        </w:rPr>
        <w:t>subject, however, in each case,</w:t>
      </w:r>
      <w:r>
        <w:rPr>
          <w:rFonts w:ascii="Times New Roman" w:cs="Times New Roman" w:eastAsia="Times New Roman" w:hAnsi="Times New Roman"/>
          <w:sz w:val="22"/>
          <w:szCs w:val="22"/>
          <w:color w:val="auto"/>
        </w:rPr>
        <w:t xml:space="preserve"> to the terms and conditions of this ADR, of the Deposit Agreement and of applicable law, in each case as in effect at the time thereof.</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The Registrar shall promptly register the split-up or combination of this ADR (and of the ADSs represented hereby) on the books maintained for such purpose and the Depositary shall promptly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have been paid, </w:t>
      </w:r>
      <w:r>
        <w:rPr>
          <w:rFonts w:ascii="Times New Roman" w:cs="Times New Roman" w:eastAsia="Times New Roman" w:hAnsi="Times New Roman"/>
          <w:sz w:val="22"/>
          <w:szCs w:val="22"/>
          <w:i w:val="1"/>
          <w:iCs w:val="1"/>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 in each case</w:t>
      </w:r>
      <w:r>
        <w:rPr>
          <w:rFonts w:ascii="Times New Roman" w:cs="Times New Roman" w:eastAsia="Times New Roman" w:hAnsi="Times New Roman"/>
          <w:sz w:val="22"/>
          <w:szCs w:val="22"/>
          <w:color w:val="auto"/>
        </w:rPr>
        <w:t>, to the terms and conditions of this ADR, of the Deposit Agreement and of applicable law, in each case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effect at the time thereof.</w:t>
      </w:r>
    </w:p>
    <w:p>
      <w:pPr>
        <w:spacing w:after="0" w:line="200" w:lineRule="exact"/>
        <w:rPr>
          <w:sz w:val="20"/>
          <w:szCs w:val="20"/>
          <w:color w:val="auto"/>
        </w:rPr>
      </w:pPr>
    </w:p>
    <w:p>
      <w:pPr>
        <w:ind w:firstLine="656"/>
        <w:spacing w:after="0" w:line="275" w:lineRule="auto"/>
        <w:tabs>
          <w:tab w:leader="none" w:pos="1291"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Pre-Conditions to Registration, Transfer,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condition precedent to the execution and Delivery,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of issuance, transfer, split-up, combination or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22" w:right="339" w:bottom="1440" w:gutter="0" w:footer="0" w:header="0"/>
        </w:sectPr>
      </w:pPr>
    </w:p>
    <w:bookmarkStart w:id="324" w:name="page325"/>
    <w:bookmarkEnd w:id="324"/>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6" w:lineRule="exact"/>
        <w:rPr>
          <w:sz w:val="20"/>
          <w:szCs w:val="20"/>
          <w:color w:val="auto"/>
        </w:rPr>
      </w:pPr>
    </w:p>
    <w:p>
      <w:pPr>
        <w:jc w:val="both"/>
        <w:ind w:firstLine="656"/>
        <w:spacing w:after="0" w:line="249" w:lineRule="auto"/>
        <w:tabs>
          <w:tab w:leader="none" w:pos="1291"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Information Requests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 provision of the Deposit Agreement 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ADR, each Holder and Beneficial Owner of the ADSs represented hereby agrees to comply with requests from the Company pursuant to applicable law, the rules and requirements of any stock exchange on which the Shares or ADSs are, or will be, registered, traded or listed and/or the Articles of Association of the Company, which are made to provide information,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22" w:right="339" w:bottom="1440" w:gutter="0" w:footer="0" w:header="0"/>
        </w:sectPr>
      </w:pPr>
    </w:p>
    <w:bookmarkStart w:id="325" w:name="page326"/>
    <w:bookmarkEnd w:id="325"/>
    <w:p>
      <w:pPr>
        <w:jc w:val="both"/>
        <w:spacing w:after="0" w:line="257" w:lineRule="auto"/>
        <w:rPr>
          <w:sz w:val="20"/>
          <w:szCs w:val="20"/>
          <w:color w:val="auto"/>
        </w:rPr>
      </w:pPr>
      <w:r>
        <w:rPr>
          <w:rFonts w:ascii="Times New Roman" w:cs="Times New Roman" w:eastAsia="Times New Roman" w:hAnsi="Times New Roman"/>
          <w:sz w:val="22"/>
          <w:szCs w:val="22"/>
          <w:color w:val="auto"/>
        </w:rPr>
        <w:t>agrees to use its commercially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2" w:lineRule="exact"/>
        <w:rPr>
          <w:sz w:val="20"/>
          <w:szCs w:val="20"/>
          <w:color w:val="auto"/>
        </w:rPr>
      </w:pPr>
    </w:p>
    <w:p>
      <w:pPr>
        <w:jc w:val="both"/>
        <w:ind w:firstLine="656"/>
        <w:spacing w:after="0" w:line="261" w:lineRule="auto"/>
        <w:tabs>
          <w:tab w:leader="none" w:pos="1291" w:val="left"/>
        </w:tabs>
        <w:numPr>
          <w:ilvl w:val="0"/>
          <w:numId w:val="2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Ownership Restrictions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other provision contained in this ADR or of the Deposit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the 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69" w:lineRule="exact"/>
        <w:rPr>
          <w:rFonts w:ascii="Times New Roman" w:cs="Times New Roman" w:eastAsia="Times New Roman" w:hAnsi="Times New Roman"/>
          <w:sz w:val="21"/>
          <w:szCs w:val="21"/>
          <w:b w:val="1"/>
          <w:bCs w:val="1"/>
          <w:color w:val="auto"/>
        </w:rPr>
      </w:pPr>
    </w:p>
    <w:p>
      <w:pPr>
        <w:jc w:val="both"/>
        <w:ind w:firstLine="656"/>
        <w:spacing w:after="0" w:line="247" w:lineRule="auto"/>
        <w:tabs>
          <w:tab w:leader="none" w:pos="1291" w:val="left"/>
        </w:tabs>
        <w:numPr>
          <w:ilvl w:val="0"/>
          <w:numId w:val="2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Reporting Obligations and Regulatory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 of the Deposit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 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22" w:right="339" w:bottom="1440" w:gutter="0" w:footer="0" w:header="0"/>
        </w:sectPr>
      </w:pPr>
    </w:p>
    <w:bookmarkStart w:id="326" w:name="page327"/>
    <w:bookmarkEnd w:id="326"/>
    <w:p>
      <w:pPr>
        <w:jc w:val="both"/>
        <w:spacing w:after="0" w:line="253" w:lineRule="auto"/>
        <w:rPr>
          <w:sz w:val="20"/>
          <w:szCs w:val="20"/>
          <w:color w:val="auto"/>
        </w:rPr>
      </w:pPr>
      <w:r>
        <w:rPr>
          <w:rFonts w:ascii="Times New Roman" w:cs="Times New Roman" w:eastAsia="Times New Roman" w:hAnsi="Times New Roman"/>
          <w:sz w:val="22"/>
          <w:szCs w:val="22"/>
          <w:color w:val="auto"/>
        </w:rPr>
        <w:t>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5" w:lineRule="exact"/>
        <w:rPr>
          <w:sz w:val="20"/>
          <w:szCs w:val="20"/>
          <w:color w:val="auto"/>
        </w:rPr>
      </w:pPr>
    </w:p>
    <w:p>
      <w:pPr>
        <w:jc w:val="both"/>
        <w:ind w:firstLine="656"/>
        <w:spacing w:after="0" w:line="247" w:lineRule="auto"/>
        <w:tabs>
          <w:tab w:leader="none" w:pos="1291"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Liability for Taxes and Other Charges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tax or other governmental charge payable by the Custodian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with 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7" w:lineRule="exact"/>
        <w:rPr>
          <w:rFonts w:ascii="Times New Roman" w:cs="Times New Roman" w:eastAsia="Times New Roman" w:hAnsi="Times New Roman"/>
          <w:sz w:val="22"/>
          <w:szCs w:val="22"/>
          <w:b w:val="1"/>
          <w:bCs w:val="1"/>
          <w:color w:val="auto"/>
        </w:rPr>
      </w:pPr>
    </w:p>
    <w:p>
      <w:pPr>
        <w:jc w:val="both"/>
        <w:ind w:firstLine="656"/>
        <w:spacing w:after="0" w:line="263" w:lineRule="auto"/>
        <w:tabs>
          <w:tab w:leader="none" w:pos="1291" w:val="left"/>
        </w:tabs>
        <w:numPr>
          <w:ilvl w:val="0"/>
          <w:numId w:val="2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Representations and Warranties on Deposit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person depositing Shares under the Deposit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be deemed thereby to represent and warrant that (i) such Shares and the certificates therefor are duly authorized, validly issued, fully paid, non-assessable (i.e., not subject to call for payment of further capital)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422" w:right="339" w:bottom="1440" w:gutter="0" w:footer="0" w:header="0"/>
        </w:sectPr>
      </w:pPr>
    </w:p>
    <w:bookmarkStart w:id="327" w:name="page328"/>
    <w:bookmarkEnd w:id="327"/>
    <w:p>
      <w:pPr>
        <w:jc w:val="both"/>
        <w:spacing w:after="0" w:line="257" w:lineRule="auto"/>
        <w:rPr>
          <w:sz w:val="20"/>
          <w:szCs w:val="20"/>
          <w:color w:val="auto"/>
        </w:rPr>
      </w:pPr>
      <w:r>
        <w:rPr>
          <w:rFonts w:ascii="Times New Roman" w:cs="Times New Roman" w:eastAsia="Times New Roman" w:hAnsi="Times New Roman"/>
          <w:sz w:val="22"/>
          <w:szCs w:val="22"/>
          <w:color w:val="auto"/>
        </w:rPr>
        <w:t>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2" w:lineRule="exact"/>
        <w:rPr>
          <w:sz w:val="20"/>
          <w:szCs w:val="20"/>
          <w:color w:val="auto"/>
        </w:rPr>
      </w:pPr>
    </w:p>
    <w:p>
      <w:pPr>
        <w:jc w:val="both"/>
        <w:ind w:firstLine="656"/>
        <w:spacing w:after="0" w:line="259" w:lineRule="auto"/>
        <w:tabs>
          <w:tab w:leader="none" w:pos="1291" w:val="left"/>
        </w:tabs>
        <w:numPr>
          <w:ilvl w:val="0"/>
          <w:numId w:val="2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Proofs, Certificates and Other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person presenting Shares for deposit, any Holder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and the Holder or Beneficial Owner is legally able to provide. The Depositary and the Registrar, as applicable, may, and at the request of the Company, shall, to the extent practicable,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(whether or not the Holder or Beneficial Owner is legally able to provide it).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00" w:lineRule="exact"/>
        <w:rPr>
          <w:rFonts w:ascii="Times New Roman" w:cs="Times New Roman" w:eastAsia="Times New Roman" w:hAnsi="Times New Roman"/>
          <w:sz w:val="21"/>
          <w:szCs w:val="21"/>
          <w:b w:val="1"/>
          <w:bCs w:val="1"/>
          <w:color w:val="auto"/>
        </w:rPr>
      </w:pPr>
    </w:p>
    <w:p>
      <w:pPr>
        <w:spacing w:after="0" w:line="236" w:lineRule="exact"/>
        <w:rPr>
          <w:rFonts w:ascii="Times New Roman" w:cs="Times New Roman" w:eastAsia="Times New Roman" w:hAnsi="Times New Roman"/>
          <w:sz w:val="21"/>
          <w:szCs w:val="21"/>
          <w:b w:val="1"/>
          <w:bCs w:val="1"/>
          <w:color w:val="auto"/>
        </w:rPr>
      </w:pPr>
    </w:p>
    <w:p>
      <w:pPr>
        <w:ind w:firstLine="656"/>
        <w:spacing w:after="0" w:line="275" w:lineRule="auto"/>
        <w:tabs>
          <w:tab w:leader="none" w:pos="1279"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ADS Fees and Charges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ADS fees (some of which may be cumulative) are payable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the Deposit Agreement:</w:t>
      </w:r>
    </w:p>
    <w:p>
      <w:pPr>
        <w:spacing w:after="0" w:line="149" w:lineRule="exact"/>
        <w:rPr>
          <w:rFonts w:ascii="Times New Roman" w:cs="Times New Roman" w:eastAsia="Times New Roman" w:hAnsi="Times New Roman"/>
          <w:sz w:val="22"/>
          <w:szCs w:val="22"/>
          <w:b w:val="1"/>
          <w:bCs w:val="1"/>
          <w:color w:val="auto"/>
        </w:rPr>
      </w:pPr>
    </w:p>
    <w:p>
      <w:pPr>
        <w:jc w:val="both"/>
        <w:ind w:left="1960" w:hanging="656"/>
        <w:spacing w:after="0" w:line="258" w:lineRule="auto"/>
        <w:tabs>
          <w:tab w:leader="none" w:pos="1948"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ADS Issuance Fee</w:t>
      </w:r>
      <w:r>
        <w:rPr>
          <w:rFonts w:ascii="Times New Roman" w:cs="Times New Roman" w:eastAsia="Times New Roman" w:hAnsi="Times New Roman"/>
          <w:sz w:val="22"/>
          <w:szCs w:val="22"/>
          <w:color w:val="auto"/>
        </w:rPr>
        <w:t>: by any person for whom ADSs are issued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an issuance upon a deposit of Shares, upon a change in the ADS(s)-to-Share(s) ratio, ADS conversions, or for any other reason), excluding issuances as a result of distributions described in paragraph (iv) below, a fee not in excess of U.S. $5.00 per 100 ADSs (or fraction thereof) issued under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22" w:right="339" w:bottom="1440" w:gutter="0" w:footer="0" w:header="0"/>
        </w:sectPr>
      </w:pPr>
    </w:p>
    <w:bookmarkStart w:id="328" w:name="page329"/>
    <w:bookmarkEnd w:id="328"/>
    <w:p>
      <w:pPr>
        <w:jc w:val="both"/>
        <w:ind w:left="1960" w:hanging="656"/>
        <w:spacing w:after="0" w:line="258" w:lineRule="auto"/>
        <w:tabs>
          <w:tab w:leader="none" w:pos="195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ADS Cancellation Fee</w:t>
      </w:r>
      <w:r>
        <w:rPr>
          <w:rFonts w:ascii="Times New Roman" w:cs="Times New Roman" w:eastAsia="Times New Roman" w:hAnsi="Times New Roman"/>
          <w:sz w:val="22"/>
          <w:szCs w:val="22"/>
          <w:color w:val="auto"/>
        </w:rPr>
        <w:t>: by any person for whom ADSs are being cancelled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cancellation of ADSs for Delivery of deposited shares, upon a change in the ADS(s)-to-Share(s) ratio, ADS conversions, upon termination of the Deposit Agreement, or for any other reason), a fee not in excess of U.S. $5.00 per 100 ADSs (or fraction thereof) cancelled;</w:t>
      </w:r>
    </w:p>
    <w:p>
      <w:pPr>
        <w:spacing w:after="0" w:line="171"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Distribution Fee</w:t>
      </w:r>
      <w:r>
        <w:rPr>
          <w:rFonts w:ascii="Times New Roman" w:cs="Times New Roman" w:eastAsia="Times New Roman" w:hAnsi="Times New Roman"/>
          <w:sz w:val="22"/>
          <w:szCs w:val="22"/>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upon a sale of rights and other entitlements);</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4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Distribution /Rights Exercise Fee</w:t>
      </w:r>
      <w:r>
        <w:rPr>
          <w:rFonts w:ascii="Times New Roman" w:cs="Times New Roman" w:eastAsia="Times New Roman" w:hAnsi="Times New Roman"/>
          <w:sz w:val="22"/>
          <w:szCs w:val="22"/>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67" w:lineRule="exact"/>
        <w:rPr>
          <w:rFonts w:ascii="Times New Roman" w:cs="Times New Roman" w:eastAsia="Times New Roman" w:hAnsi="Times New Roman"/>
          <w:sz w:val="22"/>
          <w:szCs w:val="22"/>
          <w:color w:val="auto"/>
        </w:rPr>
      </w:pPr>
    </w:p>
    <w:p>
      <w:pPr>
        <w:jc w:val="both"/>
        <w:ind w:left="1960" w:hanging="656"/>
        <w:spacing w:after="0" w:line="275" w:lineRule="auto"/>
        <w:tabs>
          <w:tab w:leader="none" w:pos="195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Distribution Fee</w:t>
      </w:r>
      <w:r>
        <w:rPr>
          <w:rFonts w:ascii="Times New Roman" w:cs="Times New Roman" w:eastAsia="Times New Roman" w:hAnsi="Times New Roman"/>
          <w:sz w:val="21"/>
          <w:szCs w:val="21"/>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spin-off shares and contingent value rights);</w:t>
      </w:r>
    </w:p>
    <w:p>
      <w:pPr>
        <w:spacing w:after="0" w:line="155" w:lineRule="exact"/>
        <w:rPr>
          <w:rFonts w:ascii="Times New Roman" w:cs="Times New Roman" w:eastAsia="Times New Roman" w:hAnsi="Times New Roman"/>
          <w:sz w:val="21"/>
          <w:szCs w:val="21"/>
          <w:color w:val="auto"/>
        </w:rPr>
      </w:pPr>
    </w:p>
    <w:p>
      <w:pPr>
        <w:ind w:left="1960" w:right="20" w:hanging="656"/>
        <w:spacing w:after="0" w:line="284" w:lineRule="auto"/>
        <w:tabs>
          <w:tab w:leader="none" w:pos="194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Depositary Services Fee</w:t>
      </w:r>
      <w:r>
        <w:rPr>
          <w:rFonts w:ascii="Times New Roman" w:cs="Times New Roman" w:eastAsia="Times New Roman" w:hAnsi="Times New Roman"/>
          <w:sz w:val="22"/>
          <w:szCs w:val="22"/>
          <w:color w:val="auto"/>
        </w:rPr>
        <w:t>: by any Holder of ADS(s), a fee not in excess of U.S. $5.00 per 100 ADSs (or fraction thereof) held on the applicable record date(s) established by the Depositary;</w:t>
      </w:r>
    </w:p>
    <w:p>
      <w:pPr>
        <w:spacing w:after="0" w:line="143"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5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of ADS Transfer Fee</w:t>
      </w:r>
      <w:r>
        <w:rPr>
          <w:rFonts w:ascii="Times New Roman" w:cs="Times New Roman" w:eastAsia="Times New Roman" w:hAnsi="Times New Roman"/>
          <w:sz w:val="22"/>
          <w:szCs w:val="22"/>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or for any other reason); and</w:t>
      </w:r>
    </w:p>
    <w:p>
      <w:pPr>
        <w:spacing w:after="0" w:line="192" w:lineRule="exact"/>
        <w:rPr>
          <w:rFonts w:ascii="Times New Roman" w:cs="Times New Roman" w:eastAsia="Times New Roman" w:hAnsi="Times New Roman"/>
          <w:sz w:val="22"/>
          <w:szCs w:val="22"/>
          <w:color w:val="auto"/>
        </w:rPr>
      </w:pPr>
    </w:p>
    <w:p>
      <w:pPr>
        <w:jc w:val="both"/>
        <w:ind w:left="1960" w:hanging="656"/>
        <w:spacing w:after="0" w:line="251" w:lineRule="auto"/>
        <w:tabs>
          <w:tab w:leader="none" w:pos="19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ADS Conversion Fee</w:t>
      </w:r>
      <w:r>
        <w:rPr>
          <w:rFonts w:ascii="Times New Roman" w:cs="Times New Roman" w:eastAsia="Times New Roman" w:hAnsi="Times New Roman"/>
          <w:sz w:val="22"/>
          <w:szCs w:val="22"/>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or conversion of ADSs for unsponsored American Depositary Shares (e.g., upon termination of the Deposit Agreement).</w:t>
      </w:r>
    </w:p>
    <w:p>
      <w:pPr>
        <w:spacing w:after="0" w:line="18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Company, Holders, Beneficial Owners, persons depositing Shares or withdrawing Deposited Securities in connection with ADS issuances and cancellations, and persons for whom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18" w:right="339" w:bottom="1440" w:gutter="0" w:footer="0" w:header="0"/>
        </w:sectPr>
      </w:pPr>
    </w:p>
    <w:bookmarkStart w:id="329" w:name="page330"/>
    <w:bookmarkEnd w:id="329"/>
    <w:p>
      <w:pPr>
        <w:spacing w:after="0" w:line="271" w:lineRule="auto"/>
        <w:rPr>
          <w:sz w:val="20"/>
          <w:szCs w:val="20"/>
          <w:color w:val="auto"/>
        </w:rPr>
      </w:pPr>
      <w:r>
        <w:rPr>
          <w:rFonts w:ascii="Times New Roman" w:cs="Times New Roman" w:eastAsia="Times New Roman" w:hAnsi="Times New Roman"/>
          <w:sz w:val="22"/>
          <w:szCs w:val="22"/>
          <w:color w:val="auto"/>
        </w:rPr>
        <w:t>ADSs are issued or cancelled shall be responsible for the following ADS charges (some of which may be cumulative) under the terms of the Deposit Agreement:</w:t>
      </w:r>
    </w:p>
    <w:p>
      <w:pPr>
        <w:spacing w:after="0" w:line="158" w:lineRule="exact"/>
        <w:rPr>
          <w:sz w:val="20"/>
          <w:szCs w:val="20"/>
          <w:color w:val="auto"/>
        </w:rPr>
      </w:pPr>
    </w:p>
    <w:p>
      <w:pPr>
        <w:ind w:left="1940" w:hanging="636"/>
        <w:spacing w:after="0"/>
        <w:tabs>
          <w:tab w:leader="none" w:pos="19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(including applicable interest and penalties) and other governmental charges;</w:t>
      </w:r>
    </w:p>
    <w:p>
      <w:pPr>
        <w:spacing w:after="0" w:line="233"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5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5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7" w:lineRule="exact"/>
        <w:rPr>
          <w:rFonts w:ascii="Times New Roman" w:cs="Times New Roman" w:eastAsia="Times New Roman" w:hAnsi="Times New Roman"/>
          <w:sz w:val="22"/>
          <w:szCs w:val="22"/>
          <w:color w:val="auto"/>
        </w:rPr>
      </w:pPr>
    </w:p>
    <w:p>
      <w:pPr>
        <w:jc w:val="both"/>
        <w:ind w:left="1960" w:hanging="656"/>
        <w:spacing w:after="0" w:line="252" w:lineRule="auto"/>
        <w:tabs>
          <w:tab w:leader="none" w:pos="195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92"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reasonable and customary out-of-pocket expenses incurred in such conversion and/or on behalf of the Holders and Beneficial Owners in complying with currency exchange control or other governmental requirements;</w:t>
      </w:r>
    </w:p>
    <w:p>
      <w:pPr>
        <w:spacing w:after="0" w:line="172"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6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fees, charges, costs and expenses incurred by the Depositary, the Custodian, or any nominee in connection with the ADR program; and</w:t>
      </w:r>
    </w:p>
    <w:p>
      <w:pPr>
        <w:spacing w:after="0" w:line="171" w:lineRule="exact"/>
        <w:rPr>
          <w:rFonts w:ascii="Times New Roman" w:cs="Times New Roman" w:eastAsia="Times New Roman" w:hAnsi="Times New Roman"/>
          <w:sz w:val="22"/>
          <w:szCs w:val="22"/>
          <w:color w:val="auto"/>
        </w:rPr>
      </w:pPr>
    </w:p>
    <w:p>
      <w:pPr>
        <w:ind w:left="1960" w:hanging="656"/>
        <w:spacing w:after="0" w:line="271" w:lineRule="auto"/>
        <w:tabs>
          <w:tab w:leader="none" w:pos="1955"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to the Depositary by any party to the Deposit Agreement pursuant to any ancillary agreement to the Deposit Agreement in respect of the ADR program, the ADSs and the ADRs.</w:t>
      </w:r>
    </w:p>
    <w:p>
      <w:pPr>
        <w:spacing w:after="0" w:line="15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All ADS fees and charges so payable may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at any time and from time to time, be changed by agreement between the Depositary and Company but, in the case of ADS fees and charges payable by Holders and Beneficial Owners, any such change may be made only in the manner contemplated by paragraph (23) of this ADR and as contemplated in Section 6.1 of the Deposit Agreement. The Depositary shall provide, without charge, a copy of its latest ADS fee schedule to anyone upon request.</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240"/>
          </w:cols>
          <w:pgMar w:left="320" w:top="1422" w:right="339" w:bottom="1440" w:gutter="0" w:footer="0" w:header="0"/>
        </w:sectPr>
      </w:pPr>
    </w:p>
    <w:bookmarkStart w:id="330" w:name="page331"/>
    <w:bookmarkEnd w:id="330"/>
    <w:p>
      <w:pPr>
        <w:jc w:val="both"/>
        <w:spacing w:after="0" w:line="247" w:lineRule="auto"/>
        <w:rPr>
          <w:sz w:val="20"/>
          <w:szCs w:val="20"/>
          <w:color w:val="auto"/>
        </w:rPr>
      </w:pPr>
      <w:r>
        <w:rPr>
          <w:rFonts w:ascii="Times New Roman" w:cs="Times New Roman" w:eastAsia="Times New Roman" w:hAnsi="Times New Roman"/>
          <w:sz w:val="22"/>
          <w:szCs w:val="22"/>
          <w:color w:val="auto"/>
        </w:rPr>
        <w:t>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5" w:lineRule="exact"/>
        <w:rPr>
          <w:sz w:val="20"/>
          <w:szCs w:val="20"/>
          <w:color w:val="auto"/>
        </w:rPr>
      </w:pPr>
    </w:p>
    <w:p>
      <w:pPr>
        <w:jc w:val="both"/>
        <w:ind w:firstLine="656"/>
        <w:spacing w:after="0" w:line="265" w:lineRule="auto"/>
        <w:tabs>
          <w:tab w:leader="none" w:pos="1291"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Title to ADRs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limitations contained in the Deposit Agreement and in this ADR, it is a condition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ADR, and every successive Holder of this ADR by accepting or holding the same consents and agrees, that title to this ADR (and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240"/>
          </w:cols>
          <w:pgMar w:left="320" w:top="1422" w:right="339" w:bottom="1440" w:gutter="0" w:footer="0" w:header="0"/>
        </w:sectPr>
      </w:pPr>
    </w:p>
    <w:bookmarkStart w:id="331" w:name="page332"/>
    <w:bookmarkEnd w:id="331"/>
    <w:p>
      <w:pPr>
        <w:jc w:val="both"/>
        <w:spacing w:after="0" w:line="262" w:lineRule="auto"/>
        <w:rPr>
          <w:sz w:val="20"/>
          <w:szCs w:val="20"/>
          <w:color w:val="auto"/>
        </w:rPr>
      </w:pPr>
      <w:r>
        <w:rPr>
          <w:rFonts w:ascii="Times New Roman" w:cs="Times New Roman" w:eastAsia="Times New Roman" w:hAnsi="Times New Roman"/>
          <w:sz w:val="21"/>
          <w:szCs w:val="21"/>
          <w:color w:val="auto"/>
        </w:rPr>
        <w:t>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2" w:lineRule="exact"/>
        <w:rPr>
          <w:sz w:val="20"/>
          <w:szCs w:val="20"/>
          <w:color w:val="auto"/>
        </w:rPr>
      </w:pPr>
    </w:p>
    <w:p>
      <w:pPr>
        <w:jc w:val="both"/>
        <w:ind w:firstLine="656"/>
        <w:spacing w:after="0" w:line="252" w:lineRule="auto"/>
        <w:tabs>
          <w:tab w:leader="none" w:pos="1291"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Validity of ADR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Holder(s) of this ADR (and the ADSs represented hereby) shall not be entitled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under the Deposit Agreement or be valid or enforceable for any purpose against the Depositary or the Company unless this ADR has been (i) dated, (ii) signed by the manual or facsimile signature of a duly-authorized signatory of the Depositary,</w:t>
      </w:r>
    </w:p>
    <w:p>
      <w:pPr>
        <w:jc w:val="both"/>
        <w:ind w:firstLine="8"/>
        <w:spacing w:after="0" w:line="247" w:lineRule="auto"/>
        <w:tabs>
          <w:tab w:leader="none" w:pos="38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Available Information; Reports; Inspection of Transfer Books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is subject to the periodic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Registrar may close the transfer books with respect to the ADSs, at any time or from time to time, when deemed necessary or advisable by it in good faith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240"/>
          </w:cols>
          <w:pgMar w:left="320" w:top="1422" w:right="339" w:bottom="1440" w:gutter="0" w:footer="0" w:header="0"/>
        </w:sectPr>
      </w:pPr>
    </w:p>
    <w:bookmarkStart w:id="332" w:name="page333"/>
    <w:bookmarkEnd w:id="332"/>
    <w:p>
      <w:pPr>
        <w:spacing w:after="0" w:line="271" w:lineRule="auto"/>
        <w:rPr>
          <w:sz w:val="20"/>
          <w:szCs w:val="20"/>
          <w:color w:val="auto"/>
        </w:rPr>
      </w:pPr>
      <w:r>
        <w:rPr>
          <w:rFonts w:ascii="Times New Roman" w:cs="Times New Roman" w:eastAsia="Times New Roman" w:hAnsi="Times New Roman"/>
          <w:sz w:val="22"/>
          <w:szCs w:val="22"/>
          <w:color w:val="auto"/>
        </w:rPr>
        <w:t>performance of its duties hereunder, or at the reasonable written request of the Company subject, in all cases, to paragraph (25) and Section 7.8(a) of the Deposit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514"/>
        </w:trPr>
        <w:tc>
          <w:tcPr>
            <w:tcW w:w="5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CITIBANK, N.A.</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CITIBANK, N.A.</w:t>
            </w:r>
          </w:p>
        </w:tc>
      </w:tr>
      <w:tr>
        <w:trPr>
          <w:trHeight w:val="282"/>
        </w:trPr>
        <w:tc>
          <w:tcPr>
            <w:tcW w:w="5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Transfer Agent and Registrar</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as Depositary</w:t>
            </w:r>
          </w:p>
        </w:tc>
      </w:tr>
      <w:tr>
        <w:trPr>
          <w:trHeight w:val="589"/>
        </w:trPr>
        <w:tc>
          <w:tcPr>
            <w:tcW w:w="5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By:</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w:t>
            </w:r>
          </w:p>
        </w:tc>
      </w:tr>
      <w:tr>
        <w:trPr>
          <w:trHeight w:val="282"/>
        </w:trPr>
        <w:tc>
          <w:tcPr>
            <w:tcW w:w="580" w:type="dxa"/>
            <w:vAlign w:val="bottom"/>
          </w:tcPr>
          <w:p>
            <w:pPr>
              <w:spacing w:after="0"/>
              <w:rPr>
                <w:sz w:val="24"/>
                <w:szCs w:val="24"/>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Authorized Signatory</w:t>
            </w:r>
          </w:p>
        </w:tc>
        <w:tc>
          <w:tcPr>
            <w:tcW w:w="780" w:type="dxa"/>
            <w:vAlign w:val="bottom"/>
          </w:tcPr>
          <w:p>
            <w:pPr>
              <w:spacing w:after="0"/>
              <w:rPr>
                <w:sz w:val="24"/>
                <w:szCs w:val="24"/>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address of the Principal Office of the Depositary is 388 Greenwich Street, New York, New York 10013,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1240"/>
          </w:cols>
          <w:pgMar w:left="320" w:top="1422" w:right="339" w:bottom="1440" w:gutter="0" w:footer="0" w:header="0"/>
        </w:sectPr>
      </w:pPr>
    </w:p>
    <w:bookmarkStart w:id="333" w:name="page334"/>
    <w:bookmarkEnd w:id="333"/>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[FORM OF REVERSE OF ADR]</w:t>
      </w:r>
    </w:p>
    <w:p>
      <w:pPr>
        <w:spacing w:after="0" w:line="22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SUMMARY OF CERTAIN ADDITIONAL PROVISIONS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THE DEPOSIT AGREEMENT</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59" w:lineRule="auto"/>
        <w:tabs>
          <w:tab w:leader="none" w:pos="1291" w:val="left"/>
        </w:tabs>
        <w:numPr>
          <w:ilvl w:val="0"/>
          <w:numId w:val="2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Dividends and Distributions in Cash, Shares, etc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Cash Distributions</w:t>
      </w:r>
      <w:r>
        <w:rPr>
          <w:rFonts w:ascii="Times New Roman" w:cs="Times New Roman" w:eastAsia="Times New Roman" w:hAnsi="Times New Roman"/>
          <w:sz w:val="21"/>
          <w:szCs w:val="21"/>
          <w:color w:val="auto"/>
        </w:rPr>
        <w:t>: Upon the timely receipt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Depositary of a notice from the 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1240"/>
          </w:cols>
          <w:pgMar w:left="320" w:top="1440" w:right="339" w:bottom="1440" w:gutter="0" w:footer="0" w:header="0"/>
        </w:sectPr>
      </w:pPr>
    </w:p>
    <w:bookmarkStart w:id="334" w:name="page335"/>
    <w:bookmarkEnd w:id="334"/>
    <w:p>
      <w:pPr>
        <w:jc w:val="both"/>
        <w:ind w:firstLine="656"/>
        <w:spacing w:after="0" w:line="248" w:lineRule="auto"/>
        <w:tabs>
          <w:tab w:leader="none" w:pos="98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Share Distributions</w:t>
      </w:r>
      <w:r>
        <w:rPr>
          <w:rFonts w:ascii="Times New Roman" w:cs="Times New Roman" w:eastAsia="Times New Roman" w:hAnsi="Times New Roman"/>
          <w:sz w:val="22"/>
          <w:szCs w:val="22"/>
          <w:color w:val="auto"/>
        </w:rPr>
        <w:t>: Upon the timely receipt of such notice from the Company, the Depositary shall establish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reasonable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In the event that the Depositary determines that any distribution in property (including Shares) is subject to any tax or other governmental charges which the Depositary is obligated to withhold, or, if the Company in the fulfillment of its obligation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174" w:lineRule="exact"/>
        <w:rPr>
          <w:sz w:val="20"/>
          <w:szCs w:val="20"/>
          <w:color w:val="auto"/>
        </w:rPr>
      </w:pPr>
    </w:p>
    <w:p>
      <w:pPr>
        <w:jc w:val="both"/>
        <w:ind w:firstLine="656"/>
        <w:spacing w:after="0" w:line="265" w:lineRule="auto"/>
        <w:tabs>
          <w:tab w:leader="none" w:pos="942"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Elective Distributions in Cash or Shares</w:t>
      </w:r>
      <w:r>
        <w:rPr>
          <w:rFonts w:ascii="Times New Roman" w:cs="Times New Roman" w:eastAsia="Times New Roman" w:hAnsi="Times New Roman"/>
          <w:sz w:val="21"/>
          <w:szCs w:val="21"/>
          <w:color w:val="auto"/>
        </w:rPr>
        <w:t>: Upon the timely receipt of a notice indicating that the Company wishes an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elective distribution in 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timely requested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1240"/>
          </w:cols>
          <w:pgMar w:left="320" w:top="1416" w:right="339" w:bottom="1440" w:gutter="0" w:footer="0" w:header="0"/>
        </w:sectPr>
      </w:pPr>
    </w:p>
    <w:bookmarkStart w:id="335" w:name="page336"/>
    <w:bookmarkEnd w:id="335"/>
    <w:p>
      <w:pPr>
        <w:jc w:val="both"/>
        <w:spacing w:after="0" w:line="247" w:lineRule="auto"/>
        <w:rPr>
          <w:sz w:val="20"/>
          <w:szCs w:val="20"/>
          <w:color w:val="auto"/>
        </w:rPr>
      </w:pPr>
      <w:r>
        <w:rPr>
          <w:rFonts w:ascii="Times New Roman" w:cs="Times New Roman" w:eastAsia="Times New Roman" w:hAnsi="Times New Roman"/>
          <w:sz w:val="22"/>
          <w:szCs w:val="22"/>
          <w:color w:val="auto"/>
        </w:rPr>
        <w:t>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in each case,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79" w:lineRule="exact"/>
        <w:rPr>
          <w:sz w:val="20"/>
          <w:szCs w:val="20"/>
          <w:color w:val="auto"/>
        </w:rPr>
      </w:pPr>
    </w:p>
    <w:p>
      <w:pPr>
        <w:jc w:val="both"/>
        <w:ind w:firstLine="656"/>
        <w:spacing w:after="0" w:line="248" w:lineRule="auto"/>
        <w:tabs>
          <w:tab w:leader="none" w:pos="95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Distribution of Rights to Purchase Additional ADSs</w:t>
      </w:r>
      <w:r>
        <w:rPr>
          <w:rFonts w:ascii="Times New Roman" w:cs="Times New Roman" w:eastAsia="Times New Roman" w:hAnsi="Times New Roman"/>
          <w:sz w:val="22"/>
          <w:szCs w:val="22"/>
          <w:color w:val="auto"/>
        </w:rPr>
        <w:t>: Upon the timely receipt by the Depositary of a notice indicating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Section 4.4(b) of the Deposit Agreement.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240"/>
          </w:cols>
          <w:pgMar w:left="320" w:top="1422" w:right="339" w:bottom="1440" w:gutter="0" w:footer="0" w:header="0"/>
        </w:sectPr>
      </w:pPr>
    </w:p>
    <w:bookmarkStart w:id="336" w:name="page337"/>
    <w:bookmarkEnd w:id="336"/>
    <w:p>
      <w:pPr>
        <w:jc w:val="both"/>
        <w:spacing w:after="0" w:line="247" w:lineRule="auto"/>
        <w:rPr>
          <w:sz w:val="20"/>
          <w:szCs w:val="20"/>
          <w:color w:val="auto"/>
        </w:rPr>
      </w:pPr>
      <w:r>
        <w:rPr>
          <w:rFonts w:ascii="Times New Roman" w:cs="Times New Roman" w:eastAsia="Times New Roman" w:hAnsi="Times New Roman"/>
          <w:sz w:val="22"/>
          <w:szCs w:val="22"/>
          <w:color w:val="auto"/>
        </w:rPr>
        <w:t>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reasonable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9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240"/>
          </w:cols>
          <w:pgMar w:left="320" w:top="1422" w:right="339" w:bottom="1440" w:gutter="0" w:footer="0" w:header="0"/>
        </w:sectPr>
      </w:pPr>
    </w:p>
    <w:bookmarkStart w:id="337" w:name="page338"/>
    <w:bookmarkEnd w:id="337"/>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70" w:lineRule="exact"/>
        <w:rPr>
          <w:sz w:val="20"/>
          <w:szCs w:val="20"/>
          <w:color w:val="auto"/>
        </w:rPr>
      </w:pPr>
    </w:p>
    <w:p>
      <w:pPr>
        <w:jc w:val="both"/>
        <w:ind w:firstLine="656"/>
        <w:spacing w:after="0" w:line="259" w:lineRule="auto"/>
        <w:tabs>
          <w:tab w:leader="none" w:pos="955"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Distributions other than Cash, Shares or Rights to Purchase Shares</w:t>
      </w:r>
      <w:r>
        <w:rPr>
          <w:rFonts w:ascii="Times New Roman" w:cs="Times New Roman" w:eastAsia="Times New Roman" w:hAnsi="Times New Roman"/>
          <w:sz w:val="21"/>
          <w:szCs w:val="21"/>
          <w:color w:val="auto"/>
        </w:rPr>
        <w:t>: Upon receipt of a notice indicating that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wishes 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w:t>
      </w:r>
    </w:p>
    <w:p>
      <w:pPr>
        <w:spacing w:after="0" w:line="6" w:lineRule="exact"/>
        <w:rPr>
          <w:rFonts w:ascii="Times New Roman" w:cs="Times New Roman" w:eastAsia="Times New Roman" w:hAnsi="Times New Roman"/>
          <w:sz w:val="21"/>
          <w:szCs w:val="21"/>
          <w:color w:val="auto"/>
        </w:rPr>
      </w:pPr>
    </w:p>
    <w:p>
      <w:pPr>
        <w:jc w:val="both"/>
        <w:ind w:firstLine="8"/>
        <w:spacing w:after="0" w:line="252" w:lineRule="auto"/>
        <w:tabs>
          <w:tab w:leader="none" w:pos="32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Section 4.1 of the Deposit Agreement. If the Depositary is unable to sell such property, the Depositary may dispose of such property for the account of the Holders in any way it deems reasonably practicable under the circumstances.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63" w:lineRule="exact"/>
        <w:rPr>
          <w:sz w:val="20"/>
          <w:szCs w:val="20"/>
          <w:color w:val="auto"/>
        </w:rPr>
      </w:pPr>
    </w:p>
    <w:p>
      <w:pPr>
        <w:jc w:val="both"/>
        <w:ind w:firstLine="656"/>
        <w:spacing w:after="0" w:line="252" w:lineRule="auto"/>
        <w:tabs>
          <w:tab w:leader="none" w:pos="1291"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Redemption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Company intends to exercise any right of redemption in respect of any of the Deposited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the Company shall give 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after consultation between the Depository and the Company, the Depositary shall have determined that such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240"/>
          </w:cols>
          <w:pgMar w:left="320" w:top="1422" w:right="339" w:bottom="1440" w:gutter="0" w:footer="0" w:header="0"/>
        </w:sectPr>
      </w:pPr>
    </w:p>
    <w:bookmarkStart w:id="338" w:name="page339"/>
    <w:bookmarkEnd w:id="338"/>
    <w:p>
      <w:pPr>
        <w:jc w:val="both"/>
        <w:spacing w:after="0" w:line="259" w:lineRule="auto"/>
        <w:rPr>
          <w:sz w:val="20"/>
          <w:szCs w:val="20"/>
          <w:color w:val="auto"/>
        </w:rPr>
      </w:pPr>
      <w:r>
        <w:rPr>
          <w:rFonts w:ascii="Times New Roman" w:cs="Times New Roman" w:eastAsia="Times New Roman" w:hAnsi="Times New Roman"/>
          <w:sz w:val="21"/>
          <w:szCs w:val="21"/>
          <w:color w:val="auto"/>
        </w:rPr>
        <w:t>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reasonable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249" w:lineRule="exact"/>
        <w:rPr>
          <w:sz w:val="20"/>
          <w:szCs w:val="20"/>
          <w:color w:val="auto"/>
        </w:rPr>
      </w:pPr>
    </w:p>
    <w:p>
      <w:pPr>
        <w:jc w:val="both"/>
        <w:ind w:firstLine="656"/>
        <w:spacing w:after="0" w:line="247" w:lineRule="auto"/>
        <w:tabs>
          <w:tab w:leader="none" w:pos="1291"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Fixing of ADS Record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(a) the Depositary shall receive notice of the fixing of a record date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22"/>
          <w:szCs w:val="22"/>
          <w:u w:val="single" w:color="auto"/>
          <w:color w:val="auto"/>
        </w:rPr>
        <w:t>ADS Record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commercially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of the Deposit Agreement, only the Holders of ADSs at the close of business in New York on such ADS Record Date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1240"/>
          </w:cols>
          <w:pgMar w:left="320" w:top="1422" w:right="339" w:bottom="1440" w:gutter="0" w:footer="0" w:header="0"/>
        </w:sectPr>
      </w:pPr>
    </w:p>
    <w:bookmarkStart w:id="339" w:name="page340"/>
    <w:bookmarkEnd w:id="339"/>
    <w:p>
      <w:pPr>
        <w:spacing w:after="0" w:line="271" w:lineRule="auto"/>
        <w:rPr>
          <w:sz w:val="20"/>
          <w:szCs w:val="20"/>
          <w:color w:val="auto"/>
        </w:rPr>
      </w:pPr>
      <w:r>
        <w:rPr>
          <w:rFonts w:ascii="Times New Roman" w:cs="Times New Roman" w:eastAsia="Times New Roman" w:hAnsi="Times New Roman"/>
          <w:sz w:val="22"/>
          <w:szCs w:val="22"/>
          <w:color w:val="auto"/>
        </w:rPr>
        <w:t>be entitled to receive such distribution, to give such voting instructions, to receive such notice or solicitation, or otherwise take action.</w:t>
      </w:r>
    </w:p>
    <w:p>
      <w:pPr>
        <w:spacing w:after="0" w:line="154" w:lineRule="exact"/>
        <w:rPr>
          <w:sz w:val="20"/>
          <w:szCs w:val="20"/>
          <w:color w:val="auto"/>
        </w:rPr>
      </w:pPr>
    </w:p>
    <w:p>
      <w:pPr>
        <w:jc w:val="both"/>
        <w:ind w:firstLine="656"/>
        <w:spacing w:after="0" w:line="248" w:lineRule="auto"/>
        <w:tabs>
          <w:tab w:leader="none" w:pos="1291" w:val="left"/>
        </w:tabs>
        <w:numPr>
          <w:ilvl w:val="0"/>
          <w:numId w:val="2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Voting of Deposited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soon as practicable after receipt of notice of any meeting at which the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Deposited 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by reference to a website containing the materials for retrieval or a contact for requesting copies of the materials).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Depositary has been advised by the Company that under the Articles of Association of the Company as in effect on the date of the Deposit Agreement, voting at any meeting of shareholders of the Company is by poll.</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of the Company and the provisions of the Deposited Securities, to vote, or cause the Custodian to vote, the Deposited Securities (in person or by proxy) represented by such Holder’s ADSs in accordance with such voting instructions.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240"/>
          </w:cols>
          <w:pgMar w:left="320" w:top="1422" w:right="339" w:bottom="1440" w:gutter="0" w:footer="0" w:header="0"/>
        </w:sectPr>
      </w:pPr>
    </w:p>
    <w:bookmarkStart w:id="340" w:name="page341"/>
    <w:bookmarkEnd w:id="340"/>
    <w:p>
      <w:pPr>
        <w:jc w:val="both"/>
        <w:spacing w:after="0" w:line="251" w:lineRule="auto"/>
        <w:rPr>
          <w:sz w:val="20"/>
          <w:szCs w:val="20"/>
          <w:color w:val="auto"/>
        </w:rPr>
      </w:pPr>
      <w:r>
        <w:rPr>
          <w:rFonts w:ascii="Times New Roman" w:cs="Times New Roman" w:eastAsia="Times New Roman" w:hAnsi="Times New Roman"/>
          <w:sz w:val="22"/>
          <w:szCs w:val="22"/>
          <w:color w:val="auto"/>
        </w:rPr>
        <w:t>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the laws of the U.S. or England and Wales. The Company agrees to take any and all actions reasonably necessary and as permitted by the laws of the U.S. and England and Wales to enable Holders and Beneficial Owners to exercise the voting rights accruing to the Deposited Securities and to deliver to the Depositary an opinion of U.S. counsel addressing any actions requested to be taken if reasonably requested by the Depositary. There can be no assurance that Holders generally or any Holder in particular will receive the notice described above with sufficient time to enable the Holder to return voting instructions to the Depositary in a timely manner, provided that the Depositary will nonetheless take commercially reasonable efforts to deliver the notice described above to Holders as soon as practicable after receipt of the notice from Company.</w:t>
      </w:r>
    </w:p>
    <w:p>
      <w:pPr>
        <w:spacing w:after="0" w:line="200" w:lineRule="exact"/>
        <w:rPr>
          <w:sz w:val="20"/>
          <w:szCs w:val="20"/>
          <w:color w:val="auto"/>
        </w:rPr>
      </w:pPr>
    </w:p>
    <w:p>
      <w:pPr>
        <w:jc w:val="both"/>
        <w:ind w:firstLine="656"/>
        <w:spacing w:after="0" w:line="260" w:lineRule="auto"/>
        <w:tabs>
          <w:tab w:leader="none" w:pos="1291" w:val="left"/>
        </w:tabs>
        <w:numPr>
          <w:ilvl w:val="0"/>
          <w:numId w:val="2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Changes Affecting Deposited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any change in nominal value, sub-division, cancellation,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consolidation or any other 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sub-division,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240"/>
          </w:cols>
          <w:pgMar w:left="320" w:top="1422" w:right="339" w:bottom="1440" w:gutter="0" w:footer="0" w:header="0"/>
        </w:sectPr>
      </w:pPr>
    </w:p>
    <w:bookmarkStart w:id="341" w:name="page342"/>
    <w:bookmarkEnd w:id="341"/>
    <w:p>
      <w:pPr>
        <w:jc w:val="both"/>
        <w:spacing w:after="0" w:line="248" w:lineRule="auto"/>
        <w:rPr>
          <w:sz w:val="20"/>
          <w:szCs w:val="20"/>
          <w:color w:val="auto"/>
        </w:rPr>
      </w:pPr>
      <w:r>
        <w:rPr>
          <w:rFonts w:ascii="Times New Roman" w:cs="Times New Roman" w:eastAsia="Times New Roman" w:hAnsi="Times New Roman"/>
          <w:sz w:val="22"/>
          <w:szCs w:val="22"/>
          <w:color w:val="auto"/>
        </w:rPr>
        <w:t>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79" w:lineRule="exact"/>
        <w:rPr>
          <w:sz w:val="20"/>
          <w:szCs w:val="20"/>
          <w:color w:val="auto"/>
        </w:rPr>
      </w:pPr>
    </w:p>
    <w:p>
      <w:pPr>
        <w:jc w:val="both"/>
        <w:ind w:firstLine="656"/>
        <w:spacing w:after="0" w:line="259" w:lineRule="auto"/>
        <w:tabs>
          <w:tab w:leader="none" w:pos="1291" w:val="left"/>
        </w:tabs>
        <w:numPr>
          <w:ilvl w:val="0"/>
          <w:numId w:val="2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Exoneration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contained in the Deposit Agreement or any ADR, neither the Depositary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nor the Company shall be obligated to do or perform any act which is inconsistent with the provisions of the Deposit Agreement or incur any liability (to the extent not limited by paragraph (25) hereof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240"/>
          </w:cols>
          <w:pgMar w:left="320" w:top="1422" w:right="339" w:bottom="1440" w:gutter="0" w:footer="0" w:header="0"/>
        </w:sectPr>
      </w:pPr>
    </w:p>
    <w:bookmarkStart w:id="342" w:name="page343"/>
    <w:bookmarkEnd w:id="342"/>
    <w:p>
      <w:pPr>
        <w:jc w:val="both"/>
        <w:spacing w:after="0" w:line="250" w:lineRule="auto"/>
        <w:rPr>
          <w:sz w:val="20"/>
          <w:szCs w:val="20"/>
          <w:color w:val="auto"/>
        </w:rPr>
      </w:pPr>
      <w:r>
        <w:rPr>
          <w:rFonts w:ascii="Times New Roman" w:cs="Times New Roman" w:eastAsia="Times New Roman" w:hAnsi="Times New Roman"/>
          <w:sz w:val="22"/>
          <w:szCs w:val="22"/>
          <w:color w:val="auto"/>
        </w:rPr>
        <w:t>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6" w:lineRule="exact"/>
        <w:rPr>
          <w:sz w:val="20"/>
          <w:szCs w:val="20"/>
          <w:color w:val="auto"/>
        </w:rPr>
      </w:pPr>
    </w:p>
    <w:p>
      <w:pPr>
        <w:jc w:val="both"/>
        <w:ind w:firstLine="656"/>
        <w:spacing w:after="0" w:line="248" w:lineRule="auto"/>
        <w:tabs>
          <w:tab w:leader="none" w:pos="1291"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Standard of Care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the Depositary assume no obligation and shall not be subject to any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Deposit 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Depositary shall not be liable for any acts or omissions made by a successor depositary whether in connection with a previous act or omission of the Depositary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A-23</w:t>
      </w:r>
    </w:p>
    <w:p>
      <w:pPr>
        <w:sectPr>
          <w:pgSz w:w="11900" w:h="16838" w:orient="portrait"/>
          <w:cols w:equalWidth="0" w:num="1">
            <w:col w:w="11240"/>
          </w:cols>
          <w:pgMar w:left="320" w:top="1422" w:right="339" w:bottom="1440" w:gutter="0" w:footer="0" w:header="0"/>
        </w:sectPr>
      </w:pPr>
    </w:p>
    <w:bookmarkStart w:id="343" w:name="page344"/>
    <w:bookmarkEnd w:id="343"/>
    <w:p>
      <w:pPr>
        <w:jc w:val="both"/>
        <w:spacing w:after="0" w:line="257" w:lineRule="auto"/>
        <w:rPr>
          <w:sz w:val="20"/>
          <w:szCs w:val="20"/>
          <w:color w:val="auto"/>
        </w:rPr>
      </w:pPr>
      <w:r>
        <w:rPr>
          <w:rFonts w:ascii="Times New Roman" w:cs="Times New Roman" w:eastAsia="Times New Roman" w:hAnsi="Times New Roman"/>
          <w:sz w:val="22"/>
          <w:szCs w:val="22"/>
          <w:color w:val="auto"/>
        </w:rPr>
        <w:t>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2" w:lineRule="exact"/>
        <w:rPr>
          <w:sz w:val="20"/>
          <w:szCs w:val="20"/>
          <w:color w:val="auto"/>
        </w:rPr>
      </w:pPr>
    </w:p>
    <w:p>
      <w:pPr>
        <w:jc w:val="both"/>
        <w:ind w:firstLine="656"/>
        <w:spacing w:after="0" w:line="247" w:lineRule="auto"/>
        <w:tabs>
          <w:tab w:leader="none" w:pos="1291"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Resignation and Removal of the Depositary; Appointment of Successor Depositary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may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time resign as 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85"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1"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and conditions of this paragraph 23, and Section 6.1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 Agreement and 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A-24</w:t>
      </w:r>
    </w:p>
    <w:p>
      <w:pPr>
        <w:sectPr>
          <w:pgSz w:w="11900" w:h="16838" w:orient="portrait"/>
          <w:cols w:equalWidth="0" w:num="1">
            <w:col w:w="11240"/>
          </w:cols>
          <w:pgMar w:left="320" w:top="1422" w:right="339" w:bottom="1440" w:gutter="0" w:footer="0" w:header="0"/>
        </w:sectPr>
      </w:pPr>
    </w:p>
    <w:bookmarkStart w:id="344" w:name="page345"/>
    <w:bookmarkEnd w:id="344"/>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88" w:lineRule="exact"/>
        <w:rPr>
          <w:sz w:val="20"/>
          <w:szCs w:val="20"/>
          <w:color w:val="auto"/>
        </w:rPr>
      </w:pPr>
    </w:p>
    <w:p>
      <w:pPr>
        <w:jc w:val="both"/>
        <w:ind w:firstLine="656"/>
        <w:spacing w:after="0" w:line="247" w:lineRule="auto"/>
        <w:tabs>
          <w:tab w:leader="none" w:pos="1291"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Depositary shall, at any time at the written direction of the Company, terminate the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A-25</w:t>
      </w:r>
    </w:p>
    <w:p>
      <w:pPr>
        <w:sectPr>
          <w:pgSz w:w="11900" w:h="16838" w:orient="portrait"/>
          <w:cols w:equalWidth="0" w:num="1">
            <w:col w:w="11240"/>
          </w:cols>
          <w:pgMar w:left="320" w:top="1422" w:right="339" w:bottom="1440" w:gutter="0" w:footer="0" w:header="0"/>
        </w:sectPr>
      </w:pPr>
    </w:p>
    <w:bookmarkStart w:id="345" w:name="page346"/>
    <w:bookmarkEnd w:id="345"/>
    <w:p>
      <w:pPr>
        <w:jc w:val="both"/>
        <w:spacing w:after="0" w:line="247" w:lineRule="auto"/>
        <w:rPr>
          <w:sz w:val="20"/>
          <w:szCs w:val="20"/>
          <w:color w:val="auto"/>
        </w:rPr>
      </w:pPr>
      <w:r>
        <w:rPr>
          <w:rFonts w:ascii="Times New Roman" w:cs="Times New Roman" w:eastAsia="Times New Roman" w:hAnsi="Times New Roman"/>
          <w:sz w:val="22"/>
          <w:szCs w:val="22"/>
          <w:color w:val="auto"/>
        </w:rPr>
        <w:t>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Notwithstanding anything contained in the Deposit Agreement or any ADR, in connection with the termination of the Deposit Agreement, the Depositary may, with the consent of the Company, and shall, at the instruction of the Company, distribute to all Holders in a mandatory exchange for, and upon a mandatory cancellation of, their ADSs the corresponding Deposited Securities, upon such terms and conditions as the Depositary may deem reasonably practicable and appropriate, subject however, in each case, to receipt by the Depositary of (i) confirmation of satisfaction of the applicable registration requirements under the Securities Act and the Exchange Act, and (ii) payment of the applicable fees and charges of, and reimbursement of the applicable expenses incurred by, the Depositary. In the event of such mandatory exchange and cancellation of ADSs for Deposited Securities, the Depositary shall give notice thereof to the Holders of ADSs at least thirty (30) calendar days prior the termination of the Deposit Agreement, shall require the Holders of ADSs to surrender their ADSs (and, if applicable, the ADRs representing such ADSs) in exchange for the corresponding Deposited Securities and shall cancel all ADSs (and, if applicable, the ADRs representing such ADSs) received in exchange for the corresponding Deposited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A-26</w:t>
      </w:r>
    </w:p>
    <w:p>
      <w:pPr>
        <w:sectPr>
          <w:pgSz w:w="11900" w:h="16838" w:orient="portrait"/>
          <w:cols w:equalWidth="0" w:num="1">
            <w:col w:w="11240"/>
          </w:cols>
          <w:pgMar w:left="320" w:top="1422" w:right="339" w:bottom="1440" w:gutter="0" w:footer="0" w:header="0"/>
        </w:sectPr>
      </w:pPr>
    </w:p>
    <w:bookmarkStart w:id="346" w:name="page347"/>
    <w:bookmarkEnd w:id="346"/>
    <w:p>
      <w:pPr>
        <w:jc w:val="both"/>
        <w:ind w:firstLine="656"/>
        <w:spacing w:after="0" w:line="258" w:lineRule="auto"/>
        <w:tabs>
          <w:tab w:leader="none" w:pos="1291"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and No Disclaimer under, U.S. Securities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Notwithstanding any provisions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ADR or the Deposit 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2" w:lineRule="exact"/>
        <w:rPr>
          <w:sz w:val="20"/>
          <w:szCs w:val="20"/>
          <w:color w:val="auto"/>
        </w:rPr>
      </w:pPr>
    </w:p>
    <w:p>
      <w:pPr>
        <w:jc w:val="both"/>
        <w:ind w:firstLine="656"/>
        <w:spacing w:after="0" w:line="257" w:lineRule="auto"/>
        <w:tabs>
          <w:tab w:leader="none" w:pos="129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69" w:lineRule="exact"/>
        <w:rPr>
          <w:sz w:val="20"/>
          <w:szCs w:val="20"/>
          <w:color w:val="auto"/>
        </w:rPr>
      </w:pPr>
    </w:p>
    <w:p>
      <w:pPr>
        <w:jc w:val="both"/>
        <w:ind w:firstLine="656"/>
        <w:spacing w:after="0" w:line="260" w:lineRule="auto"/>
        <w:tabs>
          <w:tab w:leader="none" w:pos="1291" w:val="left"/>
        </w:tabs>
        <w:numPr>
          <w:ilvl w:val="0"/>
          <w:numId w:val="2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Third Party Beneficiaries/Acknowledgements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Deposit Agreement is for the exclusive benefit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73" w:lineRule="exact"/>
        <w:rPr>
          <w:rFonts w:ascii="Times New Roman" w:cs="Times New Roman" w:eastAsia="Times New Roman" w:hAnsi="Times New Roman"/>
          <w:sz w:val="21"/>
          <w:szCs w:val="21"/>
          <w:b w:val="1"/>
          <w:bCs w:val="1"/>
          <w:color w:val="auto"/>
        </w:rPr>
      </w:pPr>
    </w:p>
    <w:p>
      <w:pPr>
        <w:jc w:val="both"/>
        <w:ind w:firstLine="656"/>
        <w:spacing w:after="0" w:line="252" w:lineRule="auto"/>
        <w:tabs>
          <w:tab w:leader="none" w:pos="1291"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 Waiver of Jury Trial</w:t>
      </w:r>
      <w:r>
        <w:rPr>
          <w:rFonts w:ascii="Times New Roman" w:cs="Times New Roman" w:eastAsia="Times New Roman" w:hAnsi="Times New Roman"/>
          <w:sz w:val="22"/>
          <w:szCs w:val="22"/>
          <w:color w:val="auto"/>
        </w:rPr>
        <w:t>. The Deposit Agreement, the ADRs and the ADSs shall be interpreted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A-27</w:t>
      </w:r>
    </w:p>
    <w:p>
      <w:pPr>
        <w:sectPr>
          <w:pgSz w:w="11900" w:h="16838" w:orient="portrait"/>
          <w:cols w:equalWidth="0" w:num="1">
            <w:col w:w="11240"/>
          </w:cols>
          <w:pgMar w:left="320" w:top="1418" w:right="339" w:bottom="1440" w:gutter="0" w:footer="0" w:header="0"/>
        </w:sectPr>
      </w:pPr>
    </w:p>
    <w:bookmarkStart w:id="347" w:name="page348"/>
    <w:bookmarkEnd w:id="347"/>
    <w:p>
      <w:pPr>
        <w:jc w:val="both"/>
        <w:spacing w:after="0" w:line="271" w:lineRule="auto"/>
        <w:rPr>
          <w:sz w:val="20"/>
          <w:szCs w:val="20"/>
          <w:color w:val="auto"/>
        </w:rPr>
      </w:pPr>
      <w:r>
        <w:rPr>
          <w:rFonts w:ascii="Times New Roman" w:cs="Times New Roman" w:eastAsia="Times New Roman" w:hAnsi="Times New Roman"/>
          <w:sz w:val="22"/>
          <w:szCs w:val="22"/>
          <w:color w:val="auto"/>
        </w:rPr>
        <w:t>other Deposited Securities, as such, shall be governed by the laws of England and Wales (or, if applicable, such other laws as may govern the Deposited Securities).</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A-28</w:t>
      </w:r>
    </w:p>
    <w:p>
      <w:pPr>
        <w:sectPr>
          <w:pgSz w:w="11900" w:h="16838" w:orient="portrait"/>
          <w:cols w:equalWidth="0" w:num="1">
            <w:col w:w="11240"/>
          </w:cols>
          <w:pgMar w:left="320" w:top="1422" w:right="33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TRANSFER SIGNATURE LINES)</w:t>
      </w:r>
    </w:p>
    <w:p>
      <w:pPr>
        <w:spacing w:after="0" w:line="224" w:lineRule="exact"/>
        <w:rPr>
          <w:sz w:val="20"/>
          <w:szCs w:val="20"/>
          <w:color w:val="auto"/>
        </w:rPr>
      </w:pPr>
    </w:p>
    <w:p>
      <w:pPr>
        <w:jc w:val="center"/>
        <w:spacing w:after="0"/>
        <w:tabs>
          <w:tab w:leader="none" w:pos="300" w:val="left"/>
          <w:tab w:leader="none" w:pos="300" w:val="left"/>
          <w:tab w:leader="none" w:pos="300" w:val="left"/>
          <w:tab w:leader="none" w:pos="300" w:val="left"/>
          <w:tab w:leader="none" w:pos="300" w:val="left"/>
          <w:tab w:leader="none" w:pos="300" w:val="left"/>
          <w:tab w:leader="none" w:pos="300" w:val="left"/>
          <w:tab w:leader="none" w:pos="300" w:val="left"/>
          <w:tab w:leader="none" w:pos="300" w:val="left"/>
          <w:tab w:leader="none" w:pos="300" w:val="left"/>
          <w:tab w:leader="none" w:pos="300" w:val="left"/>
        </w:tabs>
        <w:rPr>
          <w:sz w:val="20"/>
          <w:szCs w:val="20"/>
          <w:color w:val="auto"/>
        </w:rPr>
      </w:pPr>
      <w:r>
        <w:rPr>
          <w:rFonts w:ascii="Times New Roman" w:cs="Times New Roman" w:eastAsia="Times New Roman" w:hAnsi="Times New Roman"/>
          <w:sz w:val="22"/>
          <w:szCs w:val="22"/>
          <w:color w:val="auto"/>
        </w:rPr>
        <w:t>FOR</w:t>
        <w:tab/>
        <w:t>VALUE</w:t>
        <w:tab/>
        <w:t>RECEIVED,</w:t>
        <w:tab/>
        <w:t>the</w:t>
        <w:tab/>
        <w:t>undersigned</w:t>
        <w:tab/>
        <w:t>Holder</w:t>
        <w:tab/>
        <w:t>hereby</w:t>
        <w:tab/>
        <w:t>sell(s),</w:t>
        <w:tab/>
        <w:t>assign(s)</w:t>
        <w:tab/>
        <w:t>and</w:t>
        <w:tab/>
        <w:t>transfer(s)</w:t>
        <w:tab/>
        <w:t>unto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 whose taxpayer identification number is _______________________ and whose address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including postal zip code is ________________, the within ADR and all rights thereunder, hereby irrevocably constituting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appointing ________________________ attorney-in-fact to transfer said ADR on the books of the Depositary with full power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substitution in the premises.</w:t>
            </w:r>
          </w:p>
        </w:tc>
        <w:tc>
          <w:tcPr>
            <w:tcW w:w="4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1"/>
        </w:trPr>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Dated:</w:t>
            </w:r>
          </w:p>
        </w:tc>
        <w:tc>
          <w:tcPr>
            <w:tcW w:w="460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Name:</w:t>
            </w:r>
          </w:p>
        </w:tc>
        <w:tc>
          <w:tcPr>
            <w:tcW w:w="2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38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By:</w:t>
            </w:r>
          </w:p>
        </w:tc>
      </w:tr>
      <w:tr>
        <w:trPr>
          <w:trHeight w:val="311"/>
        </w:trPr>
        <w:tc>
          <w:tcPr>
            <w:tcW w:w="38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r>
      <w:tr>
        <w:trPr>
          <w:trHeight w:val="784"/>
        </w:trPr>
        <w:tc>
          <w:tcPr>
            <w:tcW w:w="3840" w:type="dxa"/>
            <w:vAlign w:val="bottom"/>
          </w:tcPr>
          <w:p>
            <w:pPr>
              <w:spacing w:after="0"/>
              <w:rPr>
                <w:sz w:val="24"/>
                <w:szCs w:val="24"/>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NOTICE: The signature of the Holder to this assignment must correspond with the</w:t>
            </w:r>
          </w:p>
        </w:tc>
      </w:tr>
      <w:tr>
        <w:trPr>
          <w:trHeight w:val="257"/>
        </w:trPr>
        <w:tc>
          <w:tcPr>
            <w:tcW w:w="3840" w:type="dxa"/>
            <w:vAlign w:val="bottom"/>
          </w:tcPr>
          <w:p>
            <w:pPr>
              <w:spacing w:after="0"/>
              <w:rPr>
                <w:sz w:val="22"/>
                <w:szCs w:val="22"/>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name as written upon the face of the within instrument in every particular, without</w:t>
            </w:r>
          </w:p>
        </w:tc>
      </w:tr>
      <w:tr>
        <w:trPr>
          <w:trHeight w:val="282"/>
        </w:trPr>
        <w:tc>
          <w:tcPr>
            <w:tcW w:w="3840" w:type="dxa"/>
            <w:vAlign w:val="bottom"/>
          </w:tcPr>
          <w:p>
            <w:pPr>
              <w:spacing w:after="0"/>
              <w:rPr>
                <w:sz w:val="24"/>
                <w:szCs w:val="24"/>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alteration or enlargement or any change whatsoever.</w:t>
            </w:r>
          </w:p>
        </w:tc>
      </w:tr>
      <w:tr>
        <w:trPr>
          <w:trHeight w:val="460"/>
        </w:trPr>
        <w:tc>
          <w:tcPr>
            <w:tcW w:w="3840" w:type="dxa"/>
            <w:vAlign w:val="bottom"/>
          </w:tcPr>
          <w:p>
            <w:pPr>
              <w:spacing w:after="0"/>
              <w:rPr>
                <w:sz w:val="24"/>
                <w:szCs w:val="24"/>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If the endorsement be executed by an attorney, executor, administrator, trustee or</w:t>
            </w:r>
          </w:p>
        </w:tc>
      </w:tr>
      <w:tr>
        <w:trPr>
          <w:trHeight w:val="256"/>
        </w:trPr>
        <w:tc>
          <w:tcPr>
            <w:tcW w:w="3840" w:type="dxa"/>
            <w:vAlign w:val="bottom"/>
          </w:tcPr>
          <w:p>
            <w:pPr>
              <w:spacing w:after="0"/>
              <w:rPr>
                <w:sz w:val="22"/>
                <w:szCs w:val="22"/>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guardian, the person executing the endorsement must give his/her full title in such</w:t>
            </w:r>
          </w:p>
        </w:tc>
      </w:tr>
      <w:tr>
        <w:trPr>
          <w:trHeight w:val="257"/>
        </w:trPr>
        <w:tc>
          <w:tcPr>
            <w:tcW w:w="3840" w:type="dxa"/>
            <w:vAlign w:val="bottom"/>
          </w:tcPr>
          <w:p>
            <w:pPr>
              <w:spacing w:after="0"/>
              <w:rPr>
                <w:sz w:val="22"/>
                <w:szCs w:val="22"/>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capacity and proper evidence of authority to act in such capacity, if not on file with</w:t>
            </w:r>
          </w:p>
        </w:tc>
      </w:tr>
      <w:tr>
        <w:trPr>
          <w:trHeight w:val="282"/>
        </w:trPr>
        <w:tc>
          <w:tcPr>
            <w:tcW w:w="3840" w:type="dxa"/>
            <w:vAlign w:val="bottom"/>
          </w:tcPr>
          <w:p>
            <w:pPr>
              <w:spacing w:after="0"/>
              <w:rPr>
                <w:sz w:val="24"/>
                <w:szCs w:val="24"/>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the Depositary, must be forwarded with this ADR.</w:t>
            </w:r>
          </w:p>
        </w:tc>
      </w:tr>
      <w:tr>
        <w:trPr>
          <w:trHeight w:val="231"/>
        </w:trPr>
        <w:tc>
          <w:tcPr>
            <w:tcW w:w="3840" w:type="dxa"/>
            <w:vAlign w:val="bottom"/>
            <w:tcBorders>
              <w:bottom w:val="single" w:sz="8" w:color="auto"/>
            </w:tcBorders>
          </w:tcPr>
          <w:p>
            <w:pPr>
              <w:spacing w:after="0"/>
              <w:rPr>
                <w:sz w:val="20"/>
                <w:szCs w:val="20"/>
                <w:color w:val="auto"/>
              </w:rPr>
            </w:pPr>
          </w:p>
        </w:tc>
        <w:tc>
          <w:tcPr>
            <w:tcW w:w="46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9"/>
        </w:trPr>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SIGNATURE GUARANTEED</w:t>
            </w:r>
          </w:p>
        </w:tc>
        <w:tc>
          <w:tcPr>
            <w:tcW w:w="4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3840" w:type="dxa"/>
            <w:vAlign w:val="bottom"/>
          </w:tcPr>
          <w:p>
            <w:pPr>
              <w:spacing w:after="0"/>
              <w:rPr>
                <w:sz w:val="24"/>
                <w:szCs w:val="24"/>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All endorsements or assignments of ADRs must be guaranteed by a member of a</w:t>
            </w:r>
          </w:p>
        </w:tc>
      </w:tr>
      <w:tr>
        <w:trPr>
          <w:trHeight w:val="282"/>
        </w:trPr>
        <w:tc>
          <w:tcPr>
            <w:tcW w:w="3840" w:type="dxa"/>
            <w:vAlign w:val="bottom"/>
          </w:tcPr>
          <w:p>
            <w:pPr>
              <w:spacing w:after="0"/>
              <w:rPr>
                <w:sz w:val="24"/>
                <w:szCs w:val="24"/>
                <w:color w:val="auto"/>
              </w:rPr>
            </w:pPr>
          </w:p>
        </w:tc>
        <w:tc>
          <w:tcPr>
            <w:tcW w:w="7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Medallion Signature Program approved by the Securities Transfer Association, Inc.</w:t>
            </w:r>
          </w:p>
        </w:tc>
      </w:tr>
      <w:tr>
        <w:trPr>
          <w:trHeight w:val="473"/>
        </w:trPr>
        <w:tc>
          <w:tcPr>
            <w:tcW w:w="3840" w:type="dxa"/>
            <w:vAlign w:val="bottom"/>
          </w:tcPr>
          <w:p>
            <w:pPr>
              <w:spacing w:after="0"/>
              <w:rPr>
                <w:sz w:val="24"/>
                <w:szCs w:val="24"/>
                <w:color w:val="auto"/>
              </w:rPr>
            </w:pPr>
          </w:p>
        </w:tc>
        <w:tc>
          <w:tcPr>
            <w:tcW w:w="740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rPr>
              <w:t>Legends</w:t>
            </w:r>
          </w:p>
        </w:tc>
      </w:tr>
    </w:tbl>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A-29</w:t>
      </w:r>
    </w:p>
    <w:p>
      <w:pPr>
        <w:sectPr>
          <w:pgSz w:w="11900" w:h="16838" w:orient="portrait"/>
          <w:cols w:equalWidth="0" w:num="1">
            <w:col w:w="11240"/>
          </w:cols>
          <w:pgMar w:left="320" w:top="1418" w:right="339" w:bottom="1440" w:gutter="0" w:footer="0" w:header="0"/>
        </w:sectPr>
      </w:pPr>
    </w:p>
    <w:bookmarkStart w:id="349" w:name="page350"/>
    <w:bookmarkEnd w:id="349"/>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FEE SCHEDULE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ADS FEES AND RELATED CHARGES</w:t>
      </w:r>
    </w:p>
    <w:p>
      <w:pPr>
        <w:spacing w:after="0" w:line="23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69" w:lineRule="exact"/>
        <w:rPr>
          <w:sz w:val="20"/>
          <w:szCs w:val="20"/>
          <w:color w:val="auto"/>
        </w:rPr>
      </w:pPr>
    </w:p>
    <w:p>
      <w:pPr>
        <w:ind w:left="640" w:hanging="632"/>
        <w:spacing w:after="0"/>
        <w:tabs>
          <w:tab w:leader="none" w:pos="640"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ADS Fees</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following ADS fees (some of which may be cumulative) are payable under the terms of the Deposit Agreement: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Service</w:t>
            </w:r>
          </w:p>
        </w:tc>
        <w:tc>
          <w:tcPr>
            <w:tcW w:w="37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Rate</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By Whom Paid</w:t>
            </w:r>
          </w:p>
        </w:tc>
      </w:tr>
      <w:tr>
        <w:trPr>
          <w:trHeight w:val="27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  Issuance of ADSs (e.g., an issuance</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Person for whom ADSs are issued.</w:t>
            </w:r>
          </w:p>
        </w:tc>
      </w:tr>
      <w:tr>
        <w:trPr>
          <w:trHeight w:val="257"/>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upon a deposit of Shares, upon a change</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issued.</w:t>
            </w:r>
          </w:p>
        </w:tc>
        <w:tc>
          <w:tcPr>
            <w:tcW w:w="3760" w:type="dxa"/>
            <w:vAlign w:val="bottom"/>
            <w:tcBorders>
              <w:right w:val="single" w:sz="8" w:color="auto"/>
            </w:tcBorders>
          </w:tcPr>
          <w:p>
            <w:pPr>
              <w:spacing w:after="0"/>
              <w:rPr>
                <w:sz w:val="22"/>
                <w:szCs w:val="22"/>
                <w:color w:val="auto"/>
              </w:rPr>
            </w:pPr>
          </w:p>
        </w:tc>
      </w:tr>
      <w:tr>
        <w:trPr>
          <w:trHeight w:val="256"/>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 the ADS(s)-to-Share(s) ratio, ADS</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7"/>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conversions, or for any other reason),</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7"/>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excluding issuances as a result of</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7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distributions described in paragraph (4)</w:t>
            </w:r>
          </w:p>
        </w:tc>
        <w:tc>
          <w:tcPr>
            <w:tcW w:w="374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r>
      <w:tr>
        <w:trPr>
          <w:trHeight w:val="291"/>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below.</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  Cancellation of ADSs (e.g., a</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Person for whom ADSs are being</w:t>
            </w:r>
          </w:p>
        </w:tc>
      </w:tr>
      <w:tr>
        <w:trPr>
          <w:trHeight w:val="256"/>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cancellation of ADSs for Delivery of</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cancelled.</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cancelled.</w:t>
            </w:r>
          </w:p>
        </w:tc>
      </w:tr>
      <w:tr>
        <w:trPr>
          <w:trHeight w:val="257"/>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deposited Shares, upon a change in the</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7"/>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ADS(s)-to-Share(s) ratio, ADS</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56"/>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conversions, upon termination of the</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r>
      <w:tr>
        <w:trPr>
          <w:trHeight w:val="27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Deposit Agreement, or for any other</w:t>
            </w:r>
          </w:p>
        </w:tc>
        <w:tc>
          <w:tcPr>
            <w:tcW w:w="374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r>
      <w:tr>
        <w:trPr>
          <w:trHeight w:val="291"/>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reason).</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27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  Distribution of cash dividends or</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Person to whom the distribution is made.</w:t>
            </w:r>
          </w:p>
        </w:tc>
      </w:tr>
      <w:tr>
        <w:trPr>
          <w:trHeight w:val="257"/>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other cash distributions (e.g., upon a sale</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held.</w:t>
            </w:r>
          </w:p>
        </w:tc>
        <w:tc>
          <w:tcPr>
            <w:tcW w:w="3760" w:type="dxa"/>
            <w:vAlign w:val="bottom"/>
            <w:tcBorders>
              <w:right w:val="single" w:sz="8" w:color="auto"/>
            </w:tcBorders>
          </w:tcPr>
          <w:p>
            <w:pPr>
              <w:spacing w:after="0"/>
              <w:rPr>
                <w:sz w:val="22"/>
                <w:szCs w:val="22"/>
                <w:color w:val="auto"/>
              </w:rPr>
            </w:pPr>
          </w:p>
        </w:tc>
      </w:tr>
      <w:tr>
        <w:trPr>
          <w:trHeight w:val="282"/>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of rights and other entitlements).</w:t>
            </w: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60"/>
          </w:cols>
          <w:pgMar w:left="320" w:top="1440" w:right="319" w:bottom="1440" w:gutter="0" w:footer="0" w:header="0"/>
        </w:sectPr>
      </w:pPr>
    </w:p>
    <w:bookmarkStart w:id="350" w:name="page351"/>
    <w:bookmarkEnd w:id="35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76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(4)  Distribution of ADSs pursuant to (i)</w:t>
            </w:r>
          </w:p>
        </w:tc>
        <w:tc>
          <w:tcPr>
            <w:tcW w:w="3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Person to whom the distribution is made.</w:t>
            </w:r>
          </w:p>
        </w:tc>
        <w:tc>
          <w:tcPr>
            <w:tcW w:w="0" w:type="dxa"/>
            <w:vAlign w:val="bottom"/>
          </w:tcPr>
          <w:p>
            <w:pPr>
              <w:spacing w:after="0"/>
              <w:rPr>
                <w:sz w:val="1"/>
                <w:szCs w:val="1"/>
                <w:color w:val="auto"/>
              </w:rPr>
            </w:pPr>
          </w:p>
        </w:tc>
      </w:tr>
      <w:tr>
        <w:trPr>
          <w:trHeight w:val="256"/>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stock dividends or other free stock</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held.</w:t>
            </w: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distributions, or (ii) an exercise of rights</w:t>
            </w:r>
          </w:p>
        </w:tc>
        <w:tc>
          <w:tcPr>
            <w:tcW w:w="374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7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to purchase additional ADSs.</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3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Distribution of financial</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Person to whom the distribution is made.</w:t>
            </w:r>
          </w:p>
        </w:tc>
        <w:tc>
          <w:tcPr>
            <w:tcW w:w="0" w:type="dxa"/>
            <w:vAlign w:val="bottom"/>
          </w:tcPr>
          <w:p>
            <w:pPr>
              <w:spacing w:after="0"/>
              <w:rPr>
                <w:sz w:val="1"/>
                <w:szCs w:val="1"/>
                <w:color w:val="auto"/>
              </w:rPr>
            </w:pPr>
          </w:p>
        </w:tc>
      </w:tr>
      <w:tr>
        <w:trPr>
          <w:trHeight w:val="257"/>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w w:val="97"/>
              </w:rPr>
              <w:t>instruments, including, without limitation,</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held.</w:t>
            </w: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securities, other than ADSs or rights to</w:t>
            </w:r>
          </w:p>
        </w:tc>
        <w:tc>
          <w:tcPr>
            <w:tcW w:w="374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purchase additional ADSs (e.g., spin-off</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7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shares and contingent value rights).</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3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ADS Services.</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Person holding ADSs on the applicable</w:t>
            </w:r>
          </w:p>
        </w:tc>
        <w:tc>
          <w:tcPr>
            <w:tcW w:w="0" w:type="dxa"/>
            <w:vAlign w:val="bottom"/>
          </w:tcPr>
          <w:p>
            <w:pPr>
              <w:spacing w:after="0"/>
              <w:rPr>
                <w:sz w:val="1"/>
                <w:szCs w:val="1"/>
                <w:color w:val="auto"/>
              </w:rPr>
            </w:pPr>
          </w:p>
        </w:tc>
      </w:tr>
      <w:tr>
        <w:trPr>
          <w:trHeight w:val="257"/>
        </w:trPr>
        <w:tc>
          <w:tcPr>
            <w:tcW w:w="440" w:type="dxa"/>
            <w:vAlign w:val="bottom"/>
            <w:tcBorders>
              <w:left w:val="single" w:sz="8" w:color="auto"/>
            </w:tcBorders>
          </w:tcPr>
          <w:p>
            <w:pPr>
              <w:spacing w:after="0"/>
              <w:rPr>
                <w:sz w:val="22"/>
                <w:szCs w:val="22"/>
                <w:color w:val="auto"/>
              </w:rPr>
            </w:pPr>
          </w:p>
        </w:tc>
        <w:tc>
          <w:tcPr>
            <w:tcW w:w="3320" w:type="dxa"/>
            <w:vAlign w:val="bottom"/>
            <w:tcBorders>
              <w:right w:val="single" w:sz="8" w:color="auto"/>
            </w:tcBorders>
          </w:tcPr>
          <w:p>
            <w:pPr>
              <w:spacing w:after="0"/>
              <w:rPr>
                <w:sz w:val="22"/>
                <w:szCs w:val="22"/>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held on the applicable</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record date(s) established by the</w:t>
            </w:r>
          </w:p>
        </w:tc>
        <w:tc>
          <w:tcPr>
            <w:tcW w:w="0" w:type="dxa"/>
            <w:vAlign w:val="bottom"/>
          </w:tcPr>
          <w:p>
            <w:pPr>
              <w:spacing w:after="0"/>
              <w:rPr>
                <w:sz w:val="1"/>
                <w:szCs w:val="1"/>
                <w:color w:val="auto"/>
              </w:rPr>
            </w:pPr>
          </w:p>
        </w:tc>
      </w:tr>
      <w:tr>
        <w:trPr>
          <w:trHeight w:val="270"/>
        </w:trPr>
        <w:tc>
          <w:tcPr>
            <w:tcW w:w="440" w:type="dxa"/>
            <w:vAlign w:val="bottom"/>
            <w:tcBorders>
              <w:left w:val="single" w:sz="8" w:color="auto"/>
            </w:tcBorders>
          </w:tcPr>
          <w:p>
            <w:pPr>
              <w:spacing w:after="0"/>
              <w:rPr>
                <w:sz w:val="23"/>
                <w:szCs w:val="23"/>
                <w:color w:val="auto"/>
              </w:rPr>
            </w:pPr>
          </w:p>
        </w:tc>
        <w:tc>
          <w:tcPr>
            <w:tcW w:w="332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record date(s) established by the</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Depositary.</w:t>
            </w:r>
          </w:p>
        </w:tc>
        <w:tc>
          <w:tcPr>
            <w:tcW w:w="0" w:type="dxa"/>
            <w:vAlign w:val="bottom"/>
          </w:tcPr>
          <w:p>
            <w:pPr>
              <w:spacing w:after="0"/>
              <w:rPr>
                <w:sz w:val="1"/>
                <w:szCs w:val="1"/>
                <w:color w:val="auto"/>
              </w:rPr>
            </w:pPr>
          </w:p>
        </w:tc>
      </w:tr>
      <w:tr>
        <w:trPr>
          <w:trHeight w:val="291"/>
        </w:trPr>
        <w:tc>
          <w:tcPr>
            <w:tcW w:w="440" w:type="dxa"/>
            <w:vAlign w:val="bottom"/>
            <w:tcBorders>
              <w:left w:val="single" w:sz="8" w:color="auto"/>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Depositary.</w:t>
            </w: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60" w:type="dxa"/>
            <w:vAlign w:val="bottom"/>
            <w:tcBorders>
              <w:left w:val="single" w:sz="8" w:color="auto"/>
              <w:right w:val="single" w:sz="8" w:color="auto"/>
            </w:tcBorders>
            <w:gridSpan w:val="2"/>
          </w:tcPr>
          <w:p>
            <w:pPr>
              <w:ind w:left="80"/>
              <w:spacing w:after="0" w:line="229" w:lineRule="exact"/>
              <w:rPr>
                <w:sz w:val="20"/>
                <w:szCs w:val="20"/>
                <w:color w:val="auto"/>
              </w:rPr>
            </w:pPr>
            <w:r>
              <w:rPr>
                <w:rFonts w:ascii="Times New Roman" w:cs="Times New Roman" w:eastAsia="Times New Roman" w:hAnsi="Times New Roman"/>
                <w:sz w:val="22"/>
                <w:szCs w:val="22"/>
                <w:color w:val="auto"/>
              </w:rPr>
              <w:t>(7)  Registration of ADS Transfers (e.g.,</w:t>
            </w:r>
          </w:p>
        </w:tc>
        <w:tc>
          <w:tcPr>
            <w:tcW w:w="3740" w:type="dxa"/>
            <w:vAlign w:val="bottom"/>
            <w:tcBorders>
              <w:right w:val="single" w:sz="8" w:color="auto"/>
            </w:tcBorders>
          </w:tcPr>
          <w:p>
            <w:pPr>
              <w:ind w:left="60"/>
              <w:spacing w:after="0" w:line="229" w:lineRule="exact"/>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right w:val="single" w:sz="8" w:color="auto"/>
            </w:tcBorders>
          </w:tcPr>
          <w:p>
            <w:pPr>
              <w:ind w:left="60"/>
              <w:spacing w:after="0" w:line="229" w:lineRule="exact"/>
              <w:rPr>
                <w:sz w:val="20"/>
                <w:szCs w:val="20"/>
                <w:color w:val="auto"/>
              </w:rPr>
            </w:pPr>
            <w:r>
              <w:rPr>
                <w:rFonts w:ascii="Times New Roman" w:cs="Times New Roman" w:eastAsia="Times New Roman" w:hAnsi="Times New Roman"/>
                <w:sz w:val="22"/>
                <w:szCs w:val="22"/>
                <w:color w:val="auto"/>
              </w:rPr>
              <w:t>Person for whom or to whom ADSs are</w:t>
            </w:r>
          </w:p>
        </w:tc>
        <w:tc>
          <w:tcPr>
            <w:tcW w:w="0" w:type="dxa"/>
            <w:vAlign w:val="bottom"/>
          </w:tcPr>
          <w:p>
            <w:pPr>
              <w:spacing w:after="0"/>
              <w:rPr>
                <w:sz w:val="1"/>
                <w:szCs w:val="1"/>
                <w:color w:val="auto"/>
              </w:rPr>
            </w:pPr>
          </w:p>
        </w:tc>
      </w:tr>
      <w:tr>
        <w:trPr>
          <w:trHeight w:val="297"/>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upon a registration of the transfer of</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transferred.</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transferred.</w:t>
            </w:r>
          </w:p>
        </w:tc>
        <w:tc>
          <w:tcPr>
            <w:tcW w:w="0" w:type="dxa"/>
            <w:vAlign w:val="bottom"/>
          </w:tcPr>
          <w:p>
            <w:pPr>
              <w:spacing w:after="0"/>
              <w:rPr>
                <w:sz w:val="1"/>
                <w:szCs w:val="1"/>
                <w:color w:val="auto"/>
              </w:rPr>
            </w:pPr>
          </w:p>
        </w:tc>
      </w:tr>
      <w:tr>
        <w:trPr>
          <w:trHeight w:val="266"/>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registered ownership of ADSs, upon a</w:t>
            </w:r>
          </w:p>
        </w:tc>
        <w:tc>
          <w:tcPr>
            <w:tcW w:w="374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 xml:space="preserve">transfer of ADSs into DTC and </w:t>
            </w:r>
            <w:r>
              <w:rPr>
                <w:rFonts w:ascii="Times New Roman" w:cs="Times New Roman" w:eastAsia="Times New Roman" w:hAnsi="Times New Roman"/>
                <w:sz w:val="22"/>
                <w:szCs w:val="22"/>
                <w:i w:val="1"/>
                <w:iCs w:val="1"/>
                <w:color w:val="auto"/>
              </w:rPr>
              <w:t>vice</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37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auto"/>
              </w:rPr>
              <w:t>versa</w:t>
            </w:r>
            <w:r>
              <w:rPr>
                <w:rFonts w:ascii="Times New Roman" w:cs="Times New Roman" w:eastAsia="Times New Roman" w:hAnsi="Times New Roman"/>
                <w:sz w:val="22"/>
                <w:szCs w:val="22"/>
                <w:color w:val="auto"/>
              </w:rPr>
              <w:t>, or for any other reason).</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right w:val="single" w:sz="8" w:color="auto"/>
            </w:tcBorders>
            <w:gridSpan w:val="2"/>
          </w:tcPr>
          <w:p>
            <w:pPr>
              <w:ind w:left="80"/>
              <w:spacing w:after="0" w:line="229" w:lineRule="exact"/>
              <w:rPr>
                <w:sz w:val="20"/>
                <w:szCs w:val="20"/>
                <w:color w:val="auto"/>
              </w:rPr>
            </w:pPr>
            <w:r>
              <w:rPr>
                <w:rFonts w:ascii="Times New Roman" w:cs="Times New Roman" w:eastAsia="Times New Roman" w:hAnsi="Times New Roman"/>
                <w:sz w:val="22"/>
                <w:szCs w:val="22"/>
                <w:color w:val="auto"/>
              </w:rPr>
              <w:t>(8)  Conversion of ADSs of one series</w:t>
            </w:r>
          </w:p>
        </w:tc>
        <w:tc>
          <w:tcPr>
            <w:tcW w:w="3740" w:type="dxa"/>
            <w:vAlign w:val="bottom"/>
            <w:tcBorders>
              <w:right w:val="single" w:sz="8" w:color="auto"/>
            </w:tcBorders>
          </w:tcPr>
          <w:p>
            <w:pPr>
              <w:ind w:left="60"/>
              <w:spacing w:after="0" w:line="229" w:lineRule="exact"/>
              <w:rPr>
                <w:sz w:val="20"/>
                <w:szCs w:val="20"/>
                <w:color w:val="auto"/>
              </w:rPr>
            </w:pPr>
            <w:r>
              <w:rPr>
                <w:rFonts w:ascii="Times New Roman" w:cs="Times New Roman" w:eastAsia="Times New Roman" w:hAnsi="Times New Roman"/>
                <w:sz w:val="22"/>
                <w:szCs w:val="22"/>
                <w:color w:val="auto"/>
              </w:rPr>
              <w:t>Up to U.S. $5.00 per 100 ADSs (or</w:t>
            </w:r>
          </w:p>
        </w:tc>
        <w:tc>
          <w:tcPr>
            <w:tcW w:w="3760" w:type="dxa"/>
            <w:vAlign w:val="bottom"/>
            <w:tcBorders>
              <w:right w:val="single" w:sz="8" w:color="auto"/>
            </w:tcBorders>
          </w:tcPr>
          <w:p>
            <w:pPr>
              <w:ind w:left="60"/>
              <w:spacing w:after="0" w:line="229" w:lineRule="exact"/>
              <w:rPr>
                <w:sz w:val="20"/>
                <w:szCs w:val="20"/>
                <w:color w:val="auto"/>
              </w:rPr>
            </w:pPr>
            <w:r>
              <w:rPr>
                <w:rFonts w:ascii="Times New Roman" w:cs="Times New Roman" w:eastAsia="Times New Roman" w:hAnsi="Times New Roman"/>
                <w:sz w:val="22"/>
                <w:szCs w:val="22"/>
                <w:color w:val="auto"/>
              </w:rPr>
              <w:t>Person for whom ADSs are converted or</w:t>
            </w:r>
          </w:p>
        </w:tc>
        <w:tc>
          <w:tcPr>
            <w:tcW w:w="0" w:type="dxa"/>
            <w:vAlign w:val="bottom"/>
          </w:tcPr>
          <w:p>
            <w:pPr>
              <w:spacing w:after="0"/>
              <w:rPr>
                <w:sz w:val="1"/>
                <w:szCs w:val="1"/>
                <w:color w:val="auto"/>
              </w:rPr>
            </w:pPr>
          </w:p>
        </w:tc>
      </w:tr>
      <w:tr>
        <w:trPr>
          <w:trHeight w:val="257"/>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for ADSs of another series (e.g., upon</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fraction thereof) converted.</w:t>
            </w: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to whom the converted ADSs are</w:t>
            </w:r>
          </w:p>
        </w:tc>
        <w:tc>
          <w:tcPr>
            <w:tcW w:w="0" w:type="dxa"/>
            <w:vAlign w:val="bottom"/>
          </w:tcPr>
          <w:p>
            <w:pPr>
              <w:spacing w:after="0"/>
              <w:rPr>
                <w:sz w:val="1"/>
                <w:szCs w:val="1"/>
                <w:color w:val="auto"/>
              </w:rPr>
            </w:pPr>
          </w:p>
        </w:tc>
      </w:tr>
      <w:tr>
        <w:trPr>
          <w:trHeight w:val="256"/>
        </w:trPr>
        <w:tc>
          <w:tcPr>
            <w:tcW w:w="37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 Partial Entitlement ADSs</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delivered.</w:t>
            </w:r>
          </w:p>
        </w:tc>
        <w:tc>
          <w:tcPr>
            <w:tcW w:w="0" w:type="dxa"/>
            <w:vAlign w:val="bottom"/>
          </w:tcPr>
          <w:p>
            <w:pPr>
              <w:spacing w:after="0"/>
              <w:rPr>
                <w:sz w:val="1"/>
                <w:szCs w:val="1"/>
                <w:color w:val="auto"/>
              </w:rPr>
            </w:pPr>
          </w:p>
        </w:tc>
      </w:tr>
      <w:tr>
        <w:trPr>
          <w:trHeight w:val="54"/>
        </w:trPr>
        <w:tc>
          <w:tcPr>
            <w:tcW w:w="3760" w:type="dxa"/>
            <w:vAlign w:val="bottom"/>
            <w:tcBorders>
              <w:left w:val="single" w:sz="8" w:color="auto"/>
              <w:right w:val="single" w:sz="8" w:color="auto"/>
            </w:tcBorders>
            <w:gridSpan w:val="2"/>
            <w:vMerge w:val="continue"/>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for Full Entitlement ADSs, or upon</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conversion of Restricted ADSs into</w:t>
            </w:r>
          </w:p>
        </w:tc>
        <w:tc>
          <w:tcPr>
            <w:tcW w:w="3740" w:type="dxa"/>
            <w:vAlign w:val="bottom"/>
            <w:tcBorders>
              <w:right w:val="single" w:sz="8" w:color="auto"/>
            </w:tcBorders>
          </w:tcPr>
          <w:p>
            <w:pPr>
              <w:spacing w:after="0"/>
              <w:rPr>
                <w:sz w:val="21"/>
                <w:szCs w:val="21"/>
                <w:color w:val="auto"/>
              </w:rPr>
            </w:pPr>
          </w:p>
        </w:tc>
        <w:tc>
          <w:tcPr>
            <w:tcW w:w="3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 xml:space="preserve">freely transferable ADSs,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or conversion of ADSs for unsponsored</w:t>
            </w:r>
          </w:p>
        </w:tc>
        <w:tc>
          <w:tcPr>
            <w:tcW w:w="3740" w:type="dxa"/>
            <w:vAlign w:val="bottom"/>
            <w:tcBorders>
              <w:right w:val="single" w:sz="8" w:color="auto"/>
            </w:tcBorders>
          </w:tcPr>
          <w:p>
            <w:pPr>
              <w:spacing w:after="0"/>
              <w:rPr>
                <w:sz w:val="22"/>
                <w:szCs w:val="22"/>
                <w:color w:val="auto"/>
              </w:rPr>
            </w:pP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American Depositary Shares (e.g., upon</w:t>
            </w:r>
          </w:p>
        </w:tc>
        <w:tc>
          <w:tcPr>
            <w:tcW w:w="3740" w:type="dxa"/>
            <w:vAlign w:val="bottom"/>
            <w:tcBorders>
              <w:right w:val="single" w:sz="8" w:color="auto"/>
            </w:tcBorders>
          </w:tcPr>
          <w:p>
            <w:pPr>
              <w:spacing w:after="0"/>
              <w:rPr>
                <w:sz w:val="23"/>
                <w:szCs w:val="23"/>
                <w:color w:val="auto"/>
              </w:rPr>
            </w:pPr>
          </w:p>
        </w:tc>
        <w:tc>
          <w:tcPr>
            <w:tcW w:w="3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7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termination of the Deposit Agreement).</w:t>
            </w: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60"/>
          </w:cols>
          <w:pgMar w:left="320" w:top="1440" w:right="319" w:bottom="1440" w:gutter="0" w:footer="0" w:header="0"/>
        </w:sectPr>
      </w:pPr>
    </w:p>
    <w:bookmarkStart w:id="351" w:name="page352"/>
    <w:bookmarkEnd w:id="351"/>
    <w:p>
      <w:pPr>
        <w:ind w:left="640" w:hanging="632"/>
        <w:spacing w:after="0"/>
        <w:tabs>
          <w:tab w:leader="none" w:pos="640" w:val="left"/>
        </w:tabs>
        <w:numPr>
          <w:ilvl w:val="0"/>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Charges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67" w:lineRule="exact"/>
        <w:rPr>
          <w:sz w:val="20"/>
          <w:szCs w:val="20"/>
          <w:color w:val="auto"/>
        </w:rPr>
      </w:pPr>
    </w:p>
    <w:p>
      <w:pPr>
        <w:ind w:left="640" w:hanging="632"/>
        <w:spacing w:after="0"/>
        <w:tabs>
          <w:tab w:leader="none" w:pos="6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(including applicable interest and penalties) and other governmental charges;</w:t>
      </w:r>
    </w:p>
    <w:p>
      <w:pPr>
        <w:spacing w:after="0" w:line="219" w:lineRule="exact"/>
        <w:rPr>
          <w:rFonts w:ascii="Times New Roman" w:cs="Times New Roman" w:eastAsia="Times New Roman" w:hAnsi="Times New Roman"/>
          <w:sz w:val="22"/>
          <w:szCs w:val="22"/>
          <w:color w:val="auto"/>
        </w:rPr>
      </w:pPr>
    </w:p>
    <w:p>
      <w:pPr>
        <w:jc w:val="both"/>
        <w:ind w:left="660" w:hanging="652"/>
        <w:spacing w:after="0" w:line="257" w:lineRule="auto"/>
        <w:tabs>
          <w:tab w:leader="none" w:pos="65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6" w:lineRule="exact"/>
        <w:rPr>
          <w:rFonts w:ascii="Times New Roman" w:cs="Times New Roman" w:eastAsia="Times New Roman" w:hAnsi="Times New Roman"/>
          <w:sz w:val="22"/>
          <w:szCs w:val="22"/>
          <w:color w:val="auto"/>
        </w:rPr>
      </w:pPr>
    </w:p>
    <w:p>
      <w:pPr>
        <w:jc w:val="both"/>
        <w:ind w:left="660" w:hanging="652"/>
        <w:spacing w:after="0" w:line="257" w:lineRule="auto"/>
        <w:tabs>
          <w:tab w:leader="none" w:pos="6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2" w:lineRule="exact"/>
        <w:rPr>
          <w:rFonts w:ascii="Times New Roman" w:cs="Times New Roman" w:eastAsia="Times New Roman" w:hAnsi="Times New Roman"/>
          <w:sz w:val="22"/>
          <w:szCs w:val="22"/>
          <w:color w:val="auto"/>
        </w:rPr>
      </w:pPr>
    </w:p>
    <w:p>
      <w:pPr>
        <w:jc w:val="both"/>
        <w:ind w:left="660" w:hanging="652"/>
        <w:spacing w:after="0" w:line="257" w:lineRule="auto"/>
        <w:tabs>
          <w:tab w:leader="none" w:pos="64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6" w:lineRule="exact"/>
        <w:rPr>
          <w:rFonts w:ascii="Times New Roman" w:cs="Times New Roman" w:eastAsia="Times New Roman" w:hAnsi="Times New Roman"/>
          <w:sz w:val="22"/>
          <w:szCs w:val="22"/>
          <w:color w:val="auto"/>
        </w:rPr>
      </w:pPr>
    </w:p>
    <w:p>
      <w:pPr>
        <w:ind w:left="660" w:hanging="652"/>
        <w:spacing w:after="0" w:line="271" w:lineRule="auto"/>
        <w:tabs>
          <w:tab w:leader="none" w:pos="72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reasonable and customary out-of-pocket expenses incurred in such conversion and/or on behalf of the Holders and Beneficial Owners in complying with currency exchange control or other governmental requirements;</w:t>
      </w:r>
    </w:p>
    <w:p>
      <w:pPr>
        <w:spacing w:after="0" w:line="157" w:lineRule="exact"/>
        <w:rPr>
          <w:rFonts w:ascii="Times New Roman" w:cs="Times New Roman" w:eastAsia="Times New Roman" w:hAnsi="Times New Roman"/>
          <w:sz w:val="22"/>
          <w:szCs w:val="22"/>
          <w:color w:val="auto"/>
        </w:rPr>
      </w:pPr>
    </w:p>
    <w:p>
      <w:pPr>
        <w:ind w:left="660" w:hanging="652"/>
        <w:spacing w:after="0" w:line="271" w:lineRule="auto"/>
        <w:tabs>
          <w:tab w:leader="none" w:pos="64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fees, charges, costs and expenses incurred by the Depositary, the Custodian, or any nominee in connection with the ADR program; and</w:t>
      </w:r>
    </w:p>
    <w:p>
      <w:pPr>
        <w:spacing w:after="0" w:line="157" w:lineRule="exact"/>
        <w:rPr>
          <w:rFonts w:ascii="Times New Roman" w:cs="Times New Roman" w:eastAsia="Times New Roman" w:hAnsi="Times New Roman"/>
          <w:sz w:val="22"/>
          <w:szCs w:val="22"/>
          <w:color w:val="auto"/>
        </w:rPr>
      </w:pPr>
    </w:p>
    <w:p>
      <w:pPr>
        <w:ind w:left="660" w:hanging="652"/>
        <w:spacing w:after="0" w:line="284" w:lineRule="auto"/>
        <w:tabs>
          <w:tab w:leader="none" w:pos="65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to the Depositary by any party to the Deposit Agreement pursuant to any ancillary agreement to the Deposit Agreement in respect of the ADR program, the ADSs and the ADRs.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above fees and charges may at any time and from time to time be changed by agreement between the Company and the Depositary only in the manner contemplated in Section 6.1 of the Deposit Agreement and the above fees and charges may be assessed cumulatively based on cumulative functions of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418" w:right="3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12 OF THE SECURITIES EXCHANGE ACT OF 1934</w:t>
      </w:r>
    </w:p>
    <w:p>
      <w:pPr>
        <w:spacing w:after="0" w:line="2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the share capital of Arm Holdings plc (the “Company,” “we,” “us” or “our”) as well as a description of provisions of our articles of association (the “Articles”), which are filed as Exhibit 1.1 to our Annual Report on Form 20-F for the year ended March 31, 2024 (the “Annual Report”), the deposit agreement for our American depositary shares (“ADSs”), each of which represents the right to receive one ordinary share, nominal value £0.001 per share (a “ordinary share”), of the Company, which deposit agreement is filed as Exhibit 2.1 to the Annual Report (the “deposit agreement”), and relevant provisions of English law. Because the following is only a summary, it does not contain all of the information that may be important to you. The summary includes certain references to and descriptions of material provisions of the Articles, the deposit agreement and English law in effect as of the date of the Annual Report. The summary below does not purport to be complete and is qualified in its entirety by reference to applicable English law, the Articles and the deposit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rights of holders of our ordinary shares:</w:t>
      </w:r>
    </w:p>
    <w:p>
      <w:pPr>
        <w:spacing w:after="0" w:line="117" w:lineRule="exact"/>
        <w:rPr>
          <w:sz w:val="20"/>
          <w:szCs w:val="20"/>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our ordinary shares is entitled to one vote per ordinary share on all matters to be voted on by shareholders generally;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receive notice of, attend, speak and vote at our general meetings, provided that we may determine that only those persons entered into the register of members at the close of business on a day decided by us (being no more than 21 clear days before the day that notice of the meeting is sent) will be entitled to receive such notice;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receive such dividends as are recommended by our directors and declared in accordance with the Articles.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also “—Articles of Association”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required by the U.K. Companies Act 2006 (the “Companies Act”) to keep a register of our shareholders. Under English law, the ordinary shares are deemed to be issued when the name of the shareholder is entered in the register of members. The register of members therefore is prima facie evidence of the identity of our shareholders, and the shares that they hold. The register of members generally provides limited, or no, information regarding the ultimate beneficial owners of our ordinary shares. Our register of members is maintained by our registrar, Computershare Investor Services Plc.</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Holders of the ADSs will not be treated as our shareholders and their names will therefore not be entered in our register of members. The depositary for our ADSs (the “depositary”), the custodian or their nominees will be the holder of the ordinary shares underlying the ADSs. Pursuant to the terms of the deposit agreement, holders of the ADSs have a right to receive the ordinary shares underlying their ADSs. For discussion on the ADSs and ADS holder rights, see “Description of American Depositary Shares” below.</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Act, we must enter an allotment of shares in our statutory books as soon as practicable and in any event within two months of the allotment. We are required by the Companies Act to register a transfer of shares (or give the transferee notice of and reasons for refusal as the transferee may reasonably request) as soon as practicable and in any event within two months of receiving notice of the transfer.</w:t>
      </w:r>
    </w:p>
    <w:p>
      <w:pPr>
        <w:sectPr>
          <w:pgSz w:w="11900" w:h="16838" w:orient="portrait"/>
          <w:cols w:equalWidth="0" w:num="1">
            <w:col w:w="11240"/>
          </w:cols>
          <w:pgMar w:left="320" w:top="114" w:right="339" w:bottom="1440" w:gutter="0" w:footer="0" w:header="0"/>
        </w:sectPr>
      </w:pPr>
    </w:p>
    <w:bookmarkStart w:id="353" w:name="page354"/>
    <w:bookmarkEnd w:id="353"/>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any of our shareholders or any other affected person may apply to the court for rectification of the register of members if:</w:t>
      </w:r>
    </w:p>
    <w:p>
      <w:pPr>
        <w:spacing w:after="0" w:line="117" w:lineRule="exact"/>
        <w:rPr>
          <w:sz w:val="20"/>
          <w:szCs w:val="20"/>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our register of members;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member.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English law generally provides shareholders with statutory preemptive rights when new shares are issued for cash; however, it is possible for a company’s articles of association, or shareholders at a general meeting representing at least 75% of the ordinary shares present (in person or by proxy) and voting at that general meeting, to disapply these preemptive rights. Such a disapplication of preemptive rights may be for a maximum period of up to five years from the date of adoption of the articles of association, if the disapplication is contained in the articles of association, or from the date of the shareholder resolution, if the disapplication is by shareholder resolution. In either case, the disapplication would need to be renewed by the company’s shareholders upon its expiration (i.e., at least every five years). On August 25, 2023, our shareholders approved the disapplication of preemptive rights for a period ending August 25, 2028, which disapplication will need to be renewed upon expiration (i.e., at least every five years) to remain effective, but may be sought more frequently for additional five-year terms (or for any shorter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Below is a summary of certain provisions of the Articles. The summary below is not a complete copy of the terms of the Articles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Subject to any rights or restrictions attached to any shares from time to time, the general voting rights attaching to shares are as follows:</w:t>
      </w:r>
    </w:p>
    <w:p>
      <w:pPr>
        <w:spacing w:after="0" w:line="117" w:lineRule="exact"/>
        <w:rPr>
          <w:sz w:val="20"/>
          <w:szCs w:val="20"/>
          <w:color w:val="auto"/>
        </w:rPr>
      </w:pPr>
    </w:p>
    <w:p>
      <w:pPr>
        <w:jc w:val="both"/>
        <w:ind w:left="660" w:hanging="328"/>
        <w:spacing w:after="0" w:line="266"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put to the vote at a general meeting must be decided exclusively on a poll; on a poll, every shareholder who is present in person or by proxy or corporate representative will have one vote for each share of which they are the holder. A shareholder entitled to more than one vote on a poll need not, if they vote, use all their votes or cast all the votes in the same way;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joint holders of a share, then in voting on any question the vote of the senior shareholder who tenders a vote, whether in person or by proxy, will be accepted to the exclusion of the votes of the other joint holders. For this purpose, seniority is determined by the order in which the names of the holders stand in the register of members.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Unless the Board of Directors of the Company (the “Board of Directors”) decides otherwise, no shareholder will be entitled to vote at any general meeting or at any separate class meeting in respect of any share held by them unless all calls or other sums payable by them in respect of that share have been paid.</w:t>
      </w:r>
    </w:p>
    <w:p>
      <w:pPr>
        <w:spacing w:after="0" w:line="17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may from time to time make calls upon the shareholders in respect of any money unpaid on their shares and each shareholder must (subject to at least 14 clear days’ notice specifying the time or times and place of payment) pay at the time or times so specified the amount called on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9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any shareholder, or any other person interested in shares, has been served with a notice under section 793 of the Companies Act and is in default for a period of 14 days in supplying to us the information required by that notice, then, unless the Board of Directors otherwise determines, in respect of those shares held by such shareholder, such shareholder will not be entitled to vote personally or by proxy at a general meeting or exercise any other right in relation to a general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may, subject to the provisions of the Companies Act and the Articles, by ordinary resolution of the shareholders of the Company declare final dividends out of profits available for distribution in accordance with the respective rights of shareholders, but no such dividend may exceed the amount recommended by the Board of Directors.</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from time to time pay shareholders such interim dividends as appears to the Board of Directors to be justified by the profits available for distribution (including any dividends at a fixed rate).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may retain all or part of any dividend or other sum payable on or in respect of a share on which the Company has a lien in respect of which the Board of Directors are entitled to issue an enforcement notice. Sums so deducted can be used to pay amounts owing to the Company in respect of the shares.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Subject to any special rights attaching to or the terms of issue of any share, no dividend or other moneys payable by us on or in respect of any share will bear interest against us. Any dividend unclaimed after a period of 12 years from the date such dividend became due for payment will be forfeited and will revert to us.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Dividends may be declared or paid in any currency and the Board of Directors may decide the rate of exchange for any currency conversions that may be required, and how any costs involved are to be met.</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by ordinary resolution of the shareholders of the Company, offer to shareholders the right to elect to receive an allotment of ordinary shares credited as fully paid in lieu of the whole or part of a dividend.</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by ordinary resolution of the shareholders of the Company, direct that payment of any dividend declared may be satisfied wholly or partly by the distribution of assets, including in particular of paid up shares or debentures of any other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 Arrangements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Articles provide for depositary arrangements and allow for the operation of the deposit agreement with the depositary, as well as to facilitate the acquisition of shares through ADSs, including a requirement to vote on a poll.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specific provision in the Articles that would have the effect of delaying, deferring or preventing a change of control.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All or any of the rights and restrictions attached to any class of shares issued may be varied or abrogated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and the terms of their issue. The Companies Act provides a right to object to the variation of the share capital by the shareholders who did not vote in favor of the variation. Should an aggregate of not less than 15% of the shareholders of the issued shares in question apply to the court to have the variation cancelled, the variation will have no effect unless and until it is confirmed by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by ordinary resolution of the shareholders of the Company, consolidate all or any of our share capital into shares of larger amount than our existing shares, or sub-divide our shares or any of them into shares of a smaller amount. We may, by special resolution of the shareholders of the Company, confirmed by the court, reduce our share capital or any capital redemption reserve or any share premium account in any manner authorized by the Companies Act. We may redeem or purchase all or any of our shares as described in “—Other Relevant English Law Considerations—Purchase of Own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Allotment of Shares and Preemption Rights</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Subject to the Companies Act and to any rights attached to existing shares, any share may be issued with or have attached to it such rights and restrictions as we may by ordinary resolution determine, or if no ordinary resolution has been passed or so far as the resolution does not make specific provision, as our Board of Directors may determine (including shares which are to be redeemed, or are liable to be redeemed at our option or the holder of such shares).</w:t>
      </w:r>
    </w:p>
    <w:p>
      <w:pPr>
        <w:spacing w:after="0" w:line="180"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section 551 of the Companies Act, the Board of Directors may be generally and unconditionally authorized to exercise for each prescribed period of up to five years all the powers of the Company to allot shares up to an aggregate nominal amount equal to the amount stated in the relevant ordinary resolution authorizing such allotment.</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provisions of section 561 of the Companies Act (which confer on shareholders rights of preemption in respect of the allotment of equity securities which are paid up in cash) apply to the Company except to the extent disapplied for a period of up to five years by special resolution of the shareholders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Lien and Forfeiture</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will have a first and paramount lien on every share (not being a fully paid share) for all moneys payable to the Company (whether presently or not) in respect of that share. The Company may sell, in such manner as the Board of Directors determines, any share on which the Company has a lien if a sum in respect of which the lien exists is presently payable and is not paid within the due date for payment. Subject to the terms of the allotment, the Board of Directors may from time to time make calls on the members in respect of any moneys unpaid on their shares.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Each member must (subject to receiving at least 14 clear days’ notice) pay to the Company the amount called on his or her shares. If a call or any installment of a call remains unpaid in whole or in part after it has become due and payable, the Board of Directors may give the person from whom it is due not less than 14 clear days’ notice requiring payment of the amount unpaid together with any interest which may have accrued and any expenses incurred by the Company by reason of such non-payment. The notice must name the place where payment is to be made and must state that if the notice is not complied with the shares in respect of which the call was made will be liable to be forfeited.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shareholder holding shares in certificated form may transfer all or any of their shares by an instrument of transfer in any usual or common form or in any other manner which is permitted by the Companies Act and approved by the Board of Directors. Any written instrument of transfer must be signed by or on behalf of the transferor and, in the case of a share which is not fully paid up, the transferee.</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All transfers of uncertificated shares must be made in accordance with and subject to the provisions of the Uncertificated Securities Regulations 2001 (the “Uncertificated Securities Rules”) and the facilities and requirements of its relevant system. The Uncertificated Securities Rules permit shares to be issued and held in uncertificated form and transferred by means of a computer-based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sectPr>
      </w:pPr>
    </w:p>
    <w:bookmarkStart w:id="356" w:name="page357"/>
    <w:bookmarkEnd w:id="356"/>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may, in its absolute discretion, decline to register any transfer of any share in certificated form unless:</w:t>
      </w:r>
    </w:p>
    <w:p>
      <w:pPr>
        <w:spacing w:after="0" w:line="117" w:lineRule="exact"/>
        <w:rPr>
          <w:sz w:val="20"/>
          <w:szCs w:val="20"/>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for a share which is fully paid 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for a share upon which the Company has no lien;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only for one class of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favor of a single transferee or no more than four joint transferees;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stamped (if this is required);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lodged at our registered office or such other place as the Board of Directors may decide, accompanied by the certificate for shares to which it relates or such other evidence (if any) as the Board of Directors may reasonably require to prove the title of the transferor or, if the transfer is executed by some other person on their behalf, the authority of that person to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21"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Subject to the Articles and the Companies Act, the Company may by ordinary resolution appoint a person who is willing to act as a director and the Board of Directors has the power at any time to appoint any person who is willing to act as a director, in both cases either to fill a vacancy or as an addition to the existing Board of Directors, provided the total number of directors may not exceed any maximum number imposed in accordance with the Articles.</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Under the shareholder governance agreement (the “Shareholder Governance Agreement”) we entered into with SoftBank Group Corp. (“SoftBank Group”), SoftBank Group has the right to designate a certain number of candidates for election to our Board of Directors based on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 of our outstanding</w:t>
            </w:r>
          </w:p>
        </w:tc>
        <w:tc>
          <w:tcPr>
            <w:tcW w:w="23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Number of SoftBank Group</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SoftBank Group</w:t>
            </w:r>
          </w:p>
        </w:tc>
        <w:tc>
          <w:tcPr>
            <w:tcW w:w="0" w:type="dxa"/>
            <w:vAlign w:val="bottom"/>
          </w:tcPr>
          <w:p>
            <w:pPr>
              <w:spacing w:after="0"/>
              <w:rPr>
                <w:sz w:val="1"/>
                <w:szCs w:val="1"/>
                <w:color w:val="auto"/>
              </w:rPr>
            </w:pPr>
          </w:p>
        </w:tc>
      </w:tr>
      <w:tr>
        <w:trPr>
          <w:trHeight w:val="162"/>
        </w:trPr>
        <w:tc>
          <w:tcPr>
            <w:tcW w:w="4100" w:type="dxa"/>
            <w:vAlign w:val="bottom"/>
            <w:gridSpan w:val="2"/>
            <w:vMerge w:val="continue"/>
          </w:tcPr>
          <w:p>
            <w:pPr>
              <w:spacing w:after="0"/>
              <w:rPr>
                <w:sz w:val="14"/>
                <w:szCs w:val="14"/>
                <w:color w:val="auto"/>
              </w:rPr>
            </w:pPr>
          </w:p>
        </w:tc>
        <w:tc>
          <w:tcPr>
            <w:tcW w:w="23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candidates for election to</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candidates that must</w:t>
            </w:r>
          </w:p>
        </w:tc>
        <w:tc>
          <w:tcPr>
            <w:tcW w:w="0" w:type="dxa"/>
            <w:vAlign w:val="bottom"/>
          </w:tcPr>
          <w:p>
            <w:pPr>
              <w:spacing w:after="0"/>
              <w:rPr>
                <w:sz w:val="1"/>
                <w:szCs w:val="1"/>
                <w:color w:val="auto"/>
              </w:rPr>
            </w:pPr>
          </w:p>
        </w:tc>
      </w:tr>
      <w:tr>
        <w:trPr>
          <w:trHeight w:val="217"/>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3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our Board of Directors: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independent:</w:t>
            </w:r>
          </w:p>
        </w:tc>
        <w:tc>
          <w:tcPr>
            <w:tcW w:w="0" w:type="dxa"/>
            <w:vAlign w:val="bottom"/>
          </w:tcPr>
          <w:p>
            <w:pPr>
              <w:spacing w:after="0"/>
              <w:rPr>
                <w:sz w:val="1"/>
                <w:szCs w:val="1"/>
                <w:color w:val="auto"/>
              </w:rPr>
            </w:pPr>
          </w:p>
        </w:tc>
      </w:tr>
      <w:tr>
        <w:trPr>
          <w:trHeight w:val="23"/>
        </w:trPr>
        <w:tc>
          <w:tcPr>
            <w:tcW w:w="324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70%</w:t>
            </w:r>
          </w:p>
        </w:tc>
        <w:tc>
          <w:tcPr>
            <w:tcW w:w="2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70% and greater than</w:t>
            </w:r>
          </w:p>
        </w:tc>
        <w:tc>
          <w:tcPr>
            <w:tcW w:w="230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9"/>
                <w:szCs w:val="19"/>
                <w:color w:val="auto"/>
              </w:rPr>
            </w:pPr>
          </w:p>
        </w:tc>
        <w:tc>
          <w:tcPr>
            <w:tcW w:w="2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or equal to 60% and greater than</w:t>
            </w:r>
          </w:p>
        </w:tc>
        <w:tc>
          <w:tcPr>
            <w:tcW w:w="23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shd w:val="clear" w:color="auto" w:fill="CCEEFF"/>
          </w:tcPr>
          <w:p>
            <w:pPr>
              <w:spacing w:after="0"/>
              <w:rPr>
                <w:sz w:val="19"/>
                <w:szCs w:val="19"/>
                <w:color w:val="auto"/>
              </w:rPr>
            </w:pPr>
          </w:p>
        </w:tc>
        <w:tc>
          <w:tcPr>
            <w:tcW w:w="2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1"/>
        </w:trPr>
        <w:tc>
          <w:tcPr>
            <w:tcW w:w="3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50% and greater than</w:t>
            </w:r>
          </w:p>
        </w:tc>
        <w:tc>
          <w:tcPr>
            <w:tcW w:w="230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spacing w:after="0"/>
              <w:rPr>
                <w:sz w:val="19"/>
                <w:szCs w:val="19"/>
                <w:color w:val="auto"/>
              </w:rPr>
            </w:pPr>
          </w:p>
        </w:tc>
        <w:tc>
          <w:tcPr>
            <w:tcW w:w="2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or equal to 40% and greater than</w:t>
            </w:r>
          </w:p>
        </w:tc>
        <w:tc>
          <w:tcPr>
            <w:tcW w:w="23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shd w:val="clear" w:color="auto" w:fill="CCEEFF"/>
          </w:tcPr>
          <w:p>
            <w:pPr>
              <w:spacing w:after="0"/>
              <w:rPr>
                <w:sz w:val="19"/>
                <w:szCs w:val="19"/>
                <w:color w:val="auto"/>
              </w:rPr>
            </w:pPr>
          </w:p>
        </w:tc>
        <w:tc>
          <w:tcPr>
            <w:tcW w:w="2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3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30% and greater than</w:t>
            </w:r>
          </w:p>
        </w:tc>
        <w:tc>
          <w:tcPr>
            <w:tcW w:w="230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9"/>
                <w:szCs w:val="19"/>
                <w:color w:val="auto"/>
              </w:rPr>
            </w:pPr>
          </w:p>
        </w:tc>
        <w:tc>
          <w:tcPr>
            <w:tcW w:w="2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or equal to 20% and greater than</w:t>
            </w:r>
          </w:p>
        </w:tc>
        <w:tc>
          <w:tcPr>
            <w:tcW w:w="23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shd w:val="clear" w:color="auto" w:fill="CCEEFF"/>
          </w:tcPr>
          <w:p>
            <w:pPr>
              <w:spacing w:after="0"/>
              <w:rPr>
                <w:sz w:val="19"/>
                <w:szCs w:val="19"/>
                <w:color w:val="auto"/>
              </w:rPr>
            </w:pPr>
          </w:p>
        </w:tc>
        <w:tc>
          <w:tcPr>
            <w:tcW w:w="2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5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SoftBank Group’s rights to nominate candidates for election to our Board of Directors are based on an eight-member board, including our Chief Executive Officer, and pursuant to the Shareholder Governance Agreement, will be modified ratably to reflect any change in the number of directors on our Board of Directors.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type w:val="continuous"/>
        </w:sectPr>
      </w:pPr>
    </w:p>
    <w:bookmarkStart w:id="357" w:name="page358"/>
    <w:bookmarkEnd w:id="357"/>
    <w:p>
      <w:pPr>
        <w:spacing w:after="0" w:line="194"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Additionally, for so long as SoftBank Group and its controlled affiliates own more than 70% of our outstanding ordinary shares, SoftBank Group will have the right to increase the size of our Board of Directors to nine directors and appoint a director, who need not be independent, to Board of Directors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Subject to the Articles and the Companies Act, the Board of Directors may exercise all the powers to borrow money, provide any indemnity or guarantee, mortgage or charge our undertaking, property and uncalled capital, issue debentures and other securities and to give security, whether outright or as collateral security for any debt, liability or obligation of us or of any third party.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Profits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directors may, if they are so authorized by an ordinary resolution of the shareholders of the Company, decide to capitalize any undistributed profits of the Company not required for paying any preferential dividend, or any sum standing to the credit of the Company’s share premium account, capital redemption reserve or other undistributable reserve. To the extent a capitalized sum is appropriated from profits available for distribution it may also be applied in or towards paying up any amounts unpaid on existing shares held by the entitled members, or in paying up new debentures of the Company which are allotted credited as fully paid to the entitled members (or a combination of the two).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So far as permitted by applicable law, every director or other officer of our group shall be indemnified against all costs, charges, expenses, losses and liabilities sustained or incurred by them in connection with that director’s or officer’s duties or powers in relation to the Company or other members of our group.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Relevant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the U.K. City Code on Takeovers and Mergers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U.K. City Code on Takeovers and Mergers (the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Takeover Code also applies to all offers for public companies which have their registered office in the U.K., the Channel Islands or the Isle of Man if they are considered by the Panel on Takeovers and Mergers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our registered office is in the U.K., the Takeover Code does not currently apply to the us because our shares are not admitted to trading on a regulated market or multilateral trading facility in the U.K. or any stock exchange in the Channel Islands or the Isle of Man, and the Takeover Panel confirmed to us that, on the basis of the residency of our directors as at the date of our final prospectus filed on September 14, 2023 with the U.S. Securities and Exchange Commission (the “SEC”) pursuant to Rule 424(b)(4) under the Securities Act of 1933, as amended (the “Securities Act”), relating to our Registration Statement on Form F-1, we did not have our place of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358" w:name="page359"/>
    <w:bookmarkEnd w:id="358"/>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management and control in the U.K., the Channel Islands or the Isle of Man. Our place of central management and control remains outside of the U.K. for the purposes of the Takeover Code.</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a result, our shareholders are not currently entitled to the benefit of certain takeover offer protections provided under the Takeover Code, including the rules regarding mandatory takeover bids and, therefore, holders of ADSs will not benefit from these protections.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w:t>
      </w:r>
    </w:p>
    <w:p>
      <w:pPr>
        <w:spacing w:after="0" w:line="17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companies are regulated and conducted. The following is a brief summary of some of the most important rules of the Takeover Code:</w:t>
      </w:r>
    </w:p>
    <w:p>
      <w:pPr>
        <w:spacing w:after="0" w:line="54" w:lineRule="exact"/>
        <w:rPr>
          <w:sz w:val="20"/>
          <w:szCs w:val="20"/>
          <w:color w:val="auto"/>
        </w:rPr>
      </w:pPr>
    </w:p>
    <w:p>
      <w:pPr>
        <w:jc w:val="both"/>
        <w:ind w:left="660" w:hanging="328"/>
        <w:spacing w:after="0" w:line="255"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9 of the Takeover Code, when any person acquires, whether by a series of transactions over a period of time or not, an interest in shares of a company which, taken together with shares in which such person is already interested, and in which persons acting in concert with such person are interested, carry 30% or more of the voting rights in such company, such person and, depending upon the circumstances, persons acting in concert with such person shall, except in limited circumstances, be obliged to extend offers, on the basis set out in Rules 9.3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must be in cash (or accompanied by a cash alternative) at not less than the highest price paid for any interest in the shares by the person required to make an offer or any person acting in concert with such person during the 12 months prior to the announcement of the offer.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similar obligation to make such a cash offer also arises when any person that (together with any persons acting in concert) is already interested in shares which in the aggregate carry 30% or more of the voting rights of a company but does not hold shares which carry more than 50% of such voting rights acquires an interest in any other shares of such company which increase the percentage of shares carrying voting rights in which such person is interested.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Takeover Code, “persons acting in concert” comprise persons who, pursuant to an agreement or understanding (whether formal or informal and whether or not in writing) co-operate to obtain or consolidate control of a company or to frustrate the successful outcome of an offer for a company and “control” means an interest or interests, in shares carrying in the aggregate 30% or more of the voting rights of a company, irrespective of whether the holding or holdings give de facto control.</w:t>
      </w:r>
    </w:p>
    <w:p>
      <w:pPr>
        <w:spacing w:after="0" w:line="200" w:lineRule="exact"/>
        <w:rPr>
          <w:sz w:val="20"/>
          <w:szCs w:val="20"/>
          <w:color w:val="auto"/>
        </w:rPr>
      </w:pPr>
    </w:p>
    <w:p>
      <w:pPr>
        <w:spacing w:after="0" w:line="30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For so long as SoftBank Group and any person acting in concert with it hold shares carrying more than 50% of the voting rights of the Company, subject to the Takeover Code applying, the rules relating to mandatory bids under the Takeover Code will not apply to any acquisitions of shares made by SoftBank Group or its concert parties.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Squeeze-out provisions</w:t>
      </w:r>
    </w:p>
    <w:p>
      <w:pPr>
        <w:spacing w:after="0" w:line="12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Under sections 979 to 982 of the Companies Act, where a takeover offer has been made for us and the offeror has acquired, or unconditionally contracted to acquire, not less than 90% in value of the shares to which the offer relates and not less than 90% of the voting rights carried by those shares, the offeror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not one to which section 943(1) of the Companies Act applies (being an offer subject to the Takeover Code), the period of six months beginning with the date of the offer.</w:t>
      </w:r>
    </w:p>
    <w:p>
      <w:pPr>
        <w:spacing w:after="0" w:line="5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squeeze-out of the minority shareholders can be completed at the end of six weeks from the date the notice has been given, at which time the offeror must send a copy of the notice to the Company together with an instrument of transfer executed on behalf of the outstanding shareholder(s) by a person appointed by the offeror of the shares to which the notice relates, and pay the consideration to us to be held in trust for the outstanding minority shareholders. The consideration offered to the members whose shares are compulsorily acquired under this procedure must, in general, be the same as the consideration that was available under the original offer. A dissenting shareholder may object to the transfer on the basis that the offeror is not entitled and bound to acquire shares or to specify terms of acquisition different from those in the offer by applying to court within six weeks of the date on which notice of the transfer was given.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Sections 983 to 985 of the Companies Act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their shares if, prior to the expiration of the acceptance period for such offer, (a) the offeror has acquired or unconditionally agreed to acquire not less than 90% in value of all of our shares; and (b) not less than 90% of the voting rights carried by those shares. The offeror is required to give any shareholder notice of his right to be bought out within one month of that right arising. The offeror may impose a time limit on the rights of minority shareholders to be bought out that is not less than three months after the end of the acceptance period, or if longer a period of three months from the date of the notice. If a shareholder exercises their rights to be bought out, the offeror is required to acquire those shares on the terms of the offer or on such other terms as may be agreed.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Pursuant to Part 22 of the Companies Act and the Articles, we are empowered by notice in writing to require any person whom we know or have reasonable cause to believe to be interested in our shares, or at any time during the three years immediately preceding the date on which the notice is issued has been so interested, within a reasonable time to disclose to us details of that person’s interest and (so far as is within his or her knowledge) details of any other interest that subsists or subsisted in those shares.</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us with the required disclosures in relation to the shares in question (the “default shares”) within the prescribed period of 14 days, our directors may by notice direct that:</w:t>
      </w:r>
    </w:p>
    <w:p>
      <w:pPr>
        <w:spacing w:after="0" w:line="54" w:lineRule="exact"/>
        <w:rPr>
          <w:sz w:val="20"/>
          <w:szCs w:val="20"/>
          <w:color w:val="auto"/>
        </w:rPr>
      </w:pPr>
    </w:p>
    <w:p>
      <w:pPr>
        <w:ind w:left="660" w:right="20" w:hanging="328"/>
        <w:spacing w:after="0" w:line="282" w:lineRule="auto"/>
        <w:tabs>
          <w:tab w:leader="none" w:pos="6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and any other shares held by such person, the relevant shareholder shall not be entitled to vote (either in person or by representative or proxy) at any general meeting or to exercise any other right conferred by a shareholding in relation to general meetings;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in nominal value of the issued shares of their class, (a) any dividend or other money payable in respect of the default shares shall be retained by us without liability to pay interest and/or (b) no transfers by the relevant shareholder of any shares may be registered (unless the shareholder himself or herself is not in default and the shareholder provides a certificate, in a form satisfactory to the directors, to the effect that after due and careful enquiry the shareholder is satisfied that none of the shares to be transferred are default shares), provided that, where shares are uncertificated, any refusal to transfer such shares can only be made in accordance with and subject to the provisions of the Uncertificated Securities Rules.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the laws of England and Wales, a public limited company may purchase its own shares out of the distributable profits of the company or the proceeds of a fresh issue of shares made for the purpose of financing the purchase, subject to complying with procedural requirements under the Companies Act (including that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 approved by the company’s shareholders) and provided that the company’s articles of association do not restrict the company’s ability to purchase its own shares. Our Articles do not prohibit us from purchasing our own shares. Therefore, subject to the Companies Act and without prejudice to any relevant special rights attached to any class of shares, the Company may purchase any of its own shares of any class in any way and at any price (whether at par or above or below par).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such purchase will be either a “market purchase” or an “off market purchase,” each as defined in the Companies Act. A “market purchase” is a purchase made on a “recognized investment exchange” (other than an overseas exchange) as defined in the U.K. Financial Services and Markets Act 2000, as amended (the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w:t>
      </w:r>
    </w:p>
    <w:p>
      <w:pPr>
        <w:spacing w:after="0" w:line="192"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A share buy-back by a company of its shares will give rise to U.K. stamp duty (and may give rise to stamp duty reserve tax) at the rate of 0.5% of the amount or value of the consideration payable by the company (rounded up to the next £5.00), and such stamp duty (or stamp duty reserve tax) will be paid by the company. The charge to stamp duty reserve tax will be cancelled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Nasdaq Global Select Market is an “overseas exchange” for the purposes of the Companies Act and accordingly does not fall within the definition of a “recognized investment exchange” for the purposes of the FSMA, as modified by the Companies Act, and any purchase made by us would need to comply with the procedural requirements under the Companies Act that regulate “off market purchases.”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Under the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the laws of England and Wales.</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68" w:lineRule="exact"/>
        <w:rPr>
          <w:sz w:val="20"/>
          <w:szCs w:val="20"/>
          <w:color w:val="auto"/>
        </w:rPr>
      </w:pPr>
    </w:p>
    <w:p>
      <w:pPr>
        <w:ind w:left="660" w:hanging="328"/>
        <w:spacing w:after="0" w:line="282"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its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361" w:name="page362"/>
    <w:bookmarkEnd w:id="36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Certain rights granted under the Companies Act, including the right to requisition a general meeting or require a resolution to be put to shareholders at the annual general meeting, are only available to our shareholders. For English law purposes, our shareholders are the persons who are registered as the owners of the legal title to the shares and whose names are recorded in our register of members. If a person who holds their ADSs in the depositary wishes to exercise certain of the rights granted under the Companies Act, they will be required to first take steps to withdraw their ADSs from the settlement system operated by the depositary and become the registered holder of the shares in our register of members. A withdrawal of shares from depositary may have tax implications.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Requisitioning Shareholder Meetings</w:t>
      </w:r>
    </w:p>
    <w:p>
      <w:pPr>
        <w:spacing w:after="0" w:line="121"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If any shareholder or shareholders representing at least 5% of the paid-up capital of the Company carrying voting rights requests, in accordance with the provisions of the Companies Act, us to (a) call a general meeting for the purposes of bringing a resolution before the meeting, or (b) give notice of a resolution to be proposed at a general meeting, such request must among other things (in addition to any other statutory requirements):</w:t>
      </w:r>
    </w:p>
    <w:p>
      <w:pPr>
        <w:spacing w:after="0" w:line="68" w:lineRule="exact"/>
        <w:rPr>
          <w:sz w:val="20"/>
          <w:szCs w:val="20"/>
          <w:color w:val="auto"/>
        </w:rPr>
      </w:pPr>
    </w:p>
    <w:p>
      <w:pPr>
        <w:ind w:left="660" w:right="20" w:hanging="328"/>
        <w:spacing w:after="0" w:line="282"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the name and address of the requesting person and equivalent details of any person associated with it or him (in the manner contemplated by the Articles), together with details of all interests held by such person (and their associated persons) in us;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request relates to any business the member proposes to bring before the meeting, set forth a brief description of the business desired to be brought before the meeting, the reasons for conducting such business at the meeting, the text of the proposal (including the complete text of any proposed resolutions) and, in the case of any proposal to amend the Articles, the complete text of the proposed amendment;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as to each person (if any) whom the shareholder proposes to nominate for appointment to the Board of Directors, all information that would be required to be disclosed by us in connection with the election of directors, and such other information as we may require to determine the eligibility of such proposed nominee for appointment to the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Controls</w:t>
      </w:r>
    </w:p>
    <w:p>
      <w:pPr>
        <w:spacing w:after="0" w:line="121"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w:t>
      </w:r>
    </w:p>
    <w:p>
      <w:pPr>
        <w:ind w:right="140"/>
        <w:spacing w:after="0" w:line="260" w:lineRule="auto"/>
        <w:rPr>
          <w:sz w:val="20"/>
          <w:szCs w:val="20"/>
          <w:color w:val="auto"/>
        </w:rPr>
      </w:pPr>
      <w:r>
        <w:rPr>
          <w:rFonts w:ascii="Times New Roman" w:cs="Times New Roman" w:eastAsia="Times New Roman" w:hAnsi="Times New Roman"/>
          <w:sz w:val="18"/>
          <w:szCs w:val="18"/>
          <w:color w:val="auto"/>
        </w:rPr>
        <w:t>resident holders of our ordinary shares or ADSs representing our ordinary shares, other than withholding tax requirements. There is no limitation imposed by the laws of England and Wales or in the Articles on the right of non-residents to hold or vote 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protections. This summary is not intended to be a complete discussion of the respective rights and it is qualified in its entirety by reference to Delaware law and the laws of England and Wales.</w:t>
      </w:r>
    </w:p>
    <w:p>
      <w:pPr>
        <w:sectPr>
          <w:pgSz w:w="11900" w:h="16838" w:orient="portrait"/>
          <w:cols w:equalWidth="0" w:num="1">
            <w:col w:w="11220"/>
          </w:cols>
          <w:pgMar w:left="320" w:top="1440" w:right="359" w:bottom="1440" w:gutter="0" w:footer="0" w:header="0"/>
        </w:sectPr>
      </w:pP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111" w:lineRule="exact"/>
        <w:rPr>
          <w:sz w:val="20"/>
          <w:szCs w:val="20"/>
          <w:color w:val="auto"/>
        </w:rPr>
      </w:pPr>
    </w:p>
    <w:p>
      <w:pPr>
        <w:ind w:left="20"/>
        <w:spacing w:after="0"/>
        <w:tabs>
          <w:tab w:leader="none" w:pos="2900" w:val="left"/>
        </w:tabs>
        <w:rPr>
          <w:sz w:val="20"/>
          <w:szCs w:val="20"/>
          <w:color w:val="auto"/>
        </w:rPr>
      </w:pPr>
      <w:r>
        <w:rPr>
          <w:rFonts w:ascii="Times New Roman" w:cs="Times New Roman" w:eastAsia="Times New Roman" w:hAnsi="Times New Roman"/>
          <w:sz w:val="18"/>
          <w:szCs w:val="18"/>
          <w:b w:val="1"/>
          <w:bCs w:val="1"/>
          <w:i w:val="1"/>
          <w:iCs w:val="1"/>
          <w:color w:val="auto"/>
        </w:rPr>
        <w:t>Number of Directors</w:t>
      </w:r>
      <w:r>
        <w:rPr>
          <w:sz w:val="20"/>
          <w:szCs w:val="20"/>
          <w:color w:val="auto"/>
        </w:rPr>
        <w:tab/>
      </w:r>
      <w:r>
        <w:rPr>
          <w:rFonts w:ascii="Times New Roman" w:cs="Times New Roman" w:eastAsia="Times New Roman" w:hAnsi="Times New Roman"/>
          <w:sz w:val="17"/>
          <w:szCs w:val="17"/>
          <w:color w:val="auto"/>
        </w:rPr>
        <w:t>Under the Companies Act, a public limited company</w:t>
      </w:r>
    </w:p>
    <w:p>
      <w:pPr>
        <w:spacing w:after="0" w:line="31" w:lineRule="exact"/>
        <w:rPr>
          <w:sz w:val="20"/>
          <w:szCs w:val="20"/>
          <w:color w:val="auto"/>
        </w:rPr>
      </w:pPr>
    </w:p>
    <w:p>
      <w:pPr>
        <w:ind w:left="2920"/>
        <w:spacing w:after="0" w:line="271" w:lineRule="auto"/>
        <w:rPr>
          <w:sz w:val="20"/>
          <w:szCs w:val="20"/>
          <w:color w:val="auto"/>
        </w:rPr>
      </w:pPr>
      <w:r>
        <w:rPr>
          <w:rFonts w:ascii="Times New Roman" w:cs="Times New Roman" w:eastAsia="Times New Roman" w:hAnsi="Times New Roman"/>
          <w:sz w:val="18"/>
          <w:szCs w:val="18"/>
          <w:color w:val="auto"/>
        </w:rPr>
        <w:t>must have at least two directors and the number of directors may be fixed by or in the manner provided in the company’s articles of association.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1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the bylaws, unless the certificate of incorporation fixes the number of directors, in which case a change in the number of directors may be made only by amendment of the certificate of incorporation.</w:t>
      </w:r>
    </w:p>
    <w:p>
      <w:pPr>
        <w:spacing w:after="0" w:line="78" w:lineRule="exact"/>
        <w:rPr>
          <w:sz w:val="20"/>
          <w:szCs w:val="20"/>
          <w:color w:val="auto"/>
        </w:rPr>
      </w:pPr>
    </w:p>
    <w:p>
      <w:pPr>
        <w:sectPr>
          <w:pgSz w:w="11900" w:h="16838" w:orient="portrait"/>
          <w:cols w:equalWidth="0" w:num="2">
            <w:col w:w="6860" w:space="280"/>
            <w:col w:w="4080"/>
          </w:cols>
          <w:pgMar w:left="320" w:top="1440" w:right="359" w:bottom="1440" w:gutter="0" w:footer="0" w:header="0"/>
          <w:type w:val="continuous"/>
        </w:sectPr>
      </w:pPr>
    </w:p>
    <w:p>
      <w:pPr>
        <w:ind w:left="20"/>
        <w:spacing w:after="0"/>
        <w:tabs>
          <w:tab w:leader="none" w:pos="2900" w:val="left"/>
        </w:tabs>
        <w:rPr>
          <w:sz w:val="20"/>
          <w:szCs w:val="20"/>
          <w:color w:val="auto"/>
        </w:rPr>
      </w:pPr>
      <w:r>
        <w:rPr>
          <w:rFonts w:ascii="Times New Roman" w:cs="Times New Roman" w:eastAsia="Times New Roman" w:hAnsi="Times New Roman"/>
          <w:sz w:val="18"/>
          <w:szCs w:val="18"/>
          <w:b w:val="1"/>
          <w:bCs w:val="1"/>
          <w:i w:val="1"/>
          <w:iCs w:val="1"/>
          <w:color w:val="auto"/>
        </w:rPr>
        <w:t>Removal of Directors</w:t>
      </w:r>
      <w:r>
        <w:rPr>
          <w:sz w:val="20"/>
          <w:szCs w:val="20"/>
          <w:color w:val="auto"/>
        </w:rPr>
        <w:tab/>
      </w:r>
      <w:r>
        <w:rPr>
          <w:rFonts w:ascii="Times New Roman" w:cs="Times New Roman" w:eastAsia="Times New Roman" w:hAnsi="Times New Roman"/>
          <w:sz w:val="18"/>
          <w:szCs w:val="18"/>
          <w:color w:val="auto"/>
        </w:rPr>
        <w:t>Under the Companies Act, shareholders may remove a</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director without cause by an ordinary resolution (which</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is passed by a simple majority of those voting in person</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or by proxy at a general meeting) irrespective of any</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provisions of any service contract the director has with</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the company, provided 28 clear days’ notice of the</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resolution has been given to the company and its</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shareholders. On receipt of notice of an intended</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resolution to remove a director, the company must</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forthwith send a copy of the notice to the director</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concerned. Certain other procedural requirements under</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the Companies Act must also be followed, such as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allowing the director to make representations against his</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or her removal either at the meeting or in writing.</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2900" w:val="left"/>
        </w:tabs>
        <w:rPr>
          <w:sz w:val="20"/>
          <w:szCs w:val="20"/>
          <w:color w:val="auto"/>
        </w:rPr>
      </w:pPr>
      <w:r>
        <w:rPr>
          <w:rFonts w:ascii="Times New Roman" w:cs="Times New Roman" w:eastAsia="Times New Roman" w:hAnsi="Times New Roman"/>
          <w:sz w:val="18"/>
          <w:szCs w:val="18"/>
          <w:b w:val="1"/>
          <w:bCs w:val="1"/>
          <w:i w:val="1"/>
          <w:iCs w:val="1"/>
          <w:color w:val="auto"/>
        </w:rPr>
        <w:t>Vacancies on the Board of</w:t>
      </w:r>
      <w:r>
        <w:rPr>
          <w:sz w:val="20"/>
          <w:szCs w:val="20"/>
          <w:color w:val="auto"/>
        </w:rPr>
        <w:tab/>
      </w:r>
      <w:r>
        <w:rPr>
          <w:rFonts w:ascii="Times New Roman" w:cs="Times New Roman" w:eastAsia="Times New Roman" w:hAnsi="Times New Roman"/>
          <w:sz w:val="18"/>
          <w:szCs w:val="18"/>
          <w:color w:val="auto"/>
        </w:rPr>
        <w:t>The procedure by which directors, other than a</w:t>
      </w:r>
    </w:p>
    <w:p>
      <w:pPr>
        <w:spacing w:after="0" w:line="31" w:lineRule="exact"/>
        <w:rPr>
          <w:sz w:val="20"/>
          <w:szCs w:val="20"/>
          <w:color w:val="auto"/>
        </w:rPr>
      </w:pPr>
    </w:p>
    <w:p>
      <w:pPr>
        <w:ind w:left="20"/>
        <w:spacing w:after="0"/>
        <w:tabs>
          <w:tab w:leader="none" w:pos="2900" w:val="left"/>
        </w:tabs>
        <w:rPr>
          <w:sz w:val="20"/>
          <w:szCs w:val="20"/>
          <w:color w:val="auto"/>
        </w:rPr>
      </w:pPr>
      <w:r>
        <w:rPr>
          <w:rFonts w:ascii="Times New Roman" w:cs="Times New Roman" w:eastAsia="Times New Roman" w:hAnsi="Times New Roman"/>
          <w:sz w:val="18"/>
          <w:szCs w:val="18"/>
          <w:b w:val="1"/>
          <w:bCs w:val="1"/>
          <w:i w:val="1"/>
          <w:iCs w:val="1"/>
          <w:color w:val="auto"/>
        </w:rPr>
        <w:t>Directors</w:t>
      </w:r>
      <w:r>
        <w:rPr>
          <w:sz w:val="20"/>
          <w:szCs w:val="20"/>
          <w:color w:val="auto"/>
        </w:rPr>
        <w:tab/>
      </w:r>
      <w:r>
        <w:rPr>
          <w:rFonts w:ascii="Times New Roman" w:cs="Times New Roman" w:eastAsia="Times New Roman" w:hAnsi="Times New Roman"/>
          <w:sz w:val="18"/>
          <w:szCs w:val="18"/>
          <w:color w:val="auto"/>
        </w:rPr>
        <w:t>company’s initial directors, are appointed is generally</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set out in a company’s articles of association, provided</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that where two or more persons are appointed as</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directors of a public limited company by resolution of</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the shareholders, resolutions appointing each director</w:t>
      </w:r>
    </w:p>
    <w:p>
      <w:pPr>
        <w:spacing w:after="0" w:line="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must be voted on individually.</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Times New Roman" w:cs="Times New Roman" w:eastAsia="Times New Roman" w:hAnsi="Times New Roman"/>
          <w:sz w:val="18"/>
          <w:szCs w:val="18"/>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stockholders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8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or series thereof is to elect such director, in which case a majority of the other directors elected by such class or series, or a sole remaining director elected by such class or series, will fill such vacancy.</w:t>
      </w:r>
    </w:p>
    <w:p>
      <w:pPr>
        <w:spacing w:after="0" w:line="200" w:lineRule="exact"/>
        <w:rPr>
          <w:sz w:val="20"/>
          <w:szCs w:val="20"/>
          <w:color w:val="auto"/>
        </w:rPr>
      </w:pPr>
    </w:p>
    <w:p>
      <w:pPr>
        <w:sectPr>
          <w:pgSz w:w="11900" w:h="16838" w:orient="portrait"/>
          <w:cols w:equalWidth="0" w:num="2">
            <w:col w:w="7000" w:space="140"/>
            <w:col w:w="408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type w:val="continuous"/>
        </w:sectPr>
      </w:pPr>
    </w:p>
    <w:bookmarkStart w:id="363" w:name="page364"/>
    <w:bookmarkEnd w:id="363"/>
    <w:p>
      <w:pPr>
        <w:spacing w:after="0" w:line="2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111"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Annual General Meeting</w:t>
      </w:r>
      <w:r>
        <w:rPr>
          <w:sz w:val="20"/>
          <w:szCs w:val="20"/>
          <w:color w:val="auto"/>
        </w:rPr>
        <w:tab/>
      </w:r>
      <w:r>
        <w:rPr>
          <w:rFonts w:ascii="Times New Roman" w:cs="Times New Roman" w:eastAsia="Times New Roman" w:hAnsi="Times New Roman"/>
          <w:sz w:val="17"/>
          <w:szCs w:val="17"/>
          <w:color w:val="auto"/>
        </w:rPr>
        <w:t>Under the Companies Act, a public limited company</w:t>
      </w:r>
    </w:p>
    <w:p>
      <w:pPr>
        <w:spacing w:after="0" w:line="31" w:lineRule="exact"/>
        <w:rPr>
          <w:sz w:val="20"/>
          <w:szCs w:val="20"/>
          <w:color w:val="auto"/>
        </w:rPr>
      </w:pPr>
    </w:p>
    <w:p>
      <w:pPr>
        <w:ind w:left="2900"/>
        <w:spacing w:after="0" w:line="276" w:lineRule="auto"/>
        <w:rPr>
          <w:sz w:val="20"/>
          <w:szCs w:val="20"/>
          <w:color w:val="auto"/>
        </w:rPr>
      </w:pPr>
      <w:r>
        <w:rPr>
          <w:rFonts w:ascii="Times New Roman" w:cs="Times New Roman" w:eastAsia="Times New Roman" w:hAnsi="Times New Roman"/>
          <w:sz w:val="18"/>
          <w:szCs w:val="18"/>
          <w:color w:val="auto"/>
        </w:rPr>
        <w:t>must hold an annual general meeting in each six-month period following its annual accounting reference date.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1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60" w:lineRule="exact"/>
        <w:rPr>
          <w:sz w:val="20"/>
          <w:szCs w:val="20"/>
          <w:color w:val="auto"/>
        </w:rPr>
      </w:pPr>
    </w:p>
    <w:p>
      <w:pPr>
        <w:sectPr>
          <w:pgSz w:w="11900" w:h="16838" w:orient="portrait"/>
          <w:cols w:equalWidth="0" w:num="2">
            <w:col w:w="6900" w:space="220"/>
            <w:col w:w="4060"/>
          </w:cols>
          <w:pgMar w:left="340" w:top="1440" w:right="379" w:bottom="1440" w:gutter="0" w:footer="0" w:header="0"/>
        </w:sect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General Meeting</w:t>
      </w:r>
      <w:r>
        <w:rPr>
          <w:sz w:val="20"/>
          <w:szCs w:val="20"/>
          <w:color w:val="auto"/>
        </w:rPr>
        <w:tab/>
      </w:r>
      <w:r>
        <w:rPr>
          <w:rFonts w:ascii="Times New Roman" w:cs="Times New Roman" w:eastAsia="Times New Roman" w:hAnsi="Times New Roman"/>
          <w:sz w:val="18"/>
          <w:szCs w:val="18"/>
          <w:color w:val="auto"/>
        </w:rPr>
        <w:t>Under the Companies Act, a general meeting of the</w:t>
      </w:r>
    </w:p>
    <w:p>
      <w:pPr>
        <w:spacing w:after="0" w:line="31" w:lineRule="exact"/>
        <w:rPr>
          <w:sz w:val="20"/>
          <w:szCs w:val="20"/>
          <w:color w:val="auto"/>
        </w:rPr>
      </w:pPr>
    </w:p>
    <w:p>
      <w:pPr>
        <w:ind w:left="2900" w:right="40"/>
        <w:spacing w:after="0" w:line="260" w:lineRule="auto"/>
        <w:rPr>
          <w:sz w:val="20"/>
          <w:szCs w:val="20"/>
          <w:color w:val="auto"/>
        </w:rPr>
      </w:pPr>
      <w:r>
        <w:rPr>
          <w:rFonts w:ascii="Times New Roman" w:cs="Times New Roman" w:eastAsia="Times New Roman" w:hAnsi="Times New Roman"/>
          <w:sz w:val="18"/>
          <w:szCs w:val="18"/>
          <w:color w:val="auto"/>
        </w:rPr>
        <w:t>shareholders of a public limited company may be called by the directors.</w:t>
      </w:r>
    </w:p>
    <w:p>
      <w:pPr>
        <w:spacing w:after="0" w:line="73" w:lineRule="exact"/>
        <w:rPr>
          <w:sz w:val="20"/>
          <w:szCs w:val="20"/>
          <w:color w:val="auto"/>
        </w:rPr>
      </w:pPr>
    </w:p>
    <w:p>
      <w:pPr>
        <w:ind w:left="2900"/>
        <w:spacing w:after="0" w:line="254" w:lineRule="auto"/>
        <w:rPr>
          <w:sz w:val="20"/>
          <w:szCs w:val="20"/>
          <w:color w:val="auto"/>
        </w:rPr>
      </w:pPr>
      <w:r>
        <w:rPr>
          <w:rFonts w:ascii="Times New Roman" w:cs="Times New Roman" w:eastAsia="Times New Roman" w:hAnsi="Times New Roman"/>
          <w:sz w:val="18"/>
          <w:szCs w:val="18"/>
          <w:color w:val="auto"/>
        </w:rPr>
        <w:t>Shareholders holding at least 5% of the paid-up capital of the company carrying voting rights at general meetings (excluding any paid up capital held as treasury shares) can require the directors to call a general meeting and, if the directors fail to do so within a certain period, may themselves (or any of them representing more than one half of the total voting rights of all of them) convene a general meeting.</w:t>
      </w:r>
    </w:p>
    <w:p>
      <w:pPr>
        <w:spacing w:after="0" w:line="80"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Notice of General Meetings</w:t>
      </w:r>
      <w:r>
        <w:rPr>
          <w:sz w:val="20"/>
          <w:szCs w:val="20"/>
          <w:color w:val="auto"/>
        </w:rPr>
        <w:tab/>
      </w:r>
      <w:r>
        <w:rPr>
          <w:rFonts w:ascii="Times New Roman" w:cs="Times New Roman" w:eastAsia="Times New Roman" w:hAnsi="Times New Roman"/>
          <w:sz w:val="18"/>
          <w:szCs w:val="18"/>
          <w:color w:val="auto"/>
        </w:rPr>
        <w:t>Subject to a company’s articles of association providing</w:t>
      </w:r>
    </w:p>
    <w:p>
      <w:pPr>
        <w:spacing w:after="0" w:line="31" w:lineRule="exact"/>
        <w:rPr>
          <w:sz w:val="20"/>
          <w:szCs w:val="20"/>
          <w:color w:val="auto"/>
        </w:rPr>
      </w:pPr>
    </w:p>
    <w:p>
      <w:pPr>
        <w:ind w:left="2900" w:right="200"/>
        <w:spacing w:after="0" w:line="258" w:lineRule="auto"/>
        <w:rPr>
          <w:sz w:val="20"/>
          <w:szCs w:val="20"/>
          <w:color w:val="auto"/>
        </w:rPr>
      </w:pPr>
      <w:r>
        <w:rPr>
          <w:rFonts w:ascii="Times New Roman" w:cs="Times New Roman" w:eastAsia="Times New Roman" w:hAnsi="Times New Roman"/>
          <w:sz w:val="18"/>
          <w:szCs w:val="18"/>
          <w:color w:val="auto"/>
        </w:rPr>
        <w:t>for a longer period, under the Companies Act, at least 21 clear days’ notice must be given for an annual</w:t>
      </w:r>
    </w:p>
    <w:p>
      <w:pPr>
        <w:ind w:left="2900"/>
        <w:spacing w:after="0"/>
        <w:rPr>
          <w:sz w:val="20"/>
          <w:szCs w:val="20"/>
          <w:color w:val="auto"/>
        </w:rPr>
      </w:pPr>
      <w:r>
        <w:rPr>
          <w:rFonts w:ascii="Times New Roman" w:cs="Times New Roman" w:eastAsia="Times New Roman" w:hAnsi="Times New Roman"/>
          <w:sz w:val="18"/>
          <w:szCs w:val="18"/>
          <w:color w:val="auto"/>
        </w:rPr>
        <w:t>general meeting and any resolutions to be proposed at</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the meeting. Subject to a company’s articles of</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association providing for a longer period, at least 14</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clear days’ notice is required for any other general</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meeting. In addition, certain matters, such as the</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removal of directors or auditors, require special notice,</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which is 28 clear days’ notice. The shareholders of a</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company may in all cases consent to a shorter notice</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period, the proportion of shareholders’ consent required</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being 100% of those entitled to attend and vote in the</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case of an annual general meeting and, in the case of</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any other general meeting, a majority in number of the</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members having a right to attend and vote at the</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meeting, being a majority who together hold not less</w:t>
      </w:r>
    </w:p>
    <w:p>
      <w:pPr>
        <w:spacing w:after="0" w:line="23" w:lineRule="exact"/>
        <w:rPr>
          <w:sz w:val="20"/>
          <w:szCs w:val="20"/>
          <w:color w:val="auto"/>
        </w:rPr>
      </w:pPr>
    </w:p>
    <w:p>
      <w:pPr>
        <w:ind w:left="2900" w:right="160"/>
        <w:spacing w:after="0" w:line="276" w:lineRule="auto"/>
        <w:rPr>
          <w:sz w:val="20"/>
          <w:szCs w:val="20"/>
          <w:color w:val="auto"/>
        </w:rPr>
      </w:pPr>
      <w:r>
        <w:rPr>
          <w:rFonts w:ascii="Times New Roman" w:cs="Times New Roman" w:eastAsia="Times New Roman" w:hAnsi="Times New Roman"/>
          <w:sz w:val="18"/>
          <w:szCs w:val="18"/>
          <w:color w:val="auto"/>
        </w:rPr>
        <w:t>than 95% in nominal value of the shares giving a right to attend and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ind w:right="100"/>
        <w:spacing w:after="0" w:line="271" w:lineRule="auto"/>
        <w:rPr>
          <w:sz w:val="20"/>
          <w:szCs w:val="20"/>
          <w:color w:val="auto"/>
        </w:rPr>
      </w:pPr>
      <w:r>
        <w:rPr>
          <w:rFonts w:ascii="Times New Roman" w:cs="Times New Roman" w:eastAsia="Times New Roman" w:hAnsi="Times New Roman"/>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Under Delaware law, unless otherwise provided in the certificate of incorporation or bylaws, written notice of any meeting of the stockholders must be given to each stockholder entitled to vote at the meeting not less than 10 days nor more than 60 days before the date of the meeting and shall specify the place, date, hour, the means of remote communications by which stockholders and proxy holders may be deemed present and may vote at the meeting, the record date for determining stockholders entitled to vote at the meeting (if different than the record date for determining stockholders entitled to notice) and, if the meeting is a special meeting, the purpose or purposes of the meeting.</w:t>
      </w:r>
    </w:p>
    <w:p>
      <w:pPr>
        <w:sectPr>
          <w:pgSz w:w="11900" w:h="16838" w:orient="portrait"/>
          <w:cols w:equalWidth="0" w:num="2">
            <w:col w:w="6980" w:space="140"/>
            <w:col w:w="4060"/>
          </w:cols>
          <w:pgMar w:left="340" w:top="1440" w:right="379" w:bottom="1440" w:gutter="0" w:footer="0" w:header="0"/>
          <w:type w:val="continuous"/>
        </w:sectPr>
      </w:pPr>
    </w:p>
    <w:bookmarkStart w:id="364" w:name="page365"/>
    <w:bookmarkEnd w:id="364"/>
    <w:p>
      <w:pPr>
        <w:spacing w:after="0" w:line="2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111"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Quorum</w:t>
      </w:r>
      <w:r>
        <w:rPr>
          <w:sz w:val="20"/>
          <w:szCs w:val="20"/>
          <w:color w:val="auto"/>
        </w:rPr>
        <w:tab/>
      </w:r>
      <w:r>
        <w:rPr>
          <w:rFonts w:ascii="Times New Roman" w:cs="Times New Roman" w:eastAsia="Times New Roman" w:hAnsi="Times New Roman"/>
          <w:sz w:val="18"/>
          <w:szCs w:val="18"/>
          <w:color w:val="auto"/>
        </w:rPr>
        <w:t>Subject to the provisions of a company’s articles of</w:t>
      </w:r>
    </w:p>
    <w:p>
      <w:pPr>
        <w:spacing w:after="0" w:line="31" w:lineRule="exact"/>
        <w:rPr>
          <w:sz w:val="20"/>
          <w:szCs w:val="20"/>
          <w:color w:val="auto"/>
        </w:rPr>
      </w:pPr>
    </w:p>
    <w:p>
      <w:pPr>
        <w:ind w:left="2900" w:right="100"/>
        <w:spacing w:after="0" w:line="258" w:lineRule="auto"/>
        <w:rPr>
          <w:sz w:val="20"/>
          <w:szCs w:val="20"/>
          <w:color w:val="auto"/>
        </w:rPr>
      </w:pPr>
      <w:r>
        <w:rPr>
          <w:rFonts w:ascii="Times New Roman" w:cs="Times New Roman" w:eastAsia="Times New Roman" w:hAnsi="Times New Roman"/>
          <w:sz w:val="18"/>
          <w:szCs w:val="18"/>
          <w:color w:val="auto"/>
        </w:rPr>
        <w:t>association, the Companies Act provides that two shareholders present at a meeting (in person, by proxy</w:t>
      </w:r>
    </w:p>
    <w:p>
      <w:pPr>
        <w:ind w:left="2900"/>
        <w:spacing w:after="0"/>
        <w:rPr>
          <w:sz w:val="20"/>
          <w:szCs w:val="20"/>
          <w:color w:val="auto"/>
        </w:rPr>
      </w:pPr>
      <w:r>
        <w:rPr>
          <w:rFonts w:ascii="Times New Roman" w:cs="Times New Roman" w:eastAsia="Times New Roman" w:hAnsi="Times New Roman"/>
          <w:sz w:val="18"/>
          <w:szCs w:val="18"/>
          <w:color w:val="auto"/>
        </w:rPr>
        <w:t>or authorized representative under the Companies Act)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shall constitute a quorum for companies with more than</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one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Proxy</w:t>
      </w:r>
      <w:r>
        <w:rPr>
          <w:sz w:val="20"/>
          <w:szCs w:val="20"/>
          <w:color w:val="auto"/>
        </w:rPr>
        <w:tab/>
      </w:r>
      <w:r>
        <w:rPr>
          <w:rFonts w:ascii="Times New Roman" w:cs="Times New Roman" w:eastAsia="Times New Roman" w:hAnsi="Times New Roman"/>
          <w:sz w:val="18"/>
          <w:szCs w:val="18"/>
          <w:color w:val="auto"/>
        </w:rPr>
        <w:t>Under the Companies Act, at any meeting of</w:t>
      </w:r>
    </w:p>
    <w:p>
      <w:pPr>
        <w:spacing w:after="0" w:line="31" w:lineRule="exact"/>
        <w:rPr>
          <w:sz w:val="20"/>
          <w:szCs w:val="20"/>
          <w:color w:val="auto"/>
        </w:rPr>
      </w:pPr>
    </w:p>
    <w:p>
      <w:pPr>
        <w:ind w:left="2900" w:right="40"/>
        <w:spacing w:after="0" w:line="258" w:lineRule="auto"/>
        <w:rPr>
          <w:sz w:val="20"/>
          <w:szCs w:val="20"/>
          <w:color w:val="auto"/>
        </w:rPr>
      </w:pPr>
      <w:r>
        <w:rPr>
          <w:rFonts w:ascii="Times New Roman" w:cs="Times New Roman" w:eastAsia="Times New Roman" w:hAnsi="Times New Roman"/>
          <w:sz w:val="18"/>
          <w:szCs w:val="18"/>
          <w:color w:val="auto"/>
        </w:rPr>
        <w:t>shareholders, a shareholder may designate another person to attend, speak and vote at the meeting on their</w:t>
      </w:r>
    </w:p>
    <w:p>
      <w:pPr>
        <w:jc w:val="center"/>
        <w:ind w:left="60"/>
        <w:spacing w:after="0"/>
        <w:rPr>
          <w:sz w:val="20"/>
          <w:szCs w:val="20"/>
          <w:color w:val="auto"/>
        </w:rPr>
      </w:pPr>
      <w:r>
        <w:rPr>
          <w:rFonts w:ascii="Times New Roman" w:cs="Times New Roman" w:eastAsia="Times New Roman" w:hAnsi="Times New Roman"/>
          <w:sz w:val="18"/>
          <w:szCs w:val="18"/>
          <w:color w:val="auto"/>
        </w:rPr>
        <w:t>behalf by proxy.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1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78" w:lineRule="exact"/>
        <w:rPr>
          <w:sz w:val="20"/>
          <w:szCs w:val="20"/>
          <w:color w:val="auto"/>
        </w:rPr>
      </w:pPr>
    </w:p>
    <w:p>
      <w:pPr>
        <w:sectPr>
          <w:pgSz w:w="11900" w:h="16838" w:orient="portrait"/>
          <w:cols w:equalWidth="0" w:num="2">
            <w:col w:w="6920" w:space="200"/>
            <w:col w:w="4060"/>
          </w:cols>
          <w:pgMar w:left="340" w:top="1440" w:right="379" w:bottom="1440" w:gutter="0" w:footer="0" w:header="0"/>
        </w:sect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Preemptive Rights</w:t>
      </w:r>
      <w:r>
        <w:rPr>
          <w:sz w:val="20"/>
          <w:szCs w:val="20"/>
          <w:color w:val="auto"/>
        </w:rPr>
        <w:tab/>
      </w:r>
      <w:r>
        <w:rPr>
          <w:rFonts w:ascii="Times New Roman" w:cs="Times New Roman" w:eastAsia="Times New Roman" w:hAnsi="Times New Roman"/>
          <w:sz w:val="18"/>
          <w:szCs w:val="18"/>
          <w:color w:val="auto"/>
        </w:rPr>
        <w:t>Under the Companies Act, “equity securities,” being (a)</w:t>
      </w:r>
    </w:p>
    <w:p>
      <w:pPr>
        <w:spacing w:after="0" w:line="31" w:lineRule="exact"/>
        <w:rPr>
          <w:sz w:val="20"/>
          <w:szCs w:val="20"/>
          <w:color w:val="auto"/>
        </w:rPr>
      </w:pPr>
    </w:p>
    <w:p>
      <w:pPr>
        <w:ind w:left="2900" w:right="480"/>
        <w:spacing w:after="0" w:line="258" w:lineRule="auto"/>
        <w:rPr>
          <w:sz w:val="20"/>
          <w:szCs w:val="20"/>
          <w:color w:val="auto"/>
        </w:rPr>
      </w:pPr>
      <w:r>
        <w:rPr>
          <w:rFonts w:ascii="Times New Roman" w:cs="Times New Roman" w:eastAsia="Times New Roman" w:hAnsi="Times New Roman"/>
          <w:sz w:val="18"/>
          <w:szCs w:val="18"/>
          <w:color w:val="auto"/>
        </w:rPr>
        <w:t>shares in the company other than shares that, with respect to dividends and capital, carry a right to</w:t>
      </w:r>
    </w:p>
    <w:p>
      <w:pPr>
        <w:ind w:left="2900"/>
        <w:spacing w:after="0"/>
        <w:rPr>
          <w:sz w:val="20"/>
          <w:szCs w:val="20"/>
          <w:color w:val="auto"/>
        </w:rPr>
      </w:pPr>
      <w:r>
        <w:rPr>
          <w:rFonts w:ascii="Times New Roman" w:cs="Times New Roman" w:eastAsia="Times New Roman" w:hAnsi="Times New Roman"/>
          <w:sz w:val="18"/>
          <w:szCs w:val="18"/>
          <w:color w:val="auto"/>
        </w:rPr>
        <w:t>participate only up to a specified amount in a</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distribution, referred to as “ordinary shares,” or (b)</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rights to subscribe for, or to convert securities into,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ordinary shares, proposed to be allotted for cash must be</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offered first to the existing holders of equity shares in</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the company in proportion to the respective nominal</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value of their holdings, unless an exception applies or a</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special resolution to the contrary has been passed by</w:t>
      </w:r>
    </w:p>
    <w:p>
      <w:pPr>
        <w:spacing w:after="0" w:line="23" w:lineRule="exact"/>
        <w:rPr>
          <w:sz w:val="20"/>
          <w:szCs w:val="20"/>
          <w:color w:val="auto"/>
        </w:rPr>
      </w:pPr>
    </w:p>
    <w:p>
      <w:pPr>
        <w:ind w:left="2900" w:right="180"/>
        <w:spacing w:after="0" w:line="271" w:lineRule="auto"/>
        <w:rPr>
          <w:sz w:val="20"/>
          <w:szCs w:val="20"/>
          <w:color w:val="auto"/>
        </w:rPr>
      </w:pPr>
      <w:r>
        <w:rPr>
          <w:rFonts w:ascii="Times New Roman" w:cs="Times New Roman" w:eastAsia="Times New Roman" w:hAnsi="Times New Roman"/>
          <w:sz w:val="18"/>
          <w:szCs w:val="18"/>
          <w:color w:val="auto"/>
        </w:rPr>
        <w:t>shareholders in a general meeting or the articles of association provide otherwise in each case in accordance with the provisions of the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Times New Roman" w:cs="Times New Roman" w:eastAsia="Times New Roman" w:hAnsi="Times New Roman"/>
          <w:sz w:val="18"/>
          <w:szCs w:val="18"/>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980" w:space="140"/>
            <w:col w:w="4060"/>
          </w:cols>
          <w:pgMar w:left="340" w:top="1440" w:right="379" w:bottom="1440" w:gutter="0" w:footer="0" w:header="0"/>
          <w:type w:val="continuous"/>
        </w:sectPr>
      </w:pPr>
    </w:p>
    <w:bookmarkStart w:id="365" w:name="page366"/>
    <w:bookmarkEnd w:id="365"/>
    <w:p>
      <w:pPr>
        <w:spacing w:after="0" w:line="2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111"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Authority to Allot</w:t>
      </w:r>
      <w:r>
        <w:rPr>
          <w:sz w:val="20"/>
          <w:szCs w:val="20"/>
          <w:color w:val="auto"/>
        </w:rPr>
        <w:tab/>
      </w:r>
      <w:r>
        <w:rPr>
          <w:rFonts w:ascii="Times New Roman" w:cs="Times New Roman" w:eastAsia="Times New Roman" w:hAnsi="Times New Roman"/>
          <w:sz w:val="18"/>
          <w:szCs w:val="18"/>
          <w:color w:val="auto"/>
        </w:rPr>
        <w:t>Under the Companies Act, the directors of a company</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must not allot shares or grant rights to subscribe for or</w:t>
      </w:r>
    </w:p>
    <w:p>
      <w:pPr>
        <w:spacing w:after="0" w:line="2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to convert any security into shares unless an exception</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applies or an ordinary resolution to the contrary has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been passed by shareholders in a general meeting or the</w:t>
      </w:r>
    </w:p>
    <w:p>
      <w:pPr>
        <w:spacing w:after="0" w:line="23" w:lineRule="exact"/>
        <w:rPr>
          <w:sz w:val="20"/>
          <w:szCs w:val="20"/>
          <w:color w:val="auto"/>
        </w:rPr>
      </w:pPr>
    </w:p>
    <w:p>
      <w:pPr>
        <w:ind w:left="2900" w:right="20"/>
        <w:spacing w:after="0" w:line="276" w:lineRule="auto"/>
        <w:rPr>
          <w:sz w:val="20"/>
          <w:szCs w:val="20"/>
          <w:color w:val="auto"/>
        </w:rPr>
      </w:pPr>
      <w:r>
        <w:rPr>
          <w:rFonts w:ascii="Times New Roman" w:cs="Times New Roman" w:eastAsia="Times New Roman" w:hAnsi="Times New Roman"/>
          <w:sz w:val="18"/>
          <w:szCs w:val="18"/>
          <w:color w:val="auto"/>
        </w:rPr>
        <w:t>articles of association provide otherwise in each case in accordance with the provisions of the Companies Act.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Under Delaware law, the board of directors or, if the certificate of incorporation so provides, the stockholders have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70" w:lineRule="exact"/>
        <w:rPr>
          <w:sz w:val="20"/>
          <w:szCs w:val="20"/>
          <w:color w:val="auto"/>
        </w:rPr>
      </w:pPr>
    </w:p>
    <w:p>
      <w:pPr>
        <w:sectPr>
          <w:pgSz w:w="11900" w:h="16838" w:orient="portrait"/>
          <w:cols w:equalWidth="0" w:num="2">
            <w:col w:w="6920" w:space="200"/>
            <w:col w:w="4060"/>
          </w:cols>
          <w:pgMar w:left="340" w:top="1440" w:right="379" w:bottom="1440" w:gutter="0" w:footer="0" w:header="0"/>
        </w:sectPr>
      </w:pPr>
    </w:p>
    <w:p>
      <w:pPr>
        <w:ind w:left="2900" w:hanging="2901"/>
        <w:spacing w:after="0" w:line="255" w:lineRule="auto"/>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Liability of Directors and Officers</w:t>
      </w:r>
      <w:r>
        <w:rPr>
          <w:sz w:val="20"/>
          <w:szCs w:val="20"/>
          <w:color w:val="auto"/>
        </w:rPr>
        <w:tab/>
      </w:r>
      <w:r>
        <w:rPr>
          <w:rFonts w:ascii="Times New Roman" w:cs="Times New Roman" w:eastAsia="Times New Roman" w:hAnsi="Times New Roman"/>
          <w:sz w:val="18"/>
          <w:szCs w:val="18"/>
          <w:color w:val="auto"/>
        </w:rPr>
        <w:t>Under the Companies Act, any provision, whether contained in a company’s articles of association or any contract or otherwise, that purports to exempt a director of a company, to any extent, from any liability that would otherwise attach to him or her in connection with any negligence, default, breach of duty or breach of trust in relation to the company is void.</w:t>
      </w:r>
    </w:p>
    <w:p>
      <w:pPr>
        <w:spacing w:after="0" w:line="85" w:lineRule="exact"/>
        <w:rPr>
          <w:sz w:val="20"/>
          <w:szCs w:val="20"/>
          <w:color w:val="auto"/>
        </w:rPr>
      </w:pPr>
    </w:p>
    <w:p>
      <w:pPr>
        <w:ind w:left="2900" w:right="20"/>
        <w:spacing w:after="0" w:line="252" w:lineRule="auto"/>
        <w:rPr>
          <w:sz w:val="20"/>
          <w:szCs w:val="20"/>
          <w:color w:val="auto"/>
        </w:rPr>
      </w:pPr>
      <w:r>
        <w:rPr>
          <w:rFonts w:ascii="Times New Roman" w:cs="Times New Roman" w:eastAsia="Times New Roman" w:hAnsi="Times New Roman"/>
          <w:sz w:val="18"/>
          <w:szCs w:val="18"/>
          <w:color w:val="auto"/>
        </w:rPr>
        <w:t>Any provision by which a company directly or indirectly provides an indemnity, to any extent, for a director of the company or of an associated company against any liability attaching to him or her in connection with any negligence, default, breach of duty or breach of trust in relation to the company of which he or she is a director is also void except as permitted by the Companies Act,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or she is convicted); and (c) provide a “qualifying pension scheme indemnity” (being an indemnity against liability incurred in connection with activities as trustee of an occupational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to the corporation and its stockholders for monetary damages arising from a breach of fiduciary duty as a director. However, no provision can limit the liability of a director for:</w:t>
      </w:r>
    </w:p>
    <w:p>
      <w:pPr>
        <w:spacing w:after="0" w:line="94" w:lineRule="exact"/>
        <w:rPr>
          <w:sz w:val="20"/>
          <w:szCs w:val="20"/>
          <w:color w:val="auto"/>
        </w:rPr>
      </w:pPr>
    </w:p>
    <w:p>
      <w:pPr>
        <w:ind w:left="640" w:right="160" w:hanging="316"/>
        <w:spacing w:after="0" w:line="297" w:lineRule="auto"/>
        <w:tabs>
          <w:tab w:leader="none" w:pos="63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76" w:lineRule="exact"/>
        <w:rPr>
          <w:rFonts w:ascii="Times New Roman" w:cs="Times New Roman" w:eastAsia="Times New Roman" w:hAnsi="Times New Roman"/>
          <w:sz w:val="18"/>
          <w:szCs w:val="18"/>
          <w:color w:val="auto"/>
        </w:rPr>
      </w:pPr>
    </w:p>
    <w:p>
      <w:pPr>
        <w:ind w:left="640" w:right="180" w:hanging="316"/>
        <w:spacing w:after="0" w:line="289" w:lineRule="auto"/>
        <w:tabs>
          <w:tab w:leader="none" w:pos="63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 acts or omissions not in good faith or that involve intentional misconduct or a knowing violation of law;</w:t>
      </w:r>
    </w:p>
    <w:p>
      <w:pPr>
        <w:spacing w:after="0" w:line="183" w:lineRule="exact"/>
        <w:rPr>
          <w:rFonts w:ascii="Times New Roman" w:cs="Times New Roman" w:eastAsia="Times New Roman" w:hAnsi="Times New Roman"/>
          <w:sz w:val="18"/>
          <w:szCs w:val="18"/>
          <w:color w:val="auto"/>
        </w:rPr>
      </w:pPr>
    </w:p>
    <w:p>
      <w:pPr>
        <w:jc w:val="both"/>
        <w:ind w:left="640" w:right="160" w:hanging="316"/>
        <w:spacing w:after="0" w:line="289" w:lineRule="auto"/>
        <w:tabs>
          <w:tab w:leader="none" w:pos="63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 intentional or negligent payment of unlawful dividends or stock purchases or redemptions; or</w:t>
      </w:r>
    </w:p>
    <w:p>
      <w:pPr>
        <w:spacing w:after="0" w:line="183" w:lineRule="exact"/>
        <w:rPr>
          <w:rFonts w:ascii="Times New Roman" w:cs="Times New Roman" w:eastAsia="Times New Roman" w:hAnsi="Times New Roman"/>
          <w:sz w:val="18"/>
          <w:szCs w:val="18"/>
          <w:color w:val="auto"/>
        </w:rPr>
      </w:pPr>
    </w:p>
    <w:p>
      <w:pPr>
        <w:ind w:left="640" w:hanging="316"/>
        <w:spacing w:after="0" w:line="313" w:lineRule="auto"/>
        <w:tabs>
          <w:tab w:leader="none" w:pos="63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transaction from which the director derives an improper personal benefit.</w:t>
      </w:r>
    </w:p>
    <w:p>
      <w:pPr>
        <w:sectPr>
          <w:pgSz w:w="11900" w:h="16838" w:orient="portrait"/>
          <w:cols w:equalWidth="0" w:num="2">
            <w:col w:w="7000" w:space="120"/>
            <w:col w:w="4060"/>
          </w:cols>
          <w:pgMar w:left="340" w:top="1440" w:right="379" w:bottom="1440" w:gutter="0" w:footer="0" w:header="0"/>
          <w:type w:val="continuous"/>
        </w:sectPr>
      </w:pPr>
    </w:p>
    <w:bookmarkStart w:id="366" w:name="page367"/>
    <w:bookmarkEnd w:id="366"/>
    <w:p>
      <w:pPr>
        <w:spacing w:after="0" w:line="2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111"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Voting Rights</w:t>
      </w:r>
      <w:r>
        <w:rPr>
          <w:sz w:val="20"/>
          <w:szCs w:val="20"/>
          <w:color w:val="auto"/>
        </w:rPr>
        <w:tab/>
      </w:r>
      <w:r>
        <w:rPr>
          <w:rFonts w:ascii="Times New Roman" w:cs="Times New Roman" w:eastAsia="Times New Roman" w:hAnsi="Times New Roman"/>
          <w:sz w:val="18"/>
          <w:szCs w:val="18"/>
          <w:color w:val="auto"/>
        </w:rPr>
        <w:t>Unless a poll is demanded by the shareholders of a</w:t>
      </w:r>
    </w:p>
    <w:p>
      <w:pPr>
        <w:spacing w:after="0" w:line="31" w:lineRule="exact"/>
        <w:rPr>
          <w:sz w:val="20"/>
          <w:szCs w:val="20"/>
          <w:color w:val="auto"/>
        </w:rPr>
      </w:pPr>
    </w:p>
    <w:p>
      <w:pPr>
        <w:ind w:left="2900"/>
        <w:spacing w:after="0" w:line="251" w:lineRule="auto"/>
        <w:rPr>
          <w:sz w:val="20"/>
          <w:szCs w:val="20"/>
          <w:color w:val="auto"/>
        </w:rPr>
      </w:pPr>
      <w:r>
        <w:rPr>
          <w:rFonts w:ascii="Times New Roman" w:cs="Times New Roman" w:eastAsia="Times New Roman" w:hAnsi="Times New Roman"/>
          <w:sz w:val="18"/>
          <w:szCs w:val="18"/>
          <w:color w:val="auto"/>
        </w:rPr>
        <w:t>company or is required by the chairman of the meeting or the company’s articles of association, shareholders shall vote on all resolutions on a show of hands. Under the Companies Act,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p>
      <w:pPr>
        <w:spacing w:after="0" w:line="82" w:lineRule="exact"/>
        <w:rPr>
          <w:sz w:val="20"/>
          <w:szCs w:val="20"/>
          <w:color w:val="auto"/>
        </w:rPr>
      </w:pPr>
    </w:p>
    <w:p>
      <w:pPr>
        <w:ind w:left="2900"/>
        <w:spacing w:after="0" w:line="254" w:lineRule="auto"/>
        <w:rPr>
          <w:sz w:val="20"/>
          <w:szCs w:val="20"/>
          <w:color w:val="auto"/>
        </w:rPr>
      </w:pPr>
      <w:r>
        <w:rPr>
          <w:rFonts w:ascii="Times New Roman" w:cs="Times New Roman" w:eastAsia="Times New Roman" w:hAnsi="Times New Roman"/>
          <w:sz w:val="18"/>
          <w:szCs w:val="18"/>
          <w:color w:val="auto"/>
        </w:rPr>
        <w:t>Under the laws of England and Wales,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w:t>
      </w:r>
    </w:p>
    <w:p>
      <w:pPr>
        <w:spacing w:after="0" w:line="80" w:lineRule="exact"/>
        <w:rPr>
          <w:sz w:val="20"/>
          <w:szCs w:val="20"/>
          <w:color w:val="auto"/>
        </w:rPr>
      </w:pPr>
    </w:p>
    <w:p>
      <w:pPr>
        <w:ind w:left="2900" w:right="40"/>
        <w:spacing w:after="0" w:line="254" w:lineRule="auto"/>
        <w:rPr>
          <w:sz w:val="20"/>
          <w:szCs w:val="20"/>
          <w:color w:val="auto"/>
        </w:rPr>
      </w:pPr>
      <w:r>
        <w:rPr>
          <w:rFonts w:ascii="Times New Roman" w:cs="Times New Roman" w:eastAsia="Times New Roman" w:hAnsi="Times New Roman"/>
          <w:sz w:val="18"/>
          <w:szCs w:val="18"/>
          <w:color w:val="auto"/>
        </w:rPr>
        <w:t>On a show of hands, special resolutions require the affirmative vote of not less than 75% of the votes cast by shareholders present, in person or by proxy, at the meeting. If a poll is demanded, a special resolution is passed if it is approved by holders representing not less than 75% of the total voting rights of shareholders present in person or by proxy who, being entitled to vote, vote on the resolution.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each stockholder is entitled to one vote for each share of capital stock held by such stockholder.</w:t>
      </w:r>
    </w:p>
    <w:p>
      <w:pPr>
        <w:spacing w:after="0" w:line="7065" w:lineRule="exact"/>
        <w:rPr>
          <w:sz w:val="20"/>
          <w:szCs w:val="20"/>
          <w:color w:val="auto"/>
        </w:rPr>
      </w:pPr>
    </w:p>
    <w:p>
      <w:pPr>
        <w:sectPr>
          <w:pgSz w:w="11900" w:h="16838" w:orient="portrait"/>
          <w:cols w:equalWidth="0" w:num="2">
            <w:col w:w="6940" w:space="180"/>
            <w:col w:w="3940"/>
          </w:cols>
          <w:pgMar w:left="34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40" w:top="1440" w:right="499" w:bottom="1440" w:gutter="0" w:footer="0" w:header="0"/>
          <w:type w:val="continuous"/>
        </w:sectPr>
      </w:pPr>
    </w:p>
    <w:bookmarkStart w:id="367" w:name="page368"/>
    <w:bookmarkEnd w:id="367"/>
    <w:p>
      <w:pPr>
        <w:spacing w:after="0" w:line="255" w:lineRule="exact"/>
        <w:rPr>
          <w:sz w:val="20"/>
          <w:szCs w:val="20"/>
          <w:color w:val="auto"/>
        </w:rPr>
      </w:pPr>
    </w:p>
    <w:p>
      <w:pPr>
        <w:ind w:left="436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14"/>
          <w:szCs w:val="14"/>
          <w:b w:val="1"/>
          <w:bCs w:val="1"/>
          <w:color w:val="auto"/>
        </w:rPr>
        <w:t>Delaware</w:t>
      </w:r>
    </w:p>
    <w:p>
      <w:pPr>
        <w:sectPr>
          <w:pgSz w:w="11900" w:h="16838" w:orient="portrait"/>
          <w:cols w:equalWidth="0" w:num="1">
            <w:col w:w="11200"/>
          </w:cols>
          <w:pgMar w:left="340" w:top="1440" w:right="359" w:bottom="1440" w:gutter="0" w:footer="0" w:header="0"/>
        </w:sectPr>
      </w:pPr>
    </w:p>
    <w:p>
      <w:pPr>
        <w:spacing w:after="0" w:line="111"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Shareholder Vote on Certain</w:t>
      </w:r>
      <w:r>
        <w:rPr>
          <w:sz w:val="20"/>
          <w:szCs w:val="20"/>
          <w:color w:val="auto"/>
        </w:rPr>
        <w:tab/>
      </w:r>
      <w:r>
        <w:rPr>
          <w:rFonts w:ascii="Times New Roman" w:cs="Times New Roman" w:eastAsia="Times New Roman" w:hAnsi="Times New Roman"/>
          <w:sz w:val="18"/>
          <w:szCs w:val="18"/>
          <w:color w:val="auto"/>
        </w:rPr>
        <w:t>The Companies Act provides for schemes of</w:t>
      </w:r>
    </w:p>
    <w:p>
      <w:pPr>
        <w:spacing w:after="0" w:line="31"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Transactions</w:t>
      </w:r>
      <w:r>
        <w:rPr>
          <w:sz w:val="20"/>
          <w:szCs w:val="20"/>
          <w:color w:val="auto"/>
        </w:rPr>
        <w:tab/>
      </w:r>
      <w:r>
        <w:rPr>
          <w:rFonts w:ascii="Times New Roman" w:cs="Times New Roman" w:eastAsia="Times New Roman" w:hAnsi="Times New Roman"/>
          <w:sz w:val="18"/>
          <w:szCs w:val="18"/>
          <w:color w:val="auto"/>
        </w:rPr>
        <w:t>arrangement, which are arrangements or compromises</w:t>
      </w:r>
    </w:p>
    <w:p>
      <w:pPr>
        <w:spacing w:after="0" w:line="1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between a company and any class of shareholders or</w:t>
      </w:r>
    </w:p>
    <w:p>
      <w:pPr>
        <w:spacing w:after="0" w:line="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creditors and used in certain types of reconstructions,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amalgamations, capital reorganizations, or takeovers.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These arrangements require:</w:t>
      </w:r>
    </w:p>
    <w:p>
      <w:pPr>
        <w:spacing w:after="0" w:line="112" w:lineRule="exact"/>
        <w:rPr>
          <w:sz w:val="20"/>
          <w:szCs w:val="20"/>
          <w:color w:val="auto"/>
        </w:rPr>
      </w:pPr>
    </w:p>
    <w:p>
      <w:pPr>
        <w:ind w:left="3240"/>
        <w:spacing w:after="0"/>
        <w:tabs>
          <w:tab w:leader="none" w:pos="3540" w:val="left"/>
        </w:tabs>
        <w:rPr>
          <w:sz w:val="20"/>
          <w:szCs w:val="20"/>
          <w:color w:val="auto"/>
        </w:rPr>
      </w:pPr>
      <w:r>
        <w:rPr>
          <w:rFonts w:ascii="Times New Roman" w:cs="Times New Roman" w:eastAsia="Times New Roman" w:hAnsi="Times New Roman"/>
          <w:sz w:val="18"/>
          <w:szCs w:val="18"/>
          <w:color w:val="auto"/>
        </w:rPr>
        <w:t>•</w:t>
        <w:tab/>
        <w:t>the approval at a shareholders’ or creditors’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meeting convened by order of the court, of a</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majority in number of shareholders or creditors</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or a class thereof representing 75% in value of</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capital held by, or debt owed to, the class of</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shareholders or creditors, or class thereof,</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respectively, present and voting, either in</w:t>
      </w:r>
    </w:p>
    <w:p>
      <w:pPr>
        <w:spacing w:after="0" w:line="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person or by proxy; and</w:t>
      </w:r>
    </w:p>
    <w:p>
      <w:pPr>
        <w:spacing w:after="0" w:line="247" w:lineRule="exact"/>
        <w:rPr>
          <w:sz w:val="20"/>
          <w:szCs w:val="20"/>
          <w:color w:val="auto"/>
        </w:rPr>
      </w:pPr>
    </w:p>
    <w:p>
      <w:pPr>
        <w:ind w:left="3240"/>
        <w:spacing w:after="0"/>
        <w:tabs>
          <w:tab w:leader="none" w:pos="3540" w:val="left"/>
        </w:tabs>
        <w:rPr>
          <w:sz w:val="20"/>
          <w:szCs w:val="20"/>
          <w:color w:val="auto"/>
        </w:rPr>
      </w:pPr>
      <w:r>
        <w:rPr>
          <w:rFonts w:ascii="Times New Roman" w:cs="Times New Roman" w:eastAsia="Times New Roman" w:hAnsi="Times New Roman"/>
          <w:sz w:val="18"/>
          <w:szCs w:val="18"/>
          <w:color w:val="auto"/>
        </w:rPr>
        <w:t>•</w:t>
        <w:tab/>
        <w:t>the approval of the court.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900" w:right="160" w:hanging="2901"/>
        <w:spacing w:after="0" w:line="266" w:lineRule="auto"/>
        <w:tabs>
          <w:tab w:leader="none" w:pos="2880" w:val="left"/>
        </w:tabs>
        <w:rPr>
          <w:sz w:val="20"/>
          <w:szCs w:val="20"/>
          <w:color w:val="auto"/>
        </w:rPr>
      </w:pPr>
      <w:r>
        <w:rPr>
          <w:rFonts w:ascii="Times New Roman" w:cs="Times New Roman" w:eastAsia="Times New Roman" w:hAnsi="Times New Roman"/>
          <w:sz w:val="18"/>
          <w:szCs w:val="18"/>
          <w:b w:val="1"/>
          <w:bCs w:val="1"/>
          <w:i w:val="1"/>
          <w:iCs w:val="1"/>
          <w:color w:val="auto"/>
        </w:rPr>
        <w:t>Standard of Conduct for Directors</w:t>
      </w:r>
      <w:r>
        <w:rPr>
          <w:sz w:val="20"/>
          <w:szCs w:val="20"/>
          <w:color w:val="auto"/>
        </w:rPr>
        <w:tab/>
      </w:r>
      <w:r>
        <w:rPr>
          <w:rFonts w:ascii="Times New Roman" w:cs="Times New Roman" w:eastAsia="Times New Roman" w:hAnsi="Times New Roman"/>
          <w:sz w:val="18"/>
          <w:szCs w:val="18"/>
          <w:color w:val="auto"/>
        </w:rPr>
        <w:t>Under the laws of England and Wales, a director owes various statutory and fiduciary duties to a company, including:</w:t>
      </w:r>
    </w:p>
    <w:p>
      <w:pPr>
        <w:spacing w:after="0" w:line="85" w:lineRule="exact"/>
        <w:rPr>
          <w:sz w:val="20"/>
          <w:szCs w:val="20"/>
          <w:color w:val="auto"/>
        </w:rPr>
      </w:pPr>
    </w:p>
    <w:p>
      <w:pPr>
        <w:ind w:left="3560" w:hanging="328"/>
        <w:spacing w:after="0" w:line="288" w:lineRule="auto"/>
        <w:tabs>
          <w:tab w:leader="none" w:pos="355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act in the way he or she considers, in good faith, would be most likely to promote the success of the company for the benefit of its members as a whole, and in doing so have regard (amongst other matters) to: (a) the likely consequences of any decision in the long-term,</w:t>
      </w:r>
    </w:p>
    <w:p>
      <w:pPr>
        <w:spacing w:after="0" w:line="1" w:lineRule="exact"/>
        <w:rPr>
          <w:rFonts w:ascii="Times New Roman" w:cs="Times New Roman" w:eastAsia="Times New Roman" w:hAnsi="Times New Roman"/>
          <w:sz w:val="17"/>
          <w:szCs w:val="17"/>
          <w:color w:val="auto"/>
        </w:rPr>
      </w:pPr>
    </w:p>
    <w:p>
      <w:pPr>
        <w:ind w:left="3820" w:hanging="264"/>
        <w:spacing w:after="0"/>
        <w:tabs>
          <w:tab w:leader="none" w:pos="382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company’s employees,</w:t>
      </w:r>
    </w:p>
    <w:p>
      <w:pPr>
        <w:spacing w:after="0" w:line="22" w:lineRule="exact"/>
        <w:rPr>
          <w:rFonts w:ascii="Times New Roman" w:cs="Times New Roman" w:eastAsia="Times New Roman" w:hAnsi="Times New Roman"/>
          <w:sz w:val="18"/>
          <w:szCs w:val="18"/>
          <w:color w:val="auto"/>
        </w:rPr>
      </w:pPr>
    </w:p>
    <w:p>
      <w:pPr>
        <w:ind w:left="3560" w:right="200" w:hanging="4"/>
        <w:spacing w:after="0" w:line="280" w:lineRule="auto"/>
        <w:tabs>
          <w:tab w:leader="none" w:pos="3805"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foster the company’s business relationships with suppliers, customers and others, (d) the impact of the company’s operations on the community and the environment, (e)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89" w:lineRule="exact"/>
        <w:rPr>
          <w:sz w:val="20"/>
          <w:szCs w:val="20"/>
          <w:color w:val="auto"/>
        </w:rPr>
      </w:pPr>
    </w:p>
    <w:p>
      <w:pPr>
        <w:ind w:left="640" w:hanging="316"/>
        <w:spacing w:after="0"/>
        <w:tabs>
          <w:tab w:leader="none" w:pos="6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board of directors; and</w:t>
      </w:r>
    </w:p>
    <w:p>
      <w:pPr>
        <w:spacing w:after="0" w:line="238" w:lineRule="exact"/>
        <w:rPr>
          <w:rFonts w:ascii="Times New Roman" w:cs="Times New Roman" w:eastAsia="Times New Roman" w:hAnsi="Times New Roman"/>
          <w:sz w:val="18"/>
          <w:szCs w:val="18"/>
          <w:color w:val="auto"/>
        </w:rPr>
      </w:pPr>
    </w:p>
    <w:p>
      <w:pPr>
        <w:ind w:left="640" w:right="160" w:hanging="316"/>
        <w:spacing w:after="0" w:line="284" w:lineRule="auto"/>
        <w:tabs>
          <w:tab w:leader="none" w:pos="63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ectPr>
          <w:pgSz w:w="11900" w:h="16838" w:orient="portrait"/>
          <w:cols w:equalWidth="0" w:num="2">
            <w:col w:w="6980" w:space="140"/>
            <w:col w:w="4080"/>
          </w:cols>
          <w:pgMar w:left="340" w:top="1440" w:right="359" w:bottom="1440" w:gutter="0" w:footer="0" w:header="0"/>
          <w:type w:val="continuous"/>
        </w:sectPr>
      </w:pPr>
    </w:p>
    <w:bookmarkStart w:id="368" w:name="page369"/>
    <w:bookmarkEnd w:id="368"/>
    <w:p>
      <w:pPr>
        <w:spacing w:after="0" w:line="255" w:lineRule="exact"/>
        <w:rPr>
          <w:sz w:val="20"/>
          <w:szCs w:val="20"/>
          <w:color w:val="auto"/>
        </w:rPr>
      </w:pPr>
    </w:p>
    <w:p>
      <w:pPr>
        <w:ind w:left="324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England and Wales</w:t>
      </w:r>
      <w:r>
        <w:rPr>
          <w:sz w:val="20"/>
          <w:szCs w:val="20"/>
          <w:color w:val="auto"/>
        </w:rPr>
        <w:tab/>
      </w:r>
      <w:r>
        <w:rPr>
          <w:rFonts w:ascii="Times New Roman" w:cs="Times New Roman" w:eastAsia="Times New Roman" w:hAnsi="Times New Roman"/>
          <w:sz w:val="14"/>
          <w:szCs w:val="14"/>
          <w:b w:val="1"/>
          <w:bCs w:val="1"/>
          <w:color w:val="auto"/>
        </w:rPr>
        <w:t>Delaware</w:t>
      </w:r>
    </w:p>
    <w:p>
      <w:pPr>
        <w:sectPr>
          <w:pgSz w:w="11900" w:h="16838" w:orient="portrait"/>
          <w:cols w:equalWidth="0" w:num="1">
            <w:col w:w="10100"/>
          </w:cols>
          <w:pgMar w:left="1440" w:top="1440" w:right="359" w:bottom="1440" w:gutter="0" w:footer="0" w:header="0"/>
        </w:sectPr>
      </w:pPr>
    </w:p>
    <w:p>
      <w:pPr>
        <w:spacing w:after="0" w:line="237" w:lineRule="exact"/>
        <w:rPr>
          <w:sz w:val="20"/>
          <w:szCs w:val="20"/>
          <w:color w:val="auto"/>
        </w:rPr>
      </w:pPr>
    </w:p>
    <w:p>
      <w:pPr>
        <w:ind w:left="2440" w:right="60"/>
        <w:spacing w:after="0" w:line="281" w:lineRule="auto"/>
        <w:rPr>
          <w:sz w:val="20"/>
          <w:szCs w:val="20"/>
          <w:color w:val="auto"/>
        </w:rPr>
      </w:pPr>
      <w:r>
        <w:rPr>
          <w:rFonts w:ascii="Times New Roman" w:cs="Times New Roman" w:eastAsia="Times New Roman" w:hAnsi="Times New Roman"/>
          <w:sz w:val="18"/>
          <w:szCs w:val="18"/>
          <w:color w:val="auto"/>
        </w:rPr>
        <w:t>desirability to maintain a reputation for high standards of business conduct, and (f) the need to act fairly as between members of the company;</w:t>
      </w:r>
    </w:p>
    <w:p>
      <w:pPr>
        <w:spacing w:after="0" w:line="178" w:lineRule="exact"/>
        <w:rPr>
          <w:sz w:val="20"/>
          <w:szCs w:val="20"/>
          <w:color w:val="auto"/>
        </w:rPr>
      </w:pPr>
    </w:p>
    <w:p>
      <w:pPr>
        <w:ind w:left="2440" w:right="180" w:hanging="321"/>
        <w:spacing w:after="0" w:line="281" w:lineRule="auto"/>
        <w:tabs>
          <w:tab w:leader="none" w:pos="24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a situation in which he or she has, or can have, a direct or indirect interest that conflicts, or possibly conflicts, with the interests of the company;</w:t>
      </w:r>
    </w:p>
    <w:p>
      <w:pPr>
        <w:spacing w:after="0" w:line="191" w:lineRule="exact"/>
        <w:rPr>
          <w:rFonts w:ascii="Times New Roman" w:cs="Times New Roman" w:eastAsia="Times New Roman" w:hAnsi="Times New Roman"/>
          <w:sz w:val="18"/>
          <w:szCs w:val="18"/>
          <w:color w:val="auto"/>
        </w:rPr>
      </w:pPr>
    </w:p>
    <w:p>
      <w:pPr>
        <w:ind w:left="2440" w:right="140" w:hanging="321"/>
        <w:spacing w:after="0" w:line="281" w:lineRule="auto"/>
        <w:tabs>
          <w:tab w:leader="none" w:pos="24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act in accordance with our constitution and only exercise his or her powers for the purposes for which they are conferred;</w:t>
      </w:r>
    </w:p>
    <w:p>
      <w:pPr>
        <w:spacing w:after="0" w:line="190" w:lineRule="exact"/>
        <w:rPr>
          <w:rFonts w:ascii="Times New Roman" w:cs="Times New Roman" w:eastAsia="Times New Roman" w:hAnsi="Times New Roman"/>
          <w:sz w:val="18"/>
          <w:szCs w:val="18"/>
          <w:color w:val="auto"/>
        </w:rPr>
      </w:pPr>
    </w:p>
    <w:p>
      <w:pPr>
        <w:ind w:left="2440" w:hanging="321"/>
        <w:spacing w:after="0"/>
        <w:tabs>
          <w:tab w:leader="none" w:pos="24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exercise independent judgment;</w:t>
      </w:r>
    </w:p>
    <w:p>
      <w:pPr>
        <w:spacing w:after="0" w:line="238" w:lineRule="exact"/>
        <w:rPr>
          <w:rFonts w:ascii="Times New Roman" w:cs="Times New Roman" w:eastAsia="Times New Roman" w:hAnsi="Times New Roman"/>
          <w:sz w:val="18"/>
          <w:szCs w:val="18"/>
          <w:color w:val="auto"/>
        </w:rPr>
      </w:pPr>
    </w:p>
    <w:p>
      <w:pPr>
        <w:ind w:left="2440" w:hanging="321"/>
        <w:spacing w:after="0"/>
        <w:tabs>
          <w:tab w:leader="none" w:pos="24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reasonable care, skill, and diligence;</w:t>
      </w:r>
    </w:p>
    <w:p>
      <w:pPr>
        <w:spacing w:after="0" w:line="238" w:lineRule="exact"/>
        <w:rPr>
          <w:rFonts w:ascii="Times New Roman" w:cs="Times New Roman" w:eastAsia="Times New Roman" w:hAnsi="Times New Roman"/>
          <w:sz w:val="18"/>
          <w:szCs w:val="18"/>
          <w:color w:val="auto"/>
        </w:rPr>
      </w:pPr>
    </w:p>
    <w:p>
      <w:pPr>
        <w:ind w:left="2440" w:right="220" w:hanging="321"/>
        <w:spacing w:after="0" w:line="281" w:lineRule="auto"/>
        <w:tabs>
          <w:tab w:leader="none" w:pos="24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accept benefits from a third party conferred by reason of his or her being a director or doing, or not doing, anything as a director; and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047" w:lineRule="exact"/>
        <w:rPr>
          <w:sz w:val="20"/>
          <w:szCs w:val="20"/>
          <w:color w:val="auto"/>
        </w:rPr>
      </w:pPr>
    </w:p>
    <w:p>
      <w:pPr>
        <w:sectPr>
          <w:pgSz w:w="11900" w:h="16838" w:orient="portrait"/>
          <w:cols w:equalWidth="0" w:num="2">
            <w:col w:w="5880" w:space="140"/>
            <w:col w:w="4080"/>
          </w:cols>
          <w:pgMar w:left="1440" w:top="1440" w:right="359" w:bottom="1440" w:gutter="0" w:footer="0" w:header="0"/>
          <w:type w:val="continuous"/>
        </w:sectPr>
      </w:pPr>
    </w:p>
    <w:p>
      <w:pPr>
        <w:ind w:left="2440" w:right="4240" w:hanging="321"/>
        <w:spacing w:after="0" w:line="281" w:lineRule="auto"/>
        <w:tabs>
          <w:tab w:leader="none" w:pos="24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declare any interest that he or she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00"/>
          </w:cols>
          <w:pgMar w:left="1440" w:top="1440" w:right="359" w:bottom="1440" w:gutter="0" w:footer="0" w:header="0"/>
          <w:type w:val="continuous"/>
        </w:sectPr>
      </w:pPr>
    </w:p>
    <w:bookmarkStart w:id="369" w:name="page370"/>
    <w:bookmarkEnd w:id="369"/>
    <w:p>
      <w:pPr>
        <w:spacing w:after="0" w:line="2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111" w:lineRule="exact"/>
        <w:rPr>
          <w:sz w:val="20"/>
          <w:szCs w:val="20"/>
          <w:color w:val="auto"/>
        </w:rPr>
      </w:pPr>
    </w:p>
    <w:p>
      <w:pPr>
        <w:ind w:left="20"/>
        <w:spacing w:after="0"/>
        <w:tabs>
          <w:tab w:leader="none" w:pos="2900" w:val="left"/>
        </w:tabs>
        <w:rPr>
          <w:sz w:val="20"/>
          <w:szCs w:val="20"/>
          <w:color w:val="auto"/>
        </w:rPr>
      </w:pPr>
      <w:r>
        <w:rPr>
          <w:rFonts w:ascii="Times New Roman" w:cs="Times New Roman" w:eastAsia="Times New Roman" w:hAnsi="Times New Roman"/>
          <w:sz w:val="18"/>
          <w:szCs w:val="18"/>
          <w:b w:val="1"/>
          <w:bCs w:val="1"/>
          <w:i w:val="1"/>
          <w:iCs w:val="1"/>
          <w:color w:val="auto"/>
        </w:rPr>
        <w:t>Shareholder Litigation</w:t>
      </w:r>
      <w:r>
        <w:rPr>
          <w:sz w:val="20"/>
          <w:szCs w:val="20"/>
          <w:color w:val="auto"/>
        </w:rPr>
        <w:tab/>
      </w:r>
      <w:r>
        <w:rPr>
          <w:rFonts w:ascii="Times New Roman" w:cs="Times New Roman" w:eastAsia="Times New Roman" w:hAnsi="Times New Roman"/>
          <w:sz w:val="17"/>
          <w:szCs w:val="17"/>
          <w:color w:val="auto"/>
        </w:rPr>
        <w:t>Under the laws of England and Wales, generally, the</w:t>
      </w:r>
    </w:p>
    <w:p>
      <w:pPr>
        <w:spacing w:after="0" w:line="31" w:lineRule="exact"/>
        <w:rPr>
          <w:sz w:val="20"/>
          <w:szCs w:val="20"/>
          <w:color w:val="auto"/>
        </w:rPr>
      </w:pPr>
    </w:p>
    <w:p>
      <w:pPr>
        <w:ind w:left="2920" w:right="140"/>
        <w:spacing w:after="0" w:line="253" w:lineRule="auto"/>
        <w:rPr>
          <w:sz w:val="20"/>
          <w:szCs w:val="20"/>
          <w:color w:val="auto"/>
        </w:rPr>
      </w:pPr>
      <w:r>
        <w:rPr>
          <w:rFonts w:ascii="Times New Roman" w:cs="Times New Roman" w:eastAsia="Times New Roman" w:hAnsi="Times New Roman"/>
          <w:sz w:val="18"/>
          <w:szCs w:val="18"/>
          <w:color w:val="auto"/>
        </w:rPr>
        <w:t>company, rather than its shareholders, is the proper claimant in an action in respect of a wrong done to the company or where there is an irregularity in the company’s internal management.</w:t>
      </w:r>
    </w:p>
    <w:p>
      <w:pPr>
        <w:spacing w:after="0" w:line="81" w:lineRule="exact"/>
        <w:rPr>
          <w:sz w:val="20"/>
          <w:szCs w:val="20"/>
          <w:color w:val="auto"/>
        </w:rPr>
      </w:pPr>
    </w:p>
    <w:p>
      <w:pPr>
        <w:ind w:left="2920"/>
        <w:spacing w:after="0" w:line="253" w:lineRule="auto"/>
        <w:rPr>
          <w:sz w:val="20"/>
          <w:szCs w:val="20"/>
          <w:color w:val="auto"/>
        </w:rPr>
      </w:pPr>
      <w:r>
        <w:rPr>
          <w:rFonts w:ascii="Times New Roman" w:cs="Times New Roman" w:eastAsia="Times New Roman" w:hAnsi="Times New Roman"/>
          <w:sz w:val="18"/>
          <w:szCs w:val="18"/>
          <w:color w:val="auto"/>
        </w:rPr>
        <w:t>Notwithstanding this general position, the Companies Act provides that (a) a court may allow a shareholder to bring a derivative claim (that is, an action in respect of and on behalf of the company) in respect of a cause of action arising from a director’s negligence, default, breach of duty or breach of trust; and (b) a shareholder may bring a claim for a court order where the company’s affairs have been or are being conducted in a manner that is unfairly prejudicial to some of its shareholders.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1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Delaware law, a stockholder may initiate a derivative action to enforce a right of a corporation if the corporation fails to enforce the right itself. The complaint must:</w:t>
      </w:r>
    </w:p>
    <w:p>
      <w:pPr>
        <w:spacing w:after="0" w:line="85" w:lineRule="exact"/>
        <w:rPr>
          <w:sz w:val="20"/>
          <w:szCs w:val="20"/>
          <w:color w:val="auto"/>
        </w:rPr>
      </w:pPr>
    </w:p>
    <w:p>
      <w:pPr>
        <w:ind w:left="640" w:right="140" w:hanging="316"/>
        <w:spacing w:after="0" w:line="277" w:lineRule="auto"/>
        <w:tabs>
          <w:tab w:leader="none" w:pos="6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96" w:lineRule="exact"/>
        <w:rPr>
          <w:rFonts w:ascii="Times New Roman" w:cs="Times New Roman" w:eastAsia="Times New Roman" w:hAnsi="Times New Roman"/>
          <w:sz w:val="18"/>
          <w:szCs w:val="18"/>
          <w:color w:val="auto"/>
        </w:rPr>
      </w:pPr>
    </w:p>
    <w:p>
      <w:pPr>
        <w:ind w:left="640" w:hanging="316"/>
        <w:spacing w:after="0" w:line="281" w:lineRule="auto"/>
        <w:tabs>
          <w:tab w:leader="none" w:pos="6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 allege with particularity the efforts made by the plaintiff to obtain the action the plaintiff desires from the directors and the reasons for the plaintiff’s failure to obtain the action; or</w:t>
      </w:r>
    </w:p>
    <w:p>
      <w:pPr>
        <w:spacing w:after="0" w:line="17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reasons for not making the effort.</w:t>
      </w:r>
    </w:p>
    <w:p>
      <w:pPr>
        <w:spacing w:after="0" w:line="200" w:lineRule="exact"/>
        <w:rPr>
          <w:sz w:val="20"/>
          <w:szCs w:val="20"/>
          <w:color w:val="auto"/>
        </w:rPr>
      </w:pPr>
    </w:p>
    <w:p>
      <w:pPr>
        <w:sectPr>
          <w:pgSz w:w="11900" w:h="16838" w:orient="portrait"/>
          <w:cols w:equalWidth="0" w:num="2">
            <w:col w:w="6980" w:space="160"/>
            <w:col w:w="4080"/>
          </w:cols>
          <w:pgMar w:left="320" w:top="1440" w:right="359" w:bottom="1440" w:gutter="0" w:footer="0" w:header="0"/>
        </w:sectPr>
      </w:pPr>
    </w:p>
    <w:p>
      <w:pPr>
        <w:spacing w:after="0" w:line="2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Additionally, the plaintiff must remain a stockholder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through the duration of the derivative suit. The action</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will not be dismissed or compromised without the</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approval of the Delaware Court of Chancery.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 keep the securities on deposit. In this case, the custodian is Citibank, N.A., London Branch, located at Citigroup Centre, Canada Square, Canary Wharf, London, E14 5LB, United Kingdom.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appointed Citibank as depositary pursuant to the deposit agreement.</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Below is a customary summary description of the material terms of the ADSs and of the material rights of holders of ADSs. Summaries by their nature lack the precision of the information summarized and that the rights and obligations of an owner of ADSs will be determined by reference to the terms of the deposit agreement and not by this summary. The portions of this summary description that are italicized describe matters that may be relevant to the ownership of ADSs but that may not be contained in the deposit agreement.</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ordinary share that is on deposit with the depositary and/or custodian. An ADS also represents the right to receive,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type w:val="continuous"/>
        </w:sectPr>
      </w:pPr>
    </w:p>
    <w:bookmarkStart w:id="370" w:name="page371"/>
    <w:bookmarkEnd w:id="370"/>
    <w:p>
      <w:pPr>
        <w:spacing w:after="0" w:line="19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of the U.S.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are required to take any actions whatsoever on your behalf to satisfy such reporting requirements or obtain such regulatory approvals under applicable laws and regulations.</w:t>
      </w:r>
    </w:p>
    <w:p>
      <w:pPr>
        <w:spacing w:after="0" w:line="7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The manner in which you own the ADSs (e.g., in a brokerage account vs. as registered holder, or as holder of certificated vs. uncertificated ADSs) may affect your rights and obligations, and the manner in which, and the extent to which, the depositary’s services are made available to you.</w:t>
      </w:r>
    </w:p>
    <w:p>
      <w:pPr>
        <w:spacing w:after="0" w:line="18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and, as such, we will refer to you as the “holder.” When we refer to “you,” we assume the reader owns ADSs and will own ADSs at the relevant time.</w:t>
      </w:r>
    </w:p>
    <w:p>
      <w:pPr>
        <w:spacing w:after="0" w:line="23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will,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will at all times be entitled to exercise the beneficial ownership rights in all deposited property, in each case only on behalf of the holders and beneficial owners of the ADSs representing the deposited property.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121"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U.S. The depositary will apply the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same method for distributing the proceeds of the sale of any property (such as undistributed rights) held by the custodian in respect of securities on deposit.</w:t>
      </w:r>
    </w:p>
    <w:p>
      <w:pPr>
        <w:spacing w:after="0" w:line="9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372" w:name="page373"/>
    <w:bookmarkEnd w:id="37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12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to the depositary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depositary will not distribute the rights to you if:</w:t>
      </w:r>
    </w:p>
    <w:p>
      <w:pPr>
        <w:spacing w:after="0" w:line="117" w:lineRule="exact"/>
        <w:rPr>
          <w:sz w:val="20"/>
          <w:szCs w:val="20"/>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9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depositary will not distribute the property to you and will sell the property if:</w:t>
      </w:r>
    </w:p>
    <w:p>
      <w:pPr>
        <w:spacing w:after="0" w:line="117" w:lineRule="exact"/>
        <w:rPr>
          <w:sz w:val="20"/>
          <w:szCs w:val="20"/>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to the depositary all of the documentation contemplated in the deposit agreement, the depositary will provide notice of the redemption to the holders.</w:t>
      </w:r>
    </w:p>
    <w:p>
      <w:pPr>
        <w:spacing w:after="0" w:line="176"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custodian will be instructed to surrender the ordinary shares being redeemed against payment of the applicable redemption price. The depositary will convert the redemption funds received into U.S. dollars, if received in a currency other than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Affecting Ordinary Shares</w:t>
      </w:r>
    </w:p>
    <w:p>
      <w:pPr>
        <w:spacing w:after="0" w:line="121"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subdivision, cancellation, consolidation or any other reclassification of such ordinary shares or a recapitalization, reorganization, merger, scheme of arrangement, consolidation or sale of assets of the Company.</w:t>
      </w:r>
    </w:p>
    <w:p>
      <w:pPr>
        <w:spacing w:after="0" w:line="6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ADSs upon Deposit of Ordinary Shares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U.S. and in England and Wales applicable at the time of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374" w:name="page375"/>
    <w:bookmarkEnd w:id="374"/>
    <w:p>
      <w:pPr>
        <w:spacing w:after="0" w:line="19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54" w:lineRule="exact"/>
        <w:rPr>
          <w:sz w:val="20"/>
          <w:szCs w:val="20"/>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of shares does not violate any applicable provision of English law.</w:t>
      </w:r>
    </w:p>
    <w:p>
      <w:pPr>
        <w:spacing w:after="0" w:line="225" w:lineRule="exact"/>
        <w:rPr>
          <w:sz w:val="20"/>
          <w:szCs w:val="20"/>
          <w:color w:val="auto"/>
        </w:rPr>
      </w:pPr>
    </w:p>
    <w:p>
      <w:pPr>
        <w:ind w:right="460" w:firstLine="351"/>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21" w:lineRule="exact"/>
        <w:rPr>
          <w:sz w:val="20"/>
          <w:szCs w:val="20"/>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ADSs.</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expenses, taxes and governmental charges payable by ADR holders, pursuant to the terms of the deposit agreement, upon a combination or split up of ADRs.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121"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U.S. and in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The depositary will only accept ADSs for cancellation that represent a whole number of securities on deposit.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as a result of:</w:t>
      </w:r>
    </w:p>
    <w:p>
      <w:pPr>
        <w:spacing w:after="0" w:line="117" w:lineRule="exact"/>
        <w:rPr>
          <w:sz w:val="20"/>
          <w:szCs w:val="20"/>
          <w:color w:val="auto"/>
        </w:rPr>
      </w:pPr>
    </w:p>
    <w:p>
      <w:pPr>
        <w:ind w:left="660" w:right="20" w:hanging="328"/>
        <w:spacing w:after="0" w:line="282" w:lineRule="auto"/>
        <w:tabs>
          <w:tab w:leader="none" w:pos="65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 and/or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specifically contemplated by Section I.A.(l) of the General Instructions to Form F-6 (as such General Instructions may be amended from time to time).</w:t>
      </w:r>
    </w:p>
    <w:p>
      <w:pPr>
        <w:spacing w:after="0" w:line="162"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“—Articles of Association” above.</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ordinary shares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(or cause the custodian to vote) the securities (in person or by proxy) represented by the holder’s ADSs in accordance with the voting instructions received from such holder.</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in the deposit agreement). If the depositary timely receives voting instructions from a holder of ADSs which fail to specify the manner in which the depositary is to vote the ordinary shares represented by such holder’s ADSs, the depositary will deem such holder (unless otherwise specified in the notice distributed to holders) to have instructed the depositary to vote in favor of the items set forth in such voting instructions.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charges you are required to pay. In addition, we may not be able to provide you with prior notice of any modifications or supplements that are required to accommodate compliance with applicable provisions of law.</w:t>
      </w:r>
    </w:p>
    <w:p>
      <w:pPr>
        <w:spacing w:after="0" w:line="16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76"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with our consent, and shall, at our instruction, distribute to owners of ADSs the deposited property in a mandatory exchange for, and upon a mandatory cancellation of, the ADSs. The ability to receive the deposited property upon termination of the deposit agreement would be subject, in each case, to receipt by the depositary of (i) confirmation of satisfaction of certain U.S. regulatory requirements and (ii) payment of applicable depositary fees. The depositary will give notice to owners of ADSs at least 30 calendar days before termination of the deposit agreement. Owners of ADSs would be required to surrender ADSs to the depositary for cancellation in exchange for the deposited property.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 of Notices, Reports and Proxy Soliciting Material</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including in the following ways:</w:t>
      </w:r>
    </w:p>
    <w:p>
      <w:pPr>
        <w:spacing w:after="0" w:line="117" w:lineRule="exact"/>
        <w:rPr>
          <w:sz w:val="20"/>
          <w:szCs w:val="20"/>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26" w:lineRule="exact"/>
        <w:rPr>
          <w:sz w:val="20"/>
          <w:szCs w:val="20"/>
          <w:color w:val="auto"/>
        </w:rPr>
      </w:pPr>
    </w:p>
    <w:p>
      <w:pPr>
        <w:ind w:left="660" w:hanging="328"/>
        <w:spacing w:after="0" w:line="282"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any liability for any action or inaction of any clearing or settlement system (and any participant thereof).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ADS holder.</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2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deposit agreement, such limitations would likely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laws and the rules and regulations promulgated thereunder. In fact, you cannot waive our or the depositary’s compliance with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laws and the rules and regulations promulgated thereunder.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ADRs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54" w:lineRule="exact"/>
        <w:rPr>
          <w:sz w:val="20"/>
          <w:szCs w:val="20"/>
          <w:color w:val="auto"/>
        </w:rPr>
      </w:pPr>
    </w:p>
    <w:p>
      <w:pPr>
        <w:ind w:left="660" w:hanging="328"/>
        <w:spacing w:after="0" w:line="282" w:lineRule="auto"/>
        <w:tabs>
          <w:tab w:leader="none" w:pos="65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England and Wales.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9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THE ADRs AND ADSs AGAINST US AND/OR THE DEPOSITARY.</w:t>
      </w:r>
    </w:p>
    <w:p>
      <w:pPr>
        <w:spacing w:after="0" w:line="17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20" w:top="1440" w:right="41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ARM HOLDINGS PLC</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2023 OMNIBUS INCENTIVE PLAN</w:t>
      </w:r>
    </w:p>
    <w:p>
      <w:pPr>
        <w:spacing w:after="0" w:line="2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WITH</w:t>
      </w:r>
    </w:p>
    <w:p>
      <w:pPr>
        <w:spacing w:after="0" w:line="2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NON-EMPLOYEE SUB-PLAN</w:t>
      </w:r>
    </w:p>
    <w:p>
      <w:pPr>
        <w:spacing w:after="0" w:line="2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left="960" w:right="2160"/>
        <w:spacing w:after="0" w:line="449" w:lineRule="auto"/>
        <w:rPr>
          <w:sz w:val="20"/>
          <w:szCs w:val="20"/>
          <w:color w:val="auto"/>
        </w:rPr>
      </w:pPr>
      <w:r>
        <w:rPr>
          <w:rFonts w:ascii="Times New Roman" w:cs="Times New Roman" w:eastAsia="Times New Roman" w:hAnsi="Times New Roman"/>
          <w:sz w:val="22"/>
          <w:szCs w:val="22"/>
          <w:b w:val="1"/>
          <w:bCs w:val="1"/>
          <w:color w:val="auto"/>
        </w:rPr>
        <w:t>THE FRANCE AND ISRAEL SUB-PLANS ADOPTED BY THE BOARD OF DIRECTORS: AUGUST 24, 2023 APPROVED BY THE SHAREHOLDERS: AUGUST 25, 2023</w:t>
      </w:r>
    </w:p>
    <w:p>
      <w:pPr>
        <w:spacing w:after="0" w:line="2" w:lineRule="exact"/>
        <w:rPr>
          <w:sz w:val="20"/>
          <w:szCs w:val="20"/>
          <w:color w:val="auto"/>
        </w:rPr>
      </w:pPr>
    </w:p>
    <w:p>
      <w:pPr>
        <w:jc w:val="both"/>
        <w:ind w:firstLine="656"/>
        <w:spacing w:after="0" w:line="256" w:lineRule="auto"/>
        <w:tabs>
          <w:tab w:leader="none" w:pos="129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the Plan are to provide additional incentives to enhance the Company’s and its Subsidiaries’ ability to attract, motivate and retain persons who make (or are expected to make) important contributions to the Company by providing these individuals with equity ownership and other incentive opportunities, and to promote the success of the Company.</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definitions shall apply as used herein and in the individual Award Agreements, except as defined otherwise in an individual Award Agreement. If a term is separately defined in an individual Award Agreement, such definition shall supersede the definition contained in this Section 2.</w:t>
      </w:r>
    </w:p>
    <w:p>
      <w:pPr>
        <w:spacing w:after="0" w:line="16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Committee appointed to administer the Plan.</w:t>
      </w:r>
    </w:p>
    <w:p>
      <w:pPr>
        <w:spacing w:after="0" w:line="233" w:lineRule="exact"/>
        <w:rPr>
          <w:rFonts w:ascii="Times New Roman" w:cs="Times New Roman" w:eastAsia="Times New Roman" w:hAnsi="Times New Roman"/>
          <w:sz w:val="22"/>
          <w:szCs w:val="22"/>
          <w:color w:val="auto"/>
        </w:rPr>
      </w:pPr>
    </w:p>
    <w:p>
      <w:pPr>
        <w:ind w:firstLine="1304"/>
        <w:spacing w:after="0" w:line="275" w:lineRule="auto"/>
        <w:tabs>
          <w:tab w:leader="none" w:pos="1939"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ADSs</w:t>
      </w:r>
      <w:r>
        <w:rPr>
          <w:rFonts w:ascii="Times New Roman" w:cs="Times New Roman" w:eastAsia="Times New Roman" w:hAnsi="Times New Roman"/>
          <w:sz w:val="22"/>
          <w:szCs w:val="22"/>
          <w:color w:val="auto"/>
        </w:rPr>
        <w:t>” means American Depositary Shares, representing Shares on deposit with a U.S. banking institution selected by the Company and which are registered pursuant to a Form F-6.</w:t>
      </w:r>
    </w:p>
    <w:p>
      <w:pPr>
        <w:spacing w:after="0" w:line="14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any applicable laws, statutes, constitutions, principles of common law, resolutions, ordinances, codes, edicts, decrees, rules, listing rules, regulations, judicial decisions, rulings or requirements issued, enacted, adopted, promulgated, implemented or otherwise put into effect by or under the authority of any Governmental Body (including under the authority of any applicable self-regulating organization such as the Nasdaq Stock Market, the New York Stock Exchange, the London Stock Exchange or the Financial Industry Regulatory Authority), including without limitation: (a) the requirements relating to the administration of equity incentive plans under English, U.S. federal and state securities, tax and other applicable laws, rules and regulations, the applicable rules of any stock exchange or quotation system on which the Shares are listed or quoted and the applicable laws and rules of any other country or jurisdiction where Awards are granted; and (b) corporate, securities, tax or</w:t>
      </w:r>
    </w:p>
    <w:p>
      <w:pPr>
        <w:sectPr>
          <w:pgSz w:w="11900" w:h="16838" w:orient="portrait"/>
          <w:cols w:equalWidth="0" w:num="1">
            <w:col w:w="11240"/>
          </w:cols>
          <w:pgMar w:left="320" w:top="121" w:right="339" w:bottom="1440" w:gutter="0" w:footer="0" w:header="0"/>
        </w:sectPr>
      </w:pPr>
    </w:p>
    <w:bookmarkStart w:id="381" w:name="page382"/>
    <w:bookmarkEnd w:id="381"/>
    <w:p>
      <w:pPr>
        <w:spacing w:after="0" w:line="271" w:lineRule="auto"/>
        <w:rPr>
          <w:sz w:val="20"/>
          <w:szCs w:val="20"/>
          <w:color w:val="auto"/>
        </w:rPr>
      </w:pPr>
      <w:r>
        <w:rPr>
          <w:rFonts w:ascii="Times New Roman" w:cs="Times New Roman" w:eastAsia="Times New Roman" w:hAnsi="Times New Roman"/>
          <w:sz w:val="22"/>
          <w:szCs w:val="22"/>
          <w:color w:val="auto"/>
        </w:rPr>
        <w:t>other laws, statutes, rules, requirements or regulations, whether U.S. federal, state, local, applicable in the United Kingdom, United States or any other relevant jurisdiction.</w:t>
      </w:r>
    </w:p>
    <w:p>
      <w:pPr>
        <w:spacing w:after="0" w:line="154" w:lineRule="exact"/>
        <w:rPr>
          <w:sz w:val="20"/>
          <w:szCs w:val="20"/>
          <w:color w:val="auto"/>
        </w:rPr>
      </w:pPr>
    </w:p>
    <w:p>
      <w:pPr>
        <w:ind w:right="20" w:firstLine="1304"/>
        <w:spacing w:after="0" w:line="287" w:lineRule="auto"/>
        <w:tabs>
          <w:tab w:leader="none" w:pos="1939"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an Option, SAR, Dividend Equivalent Right, Restricted Share, Restricted Share Unit or Other Award granted under the Plan or a Sub-Plan.</w:t>
      </w:r>
    </w:p>
    <w:p>
      <w:pPr>
        <w:spacing w:after="0" w:line="137" w:lineRule="exact"/>
        <w:rPr>
          <w:rFonts w:ascii="Times New Roman" w:cs="Times New Roman" w:eastAsia="Times New Roman" w:hAnsi="Times New Roman"/>
          <w:sz w:val="22"/>
          <w:szCs w:val="22"/>
          <w:color w:val="auto"/>
        </w:rPr>
      </w:pPr>
    </w:p>
    <w:p>
      <w:pPr>
        <w:ind w:right="20" w:firstLine="1304"/>
        <w:spacing w:after="0" w:line="275" w:lineRule="auto"/>
        <w:tabs>
          <w:tab w:leader="none" w:pos="194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agreement or other instrument evidencing the grant of an Award, including any amendments thereto.</w:t>
      </w:r>
    </w:p>
    <w:p>
      <w:pPr>
        <w:spacing w:after="0" w:line="14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has the meaning defined in Rule 13d-3 under the Exchange Act.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with respect to the termination by the Company or any of its Subsidiaries of a Grantee’s Continuous Service, that such termination is for “Cause” as such term (or word of like import) is expressly defined in a then-effective written agreement between the Grantee and the Company or such Subsidiary of the Company, or in the absence of such then-effective written agreement and definition, is based on, in the determination of the Administrator, the Grantee’s: (i) failure to substantially perform the Grantee’s duties (other than a failure resulting from the Grantee’s Disability); (ii) failure to carry out, or comply with any lawful directive of the Board or the Grantee’s immediate supervisor; (iii) action or failure to act that could reasonably be expected to result in (or has resulted in) the Grantee’s conviction, plea of no contest, plea of nolo contendere, or imposition of unadjudicated probation for any felony or indictable offence or crime involving fraud, dishonesty or moral turpitude (or equivalent in any jurisdiction); (iv) unlawful use (including being under the influence) or possession of illegal drugs on the premises of the Company or any of its Subsidiaries or while performing the Grantee’s duties and responsibilities for the Company or any of its Subsidiaries; (v) the Grantee’s commission of (or attempted commission of) an act of fraud, embezzlement, misappropriation, misconduct, or breach of fiduciary duty against the Company or any of its Subsidiaries; (vi) the Grantee’s unauthorized use or disclosure of the confidential information or trade secrets of the Company or any of its Subsidiaries; or (vii) the Grantee’s material violation of any contract or agreement between the Grantee and the Company or any of its Subsidiaries or of any statutory duty owed to the Company or any of its Subsidiaries, or such Grantee’s material failure to comply with the written policies or rules of the Company or any of its Subsidiaries.</w:t>
      </w:r>
    </w:p>
    <w:p>
      <w:pPr>
        <w:spacing w:after="0" w:line="19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23" w:lineRule="exact"/>
        <w:rPr>
          <w:rFonts w:ascii="Times New Roman" w:cs="Times New Roman" w:eastAsia="Times New Roman" w:hAnsi="Times New Roman"/>
          <w:sz w:val="22"/>
          <w:szCs w:val="22"/>
          <w:color w:val="auto"/>
        </w:rPr>
      </w:pPr>
    </w:p>
    <w:p>
      <w:pPr>
        <w:jc w:val="both"/>
        <w:ind w:firstLine="1952"/>
        <w:spacing w:after="0" w:line="260" w:lineRule="auto"/>
        <w:tabs>
          <w:tab w:leader="none" w:pos="2580" w:val="left"/>
        </w:tabs>
        <w:numPr>
          <w:ilvl w:val="2"/>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Person of Beneficial Ownership of securities possessing more than 50% of the total combined voting power of the Company’s then outstanding securities; provided, however, that for purposes of this Subsection (i), the following acquisitions shall not constitute a Change in Control: (1) any acquisition by the Company; (2) any acquisition by any employee benefit plan (or related trust) sponsored or maintained by the Company or any of its Subsidiaries; or</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pursuant to a transaction which complies with clauses (A) and (B) of Subsection (ii)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382" w:name="page383"/>
    <w:bookmarkEnd w:id="382"/>
    <w:p>
      <w:pPr>
        <w:jc w:val="both"/>
        <w:ind w:firstLine="1952"/>
        <w:spacing w:after="0" w:line="247" w:lineRule="auto"/>
        <w:tabs>
          <w:tab w:leader="none" w:pos="258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Corporate Event (as defined in Section 11(b)) unless, following such Corporate Event, (A) all or substantially all of the individuals and entities that had Beneficial Ownership of the Company’s outstanding securities immediately prior to such Corporate Event have Beneficial Ownership, directly or indirectly, of more than 50% of the value of the then outstanding equity securities and the combined voting power of the then outstanding voting securities entitled to vote generally in the election of directors of the corporation or other entity resulting from such Corporate Event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Event, of the Company’s then outstanding equity securities and the combined voting power of the then outstanding voting securities and (B) no Person (excluding any employee benefit plan or related trust of the Company, any of its Subsidiaries or a corporation or other entity resulting from such Corporate Event) beneficially owns, directly or indirectly, 50% or more of, respectively, the then outstanding shares of the corporation resulting from such Corporate Event or the combined voting power of the then outstanding voting securities of such corporation, except to the extent that such ownership of the Company existed prior to the Corporate Event.</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Notwithstanding anything to the contrary, a Permitted Change in Control shall not constitute a Change in Control. With respect to Awards that are “deferred compensation” under Section 409A of the Code, to the extent necessary to avoid incurring adverse tax consequences under Section 409A of the Code with respect to such Awards, each of the foregoing events shall only be deemed to be a Change in Control for purposes of the Plan to the extent such event qualifies as a “change in control event” for purposes of Section 409A of the Code.</w:t>
      </w:r>
    </w:p>
    <w:p>
      <w:pPr>
        <w:spacing w:after="0" w:line="175" w:lineRule="exact"/>
        <w:rPr>
          <w:sz w:val="20"/>
          <w:szCs w:val="20"/>
          <w:color w:val="auto"/>
        </w:rPr>
      </w:pPr>
    </w:p>
    <w:p>
      <w:pPr>
        <w:ind w:left="1940" w:hanging="636"/>
        <w:spacing w:after="0"/>
        <w:tabs>
          <w:tab w:leader="none" w:pos="194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w:t>
      </w:r>
    </w:p>
    <w:p>
      <w:pPr>
        <w:spacing w:after="0" w:line="23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Renumeration Committee of the Board or any other committee composed of members of the Board that is appointed by the Board or the Renumeration Committee of the Board to administer the Plan and constituted in accordance with Applicable Laws. Once appointed, the Committee shall continue to serve in its designated capacity until otherwise directed by the Board or the Committee.</w:t>
      </w:r>
    </w:p>
    <w:p>
      <w:pPr>
        <w:spacing w:after="0" w:line="175" w:lineRule="exact"/>
        <w:rPr>
          <w:rFonts w:ascii="Times New Roman" w:cs="Times New Roman" w:eastAsia="Times New Roman" w:hAnsi="Times New Roman"/>
          <w:sz w:val="22"/>
          <w:szCs w:val="22"/>
          <w:color w:val="auto"/>
        </w:rPr>
      </w:pPr>
    </w:p>
    <w:p>
      <w:pPr>
        <w:ind w:firstLine="1304"/>
        <w:spacing w:after="0" w:line="287" w:lineRule="auto"/>
        <w:tabs>
          <w:tab w:leader="none" w:pos="193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Arm Holdings plc, a public limited company organized under the laws of England and Wales, or any successor entity that adopts the Plan in connection with a Corporate Event.</w:t>
      </w:r>
    </w:p>
    <w:p>
      <w:pPr>
        <w:spacing w:after="0" w:line="13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and other permitted recipients under the Applicable Laws (other than an Employee or a Director, solely with respect to rendering services in such person’s capacity as a Director) who is engaged by the Company or any of its Subsidiaries to render consulting or advisory services to the Company or such Subsidiary of the Company.</w:t>
      </w:r>
    </w:p>
    <w:p>
      <w:pPr>
        <w:spacing w:after="0" w:line="175"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Continuous Service</w:t>
      </w:r>
      <w:r>
        <w:rPr>
          <w:rFonts w:ascii="Times New Roman" w:cs="Times New Roman" w:eastAsia="Times New Roman" w:hAnsi="Times New Roman"/>
          <w:sz w:val="22"/>
          <w:szCs w:val="22"/>
          <w:color w:val="auto"/>
        </w:rPr>
        <w:t>” means that the provision of services to the Company and any of its Subsidiaries in any capacity as a Service Provider is not interrupted or terminated. Continuous Service shall not be considered interrupted in the case of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383" w:name="page384"/>
    <w:bookmarkEnd w:id="383"/>
    <w:p>
      <w:pPr>
        <w:jc w:val="both"/>
        <w:spacing w:after="0" w:line="247" w:lineRule="auto"/>
        <w:rPr>
          <w:sz w:val="20"/>
          <w:szCs w:val="20"/>
          <w:color w:val="auto"/>
        </w:rPr>
      </w:pPr>
      <w:r>
        <w:rPr>
          <w:rFonts w:ascii="Times New Roman" w:cs="Times New Roman" w:eastAsia="Times New Roman" w:hAnsi="Times New Roman"/>
          <w:sz w:val="22"/>
          <w:szCs w:val="22"/>
          <w:color w:val="auto"/>
        </w:rPr>
        <w:t>approved leave of absence, (ii) transfers among the Company or any of its Subsidiaries in any capacity provided that the Grantee remains a Service Provider or recommences service with the Company or any of its Subsidiaries within 7 days following the cession of service with the original employing entity; or (iii) any other change in status as long as the Grantee remains a Service Provider (in each case, except as otherwise provided in the Award Agreement). Except as otherwise determined by the Administrator or as required to avoid incurring taxes, penalties or interest under Section 409A, in the event of any spin-off of a Subsidiary of the Company, the Continuous Service of the Service Providers of such spun-off Subsidiary shall be deemed terminated as of the closing of the spin off for purposes of the Plan and any Award unless the Service Provider continues to provide services as an Employee, Director or Consultant of the Company or another Subsidiary following the spin-off. An approved leave of absence shall include sick leave, military leave or any other authorized personal leave. For purposes of an Incentive Stock Option, if such leave exceeds three months, and reemployment upon expiration of such leave is not guaranteed by statute or contract, then, solely for purposes of determining whether the Option qualifies as an Incentive Stock Option, employment will be deemed terminated on the first day immediately following such three-month period and the Incentive Stock Option shall be treated as a Non-Qualified Stock Option on the date that is three months and one day following such deemed termination of employment. The Administrator will determine how any change or purported change in a Grantee’s Service Provider status (including a change which would result in a termination of Continuous Service under the Plan but not under the Non-Employee Sub-Plan or vice versa) affects and Award.</w:t>
      </w:r>
    </w:p>
    <w:p>
      <w:pPr>
        <w:spacing w:after="0" w:line="191" w:lineRule="exact"/>
        <w:rPr>
          <w:sz w:val="20"/>
          <w:szCs w:val="20"/>
          <w:color w:val="auto"/>
        </w:rPr>
      </w:pPr>
    </w:p>
    <w:p>
      <w:pPr>
        <w:ind w:left="1940" w:hanging="636"/>
        <w:spacing w:after="0"/>
        <w:tabs>
          <w:tab w:leader="none" w:pos="194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member of the Board or the board of directors or board of managers of any of 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w:t>
      </w:r>
    </w:p>
    <w:p>
      <w:pPr>
        <w:spacing w:after="0" w:line="192" w:lineRule="exact"/>
        <w:rPr>
          <w:sz w:val="20"/>
          <w:szCs w:val="20"/>
          <w:color w:val="auto"/>
        </w:rPr>
      </w:pPr>
    </w:p>
    <w:p>
      <w:pPr>
        <w:jc w:val="both"/>
        <w:ind w:firstLine="1304"/>
        <w:spacing w:after="0" w:line="252" w:lineRule="auto"/>
        <w:tabs>
          <w:tab w:leader="none" w:pos="193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such term (or word of like import) as defined under any long-term disability policy of the Company or any of its Subsidiaries to which a Grantee provides services regardless of whether the Grantee is covered by such policy. If the Company or any of its Subsidiaries to which the Grantee provides services does not have a long-term disability policy in place, “Disability” means that the Grantee is unable to carry out the responsibilities and functions of the position held by the Grantee by reason of any medically determinable physical or mental impairment for a period of not less than 90 consecutive days. A Grantee will not be considered to have incurred a Disability unless the Grantee furnishes proof of such impairment sufficient to satisfy the Administrator in its discretion.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Distressed Share Sale</w:t>
      </w:r>
      <w:r>
        <w:rPr>
          <w:rFonts w:ascii="Times New Roman" w:cs="Times New Roman" w:eastAsia="Times New Roman" w:hAnsi="Times New Roman"/>
          <w:sz w:val="22"/>
          <w:szCs w:val="22"/>
          <w:color w:val="auto"/>
        </w:rPr>
        <w:t>” means the realization of any Share Security in respect of Shares (or shares in a holding company of the Company) subject to such Share Security, by the sale or appropriation of such Shares for value in circumstances where the relevant Share Security has become enforceable.</w:t>
      </w:r>
    </w:p>
    <w:p>
      <w:pPr>
        <w:spacing w:after="0" w:line="166" w:lineRule="exact"/>
        <w:rPr>
          <w:rFonts w:ascii="Times New Roman" w:cs="Times New Roman" w:eastAsia="Times New Roman" w:hAnsi="Times New Roman"/>
          <w:sz w:val="22"/>
          <w:szCs w:val="22"/>
          <w:color w:val="auto"/>
        </w:rPr>
      </w:pPr>
    </w:p>
    <w:p>
      <w:pPr>
        <w:ind w:firstLine="1304"/>
        <w:spacing w:after="0" w:line="275" w:lineRule="auto"/>
        <w:tabs>
          <w:tab w:leader="none" w:pos="1944"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 Equivalent Right</w:t>
      </w:r>
      <w:r>
        <w:rPr>
          <w:rFonts w:ascii="Times New Roman" w:cs="Times New Roman" w:eastAsia="Times New Roman" w:hAnsi="Times New Roman"/>
          <w:sz w:val="22"/>
          <w:szCs w:val="22"/>
          <w:color w:val="auto"/>
        </w:rPr>
        <w:t>” means a right granted under the Plan entitling the Grantee to compensation measured by dividends paid to stockholders with respect to Shares.</w:t>
      </w:r>
    </w:p>
    <w:p>
      <w:pPr>
        <w:spacing w:after="0" w:line="16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has the meaning set forth in Section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384" w:name="page385"/>
    <w:bookmarkEnd w:id="384"/>
    <w:p>
      <w:pPr>
        <w:ind w:left="1940" w:hanging="636"/>
        <w:spacing w:after="0"/>
        <w:tabs>
          <w:tab w:leader="none" w:pos="19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employee of the Company or any of its Subsidiaries.</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Restructuring</w:t>
      </w:r>
      <w:r>
        <w:rPr>
          <w:rFonts w:ascii="Times New Roman" w:cs="Times New Roman" w:eastAsia="Times New Roman" w:hAnsi="Times New Roman"/>
          <w:sz w:val="22"/>
          <w:szCs w:val="22"/>
          <w:color w:val="auto"/>
        </w:rPr>
        <w:t>” means any return of capital (including a share dividend), bonus issue of shares or other Company securities by way of capitalization of profits, share split, reverse share split, spin-off, rights offering, re-designation, redenomination, consolidation recapitalization through a large, nonrecurring cash dividend, or any similar equity restructuring transaction, that affects the number or class of Shares (or other Company securities) or the nominal value of Shares (or other Company securities) and causes a change in the per share value of the Shares underlying outstanding Awards. Notwithstanding the foregoing, the conversion of any convertible securities of the Company will not be treated as an Equity Restructuring.</w:t>
      </w:r>
    </w:p>
    <w:p>
      <w:pPr>
        <w:spacing w:after="0" w:line="19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the value of a Share determined as follows:</w:t>
      </w:r>
    </w:p>
    <w:p>
      <w:pPr>
        <w:spacing w:after="0" w:line="223"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0"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Shares are listed on one or more established stock exchanges or national market systems, the closing sales price for a Share (or the closing bid, if no sales were reported) as quoted on the principal exchange or system on which the Shares are listed (as determined by the Administrator) on the date of determination (or, if no closing sales price or closing bid was reported on that date, as applicable, on the last trading date such closing sales price or closing bid was reported);</w:t>
      </w:r>
    </w:p>
    <w:p>
      <w:pPr>
        <w:spacing w:after="0" w:line="176"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6"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Shares are regularly quoted on an automated quotation system (including the OTC Bulletin Board) or by a recognized securities dealer, the closing sales price for a Share as quoted on such system or by such securities dealer on the date of determination, but if selling prices are not reported, the Fair Market Value shall be the mean between the high bid and low asked prices for a Share on the date of determination (or, if no such prices were reported on that date, on the last date such prices were reported); or</w:t>
      </w:r>
    </w:p>
    <w:p>
      <w:pPr>
        <w:spacing w:after="0" w:line="194" w:lineRule="exact"/>
        <w:rPr>
          <w:rFonts w:ascii="Times New Roman" w:cs="Times New Roman" w:eastAsia="Times New Roman" w:hAnsi="Times New Roman"/>
          <w:sz w:val="22"/>
          <w:szCs w:val="22"/>
          <w:color w:val="auto"/>
        </w:rPr>
      </w:pPr>
    </w:p>
    <w:p>
      <w:pPr>
        <w:ind w:right="20" w:firstLine="1952"/>
        <w:spacing w:after="0" w:line="295" w:lineRule="auto"/>
        <w:tabs>
          <w:tab w:leader="none" w:pos="2592"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an established market for the Shares of the type described in (i) and (ii) above, the Fair Market Value shall be determined by the Administrator in good faith and in a manner consistent with Applicable Laws.</w:t>
      </w:r>
    </w:p>
    <w:p>
      <w:pPr>
        <w:spacing w:after="0" w:line="131" w:lineRule="exact"/>
        <w:rPr>
          <w:rFonts w:ascii="Times New Roman" w:cs="Times New Roman" w:eastAsia="Times New Roman" w:hAnsi="Times New Roman"/>
          <w:sz w:val="21"/>
          <w:szCs w:val="21"/>
          <w:color w:val="auto"/>
        </w:rPr>
      </w:pPr>
    </w:p>
    <w:p>
      <w:pPr>
        <w:ind w:right="20" w:firstLine="1304"/>
        <w:spacing w:after="0" w:line="275" w:lineRule="auto"/>
        <w:tabs>
          <w:tab w:leader="none" w:pos="1939"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France Sub-Plan</w:t>
      </w:r>
      <w:r>
        <w:rPr>
          <w:rFonts w:ascii="Times New Roman" w:cs="Times New Roman" w:eastAsia="Times New Roman" w:hAnsi="Times New Roman"/>
          <w:sz w:val="22"/>
          <w:szCs w:val="22"/>
          <w:color w:val="auto"/>
        </w:rPr>
        <w:t>” means the France Sub-Plan to the Plan, as set forth in Appendix 2 (as may be amended from time to time).</w:t>
      </w:r>
    </w:p>
    <w:p>
      <w:pPr>
        <w:spacing w:after="0" w:line="14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Body</w:t>
      </w:r>
      <w:r>
        <w:rPr>
          <w:rFonts w:ascii="Times New Roman" w:cs="Times New Roman" w:eastAsia="Times New Roman" w:hAnsi="Times New Roman"/>
          <w:sz w:val="22"/>
          <w:szCs w:val="22"/>
          <w:color w:val="auto"/>
        </w:rPr>
        <w:t>” means any: (i) nation, state, commonwealth, province, territory, county, municipality, district or other jurisdiction of any nature; (ii) United Kingdom, 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385" w:name="page386"/>
    <w:bookmarkEnd w:id="385"/>
    <w:p>
      <w:pPr>
        <w:ind w:right="20"/>
        <w:spacing w:after="0" w:line="271" w:lineRule="auto"/>
        <w:rPr>
          <w:sz w:val="20"/>
          <w:szCs w:val="20"/>
          <w:color w:val="auto"/>
        </w:rPr>
      </w:pPr>
      <w:r>
        <w:rPr>
          <w:rFonts w:ascii="Times New Roman" w:cs="Times New Roman" w:eastAsia="Times New Roman" w:hAnsi="Times New Roman"/>
          <w:sz w:val="22"/>
          <w:szCs w:val="22"/>
          <w:color w:val="auto"/>
        </w:rPr>
        <w:t>powers or authority; or (iv) self-regulatory organization (including the Nasdaq Stock Market, the New York Stock Exchange, the London Stock Exchange and the Financial Industry Regulatory Authority).</w:t>
      </w:r>
    </w:p>
    <w:p>
      <w:pPr>
        <w:spacing w:after="0" w:line="154" w:lineRule="exact"/>
        <w:rPr>
          <w:sz w:val="20"/>
          <w:szCs w:val="20"/>
          <w:color w:val="auto"/>
        </w:rPr>
      </w:pPr>
    </w:p>
    <w:p>
      <w:pPr>
        <w:ind w:firstLine="1304"/>
        <w:spacing w:after="0" w:line="287" w:lineRule="auto"/>
        <w:tabs>
          <w:tab w:leader="none" w:pos="1941"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means a Service Provider who receives an Award under the Plan (and any permitted transferee of an Award or Shares).</w:t>
      </w:r>
    </w:p>
    <w:p>
      <w:pPr>
        <w:spacing w:after="0" w:line="137" w:lineRule="exact"/>
        <w:rPr>
          <w:sz w:val="20"/>
          <w:szCs w:val="20"/>
          <w:color w:val="auto"/>
        </w:rPr>
      </w:pPr>
    </w:p>
    <w:p>
      <w:pPr>
        <w:jc w:val="both"/>
        <w:ind w:firstLine="1304"/>
        <w:spacing w:after="0" w:line="259" w:lineRule="auto"/>
        <w:tabs>
          <w:tab w:leader="none" w:pos="194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Greater Than 10% Shareholder</w:t>
      </w:r>
      <w:r>
        <w:rPr>
          <w:rFonts w:ascii="Times New Roman" w:cs="Times New Roman" w:eastAsia="Times New Roman" w:hAnsi="Times New Roman"/>
          <w:sz w:val="22"/>
          <w:szCs w:val="22"/>
          <w:color w:val="auto"/>
        </w:rPr>
        <w:t>” means an individual then owning (within the meaning of Section 424(d) of the Code) more than 10% of the total combined voting power of all classes of equity securities of the Company or its Subsidiary corporation, as defined in Section 424 (f) of the Code.</w:t>
      </w:r>
    </w:p>
    <w:p>
      <w:pPr>
        <w:spacing w:after="0" w:line="139" w:lineRule="exact"/>
        <w:rPr>
          <w:rFonts w:ascii="Times New Roman" w:cs="Times New Roman" w:eastAsia="Times New Roman" w:hAnsi="Times New Roman"/>
          <w:sz w:val="22"/>
          <w:szCs w:val="22"/>
          <w:color w:val="auto"/>
        </w:rPr>
      </w:pPr>
    </w:p>
    <w:p>
      <w:pPr>
        <w:ind w:firstLine="1304"/>
        <w:spacing w:after="0" w:line="238" w:lineRule="auto"/>
        <w:tabs>
          <w:tab w:leader="none" w:pos="19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ISO</w:t>
      </w:r>
      <w:r>
        <w:rPr>
          <w:rFonts w:ascii="Times New Roman" w:cs="Times New Roman" w:eastAsia="Times New Roman" w:hAnsi="Times New Roman"/>
          <w:sz w:val="22"/>
          <w:szCs w:val="22"/>
          <w:color w:val="auto"/>
        </w:rPr>
        <w:t>” means an Option intended to qualify as an incentive stock option within the meaning of Section 422 of the Code.</w:t>
      </w:r>
    </w:p>
    <w:p>
      <w:pPr>
        <w:spacing w:after="0" w:line="1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6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Internal Reorganization</w:t>
      </w:r>
      <w:r>
        <w:rPr>
          <w:rFonts w:ascii="Times New Roman" w:cs="Times New Roman" w:eastAsia="Times New Roman" w:hAnsi="Times New Roman"/>
          <w:sz w:val="22"/>
          <w:szCs w:val="22"/>
          <w:color w:val="auto"/>
        </w:rPr>
        <w:t>” means a reorganization of the structure of the Company and its Subsidiaries (or all or substantially all of the business, assets and undertakings of the Company and its Subsidiaries), such that the ultimate beneficial ownership of the Company and its Subsidiaries (or all or substantially all of the business, assets and undertakings of the Company and its Subsidiaries) does not change.</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IPO Date</w:t>
      </w:r>
      <w:r>
        <w:rPr>
          <w:rFonts w:ascii="Times New Roman" w:cs="Times New Roman" w:eastAsia="Times New Roman" w:hAnsi="Times New Roman"/>
          <w:sz w:val="22"/>
          <w:szCs w:val="22"/>
          <w:color w:val="auto"/>
        </w:rPr>
        <w:t>” means the date of the underwriting agreement between the Company and the underwriter(s) managing the initial public offering of the Company’s ADSs, pursuant to which the ADSs are priced for the initial public offering.</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Israel Sub-Plan</w:t>
      </w:r>
      <w:r>
        <w:rPr>
          <w:rFonts w:ascii="Times New Roman" w:cs="Times New Roman" w:eastAsia="Times New Roman" w:hAnsi="Times New Roman"/>
          <w:sz w:val="22"/>
          <w:szCs w:val="22"/>
          <w:color w:val="auto"/>
        </w:rPr>
        <w:t>” means the Israel Sub-Plan to the Plan, as set forth in Appendix 3 (as may be amended</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w:t>
      </w:r>
    </w:p>
    <w:p>
      <w:pPr>
        <w:spacing w:after="0" w:line="191" w:lineRule="exact"/>
        <w:rPr>
          <w:rFonts w:ascii="Times New Roman" w:cs="Times New Roman" w:eastAsia="Times New Roman" w:hAnsi="Times New Roman"/>
          <w:sz w:val="22"/>
          <w:szCs w:val="22"/>
          <w:color w:val="auto"/>
        </w:rPr>
      </w:pPr>
    </w:p>
    <w:p>
      <w:pPr>
        <w:ind w:firstLine="1304"/>
        <w:spacing w:after="0" w:line="275" w:lineRule="auto"/>
        <w:tabs>
          <w:tab w:leader="none" w:pos="183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Non-Employee Sub-Plan</w:t>
      </w:r>
      <w:r>
        <w:rPr>
          <w:rFonts w:ascii="Times New Roman" w:cs="Times New Roman" w:eastAsia="Times New Roman" w:hAnsi="Times New Roman"/>
          <w:sz w:val="22"/>
          <w:szCs w:val="22"/>
          <w:color w:val="auto"/>
        </w:rPr>
        <w:t>” means the Non-Employee Sub-Plan to the Plan, as set forth in Appendix 1 (as may be amended from time to time).</w:t>
      </w:r>
    </w:p>
    <w:p>
      <w:pPr>
        <w:spacing w:after="0" w:line="149" w:lineRule="exact"/>
        <w:rPr>
          <w:rFonts w:ascii="Times New Roman" w:cs="Times New Roman" w:eastAsia="Times New Roman" w:hAnsi="Times New Roman"/>
          <w:sz w:val="22"/>
          <w:szCs w:val="22"/>
          <w:color w:val="auto"/>
        </w:rPr>
      </w:pPr>
    </w:p>
    <w:p>
      <w:pPr>
        <w:ind w:firstLine="1304"/>
        <w:spacing w:after="0" w:line="287" w:lineRule="auto"/>
        <w:tabs>
          <w:tab w:leader="none" w:pos="1953"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Non-Qualified Stock Option</w:t>
      </w:r>
      <w:r>
        <w:rPr>
          <w:rFonts w:ascii="Times New Roman" w:cs="Times New Roman" w:eastAsia="Times New Roman" w:hAnsi="Times New Roman"/>
          <w:sz w:val="22"/>
          <w:szCs w:val="22"/>
          <w:color w:val="auto"/>
        </w:rPr>
        <w:t>” means an Option that is not intended to, or that does not, qualify as an incentive stock option within the meaning of Section 422 of the Code.</w:t>
      </w:r>
    </w:p>
    <w:p>
      <w:pPr>
        <w:spacing w:after="0" w:line="137" w:lineRule="exact"/>
        <w:rPr>
          <w:rFonts w:ascii="Times New Roman" w:cs="Times New Roman" w:eastAsia="Times New Roman" w:hAnsi="Times New Roman"/>
          <w:sz w:val="22"/>
          <w:szCs w:val="22"/>
          <w:color w:val="auto"/>
        </w:rPr>
      </w:pPr>
    </w:p>
    <w:p>
      <w:pPr>
        <w:ind w:right="20" w:firstLine="1304"/>
        <w:spacing w:after="0" w:line="275" w:lineRule="auto"/>
        <w:tabs>
          <w:tab w:leader="none" w:pos="187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or any of its Subsidiaries within the meaning of Section 16 of the Exchange Act.</w:t>
      </w:r>
    </w:p>
    <w:p>
      <w:pPr>
        <w:spacing w:after="0" w:line="14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means an option to purchase Shares granted under the Plan.</w:t>
      </w:r>
    </w:p>
    <w:p>
      <w:pPr>
        <w:spacing w:after="0" w:line="219" w:lineRule="exact"/>
        <w:rPr>
          <w:rFonts w:ascii="Times New Roman" w:cs="Times New Roman" w:eastAsia="Times New Roman" w:hAnsi="Times New Roman"/>
          <w:sz w:val="22"/>
          <w:szCs w:val="22"/>
          <w:color w:val="auto"/>
        </w:rPr>
      </w:pPr>
    </w:p>
    <w:p>
      <w:pPr>
        <w:jc w:val="both"/>
        <w:ind w:firstLine="1304"/>
        <w:spacing w:after="0" w:line="254" w:lineRule="auto"/>
        <w:tabs>
          <w:tab w:leader="none" w:pos="183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Award</w:t>
      </w:r>
      <w:r>
        <w:rPr>
          <w:rFonts w:ascii="Times New Roman" w:cs="Times New Roman" w:eastAsia="Times New Roman" w:hAnsi="Times New Roman"/>
          <w:sz w:val="22"/>
          <w:szCs w:val="22"/>
          <w:color w:val="auto"/>
        </w:rPr>
        <w:t>” means awards not described in Section 6 or 7 of cash, Shares or other property, including awards valued wholly or partially by reference to, or otherwise based on or settled in, cash, Shares or other property, including awards with specified dollar values that are payable in Shares and awards providing for the appreciation in value of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options or share rights with an exercise price or strike price less than 100% of the Fair Market Value at the time of grant), that may be granted either alone or in addition to Awards provided for under Section 6 and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386" w:name="page387"/>
    <w:bookmarkEnd w:id="386"/>
    <w:p>
      <w:pPr>
        <w:jc w:val="both"/>
        <w:ind w:firstLine="1304"/>
        <w:spacing w:after="0" w:line="249" w:lineRule="auto"/>
        <w:tabs>
          <w:tab w:leader="none" w:pos="1993"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Change in Control</w:t>
      </w:r>
      <w:r>
        <w:rPr>
          <w:rFonts w:ascii="Times New Roman" w:cs="Times New Roman" w:eastAsia="Times New Roman" w:hAnsi="Times New Roman"/>
          <w:sz w:val="22"/>
          <w:szCs w:val="22"/>
          <w:color w:val="auto"/>
        </w:rPr>
        <w:t>” means (i) the acquisition by any Person of Beneficial Ownership of securities possessing more than 50% of the total combined voting power of SoftBank’s then outstanding securities; (ii) a Shareholder Transfer, provided that if a transferee acquires Beneficial Ownership of securities possessing more than 50% of the total combined voting power of the Company’s then outstanding securities subsequently ceases to be directly or indirectly controlled by SoftBank (including, without limitation, through ownership or control of such transferee’s manager or investment adviser), such loss of control by SoftBank shall constitute a Change in Control; (iii) any transfer of Shares by SVF to its limited partners pursuant to the terms of the limited partnership agreement constituting SVF; (iv) any Internal Reorganization; and/or (v) the grant of, or exercise of rights in relation to, any Share Security (other than a Distressed Share Sale).</w:t>
      </w:r>
    </w:p>
    <w:p>
      <w:pPr>
        <w:spacing w:after="0" w:line="195"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natural person, entity or “group” (within the meaning of Section 13(d) or 14(d) of the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w:t>
      </w:r>
    </w:p>
    <w:p>
      <w:pPr>
        <w:spacing w:after="0" w:line="191" w:lineRule="exact"/>
        <w:rPr>
          <w:rFonts w:ascii="Times New Roman" w:cs="Times New Roman" w:eastAsia="Times New Roman" w:hAnsi="Times New Roman"/>
          <w:sz w:val="22"/>
          <w:szCs w:val="22"/>
          <w:color w:val="auto"/>
        </w:rPr>
      </w:pPr>
    </w:p>
    <w:p>
      <w:pPr>
        <w:ind w:firstLine="1304"/>
        <w:spacing w:after="0" w:line="275" w:lineRule="auto"/>
        <w:tabs>
          <w:tab w:leader="none" w:pos="2086"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this Arm Holdings plc 2023 Omnibus Incentive Plan, as may be amended, modified or restated from time to time.</w:t>
      </w:r>
    </w:p>
    <w:p>
      <w:pPr>
        <w:spacing w:after="0" w:line="149"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12"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 Plans</w:t>
      </w:r>
      <w:r>
        <w:rPr>
          <w:rFonts w:ascii="Times New Roman" w:cs="Times New Roman" w:eastAsia="Times New Roman" w:hAnsi="Times New Roman"/>
          <w:sz w:val="22"/>
          <w:szCs w:val="22"/>
          <w:color w:val="auto"/>
        </w:rPr>
        <w:t>” means (i) The Arm Limited RSU Award Plan; (ii) The Arm Non-Executive Directors RSU Award Plan; (iii) The Arm Limited All-Employee Plan 2019; and (iv) The Executive IPO Plan 2019, including the sub-plans thereto, in each case originally adopted by Arm Limited, as may be subsequently amended and/or restated from time to time and as assumed or adopted by the Company prior to the Effective Date.</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206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Share</w:t>
      </w:r>
      <w:r>
        <w:rPr>
          <w:rFonts w:ascii="Times New Roman" w:cs="Times New Roman" w:eastAsia="Times New Roman" w:hAnsi="Times New Roman"/>
          <w:sz w:val="22"/>
          <w:szCs w:val="22"/>
          <w:color w:val="auto"/>
        </w:rPr>
        <w:t>” means Shares awarded to a Grantee under Section 7 subject to certain vesting conditions and other restrictions. For clarity, references to “performance shares” (or terms of similar import) means Restricted Shares with vesting or other terms conditioned upon achieving performance-based vesting conditions.</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5"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Share Unit</w:t>
      </w:r>
      <w:r>
        <w:rPr>
          <w:rFonts w:ascii="Times New Roman" w:cs="Times New Roman" w:eastAsia="Times New Roman" w:hAnsi="Times New Roman"/>
          <w:sz w:val="22"/>
          <w:szCs w:val="22"/>
          <w:color w:val="auto"/>
        </w:rPr>
        <w:t>” means an unfunded, unsecured right to receive, on the applicable settlement date, one Share (or, if specified in the Award Agreement, other consideration determined by the Administrator to be of equal value as of such settlement date), subject to certain vesting conditions and other restrictions provided that nothing contained in the Plan or any Award Agreement, and no action taken pursuant to its provisions, will create or be construed to create a trust of any kind or a fiduciary relationship between a Grantee and the Company or any of its Subsidiaries or any other person. For clarity, references to “performance share units” (or terms of similar import) means Restricted Share Units with vesting or other terms conditioned upon achieving performance-based vesting conditions.</w:t>
      </w:r>
    </w:p>
    <w:p>
      <w:pPr>
        <w:spacing w:after="0" w:line="180" w:lineRule="exact"/>
        <w:rPr>
          <w:rFonts w:ascii="Times New Roman" w:cs="Times New Roman" w:eastAsia="Times New Roman" w:hAnsi="Times New Roman"/>
          <w:sz w:val="22"/>
          <w:szCs w:val="22"/>
          <w:color w:val="auto"/>
        </w:rPr>
      </w:pPr>
    </w:p>
    <w:p>
      <w:pPr>
        <w:ind w:right="20" w:firstLine="1304"/>
        <w:spacing w:after="0" w:line="275" w:lineRule="auto"/>
        <w:tabs>
          <w:tab w:leader="none" w:pos="1885"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SAR</w:t>
      </w:r>
      <w:r>
        <w:rPr>
          <w:rFonts w:ascii="Times New Roman" w:cs="Times New Roman" w:eastAsia="Times New Roman" w:hAnsi="Times New Roman"/>
          <w:sz w:val="22"/>
          <w:szCs w:val="22"/>
          <w:color w:val="auto"/>
        </w:rPr>
        <w:t>” means a share appreciation right granted under the Plan entitling the Grantee to Shares or cash or a combination thereof, as measured by appreciation in the value of a Share.</w:t>
      </w:r>
    </w:p>
    <w:p>
      <w:pPr>
        <w:spacing w:after="0" w:line="149"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Section 409A of the Code.</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387" w:name="page388"/>
    <w:bookmarkEnd w:id="387"/>
    <w:p>
      <w:pPr>
        <w:jc w:val="both"/>
        <w:ind w:firstLine="1304"/>
        <w:spacing w:after="0" w:line="259" w:lineRule="auto"/>
        <w:tabs>
          <w:tab w:leader="none" w:pos="1857"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Employee, Director or Consultant, provided that Consultants and Directors who are not Employees are only considered “Service Providers” eligible to be granted Awards under the Non-Employee Sub-Plan.</w:t>
      </w:r>
    </w:p>
    <w:p>
      <w:pPr>
        <w:spacing w:after="0" w:line="179" w:lineRule="exact"/>
        <w:rPr>
          <w:rFonts w:ascii="Times New Roman" w:cs="Times New Roman" w:eastAsia="Times New Roman" w:hAnsi="Times New Roman"/>
          <w:sz w:val="22"/>
          <w:szCs w:val="22"/>
          <w:color w:val="auto"/>
        </w:rPr>
      </w:pPr>
    </w:p>
    <w:p>
      <w:pPr>
        <w:ind w:firstLine="1304"/>
        <w:spacing w:after="0" w:line="275" w:lineRule="auto"/>
        <w:tabs>
          <w:tab w:leader="none" w:pos="19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an ordinary share of GBP 0.001 each in the capital of the Company, or the equivalent number of ADSs equal to an ordinary share.</w:t>
      </w:r>
    </w:p>
    <w:p>
      <w:pPr>
        <w:spacing w:after="0" w:line="14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has the meaning given to it in Section 3(a).</w:t>
      </w:r>
    </w:p>
    <w:p>
      <w:pPr>
        <w:spacing w:after="0" w:line="219" w:lineRule="exact"/>
        <w:rPr>
          <w:rFonts w:ascii="Times New Roman" w:cs="Times New Roman" w:eastAsia="Times New Roman" w:hAnsi="Times New Roman"/>
          <w:sz w:val="22"/>
          <w:szCs w:val="22"/>
          <w:color w:val="auto"/>
        </w:rPr>
      </w:pPr>
    </w:p>
    <w:p>
      <w:pPr>
        <w:ind w:firstLine="1304"/>
        <w:spacing w:after="0" w:line="275" w:lineRule="auto"/>
        <w:tabs>
          <w:tab w:leader="none" w:pos="210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Security</w:t>
      </w:r>
      <w:r>
        <w:rPr>
          <w:rFonts w:ascii="Times New Roman" w:cs="Times New Roman" w:eastAsia="Times New Roman" w:hAnsi="Times New Roman"/>
          <w:sz w:val="22"/>
          <w:szCs w:val="22"/>
          <w:color w:val="auto"/>
        </w:rPr>
        <w:t>” means any charge, mortgage or other security interest over Shares (or shares in a holding company of the Company) granted from time to time by the holder of such shares to any Person.</w:t>
      </w:r>
    </w:p>
    <w:p>
      <w:pPr>
        <w:spacing w:after="0" w:line="16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66"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Shareholder Transfer</w:t>
      </w:r>
      <w:r>
        <w:rPr>
          <w:rFonts w:ascii="Times New Roman" w:cs="Times New Roman" w:eastAsia="Times New Roman" w:hAnsi="Times New Roman"/>
          <w:sz w:val="22"/>
          <w:szCs w:val="22"/>
          <w:color w:val="auto"/>
        </w:rPr>
        <w:t>” means any transfer of Shares between Kronos II LLC and SVF HoldCo (UK) Limited and/or each of such entities’ respective affiliates, provided that in the case of any transfer pursuant to which the transferee acquires Beneficial Ownership of securities possessing more than 50% of the total combined voting power of the Company’s then outstanding securities, such transferee is indirectly or directly controlled by SoftBank (including, without limitation, through ownership or control of such transferee’s manager or investment adviser).</w:t>
      </w:r>
    </w:p>
    <w:p>
      <w:pPr>
        <w:spacing w:after="0" w:line="175"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SoftBank</w:t>
      </w:r>
      <w:r>
        <w:rPr>
          <w:rFonts w:ascii="Times New Roman" w:cs="Times New Roman" w:eastAsia="Times New Roman" w:hAnsi="Times New Roman"/>
          <w:sz w:val="22"/>
          <w:szCs w:val="22"/>
          <w:color w:val="auto"/>
        </w:rPr>
        <w:t>” means SoftBank Group Corp., a corporation incorporated under the laws of Japan, or any</w:t>
      </w:r>
    </w:p>
    <w:p>
      <w:pPr>
        <w:spacing w:after="0" w:line="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 entity.</w:t>
      </w:r>
    </w:p>
    <w:p>
      <w:pPr>
        <w:spacing w:after="0" w:line="203" w:lineRule="exact"/>
        <w:rPr>
          <w:rFonts w:ascii="Times New Roman" w:cs="Times New Roman" w:eastAsia="Times New Roman" w:hAnsi="Times New Roman"/>
          <w:sz w:val="22"/>
          <w:szCs w:val="22"/>
          <w:color w:val="auto"/>
        </w:rPr>
      </w:pPr>
    </w:p>
    <w:p>
      <w:pPr>
        <w:ind w:firstLine="1304"/>
        <w:spacing w:after="0" w:line="275" w:lineRule="auto"/>
        <w:tabs>
          <w:tab w:leader="none" w:pos="192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Sub-Plan</w:t>
      </w:r>
      <w:r>
        <w:rPr>
          <w:rFonts w:ascii="Times New Roman" w:cs="Times New Roman" w:eastAsia="Times New Roman" w:hAnsi="Times New Roman"/>
          <w:sz w:val="22"/>
          <w:szCs w:val="22"/>
          <w:color w:val="auto"/>
        </w:rPr>
        <w:t>” means any sub-plan established with respect to the Plan, including the Non-Employee Sub-Plan, the France Sub-Plan, and the Israel Sub-Plan, in each case, as may be amended from time to time.</w:t>
      </w:r>
    </w:p>
    <w:p>
      <w:pPr>
        <w:spacing w:after="0" w:line="149" w:lineRule="exact"/>
        <w:rPr>
          <w:sz w:val="20"/>
          <w:szCs w:val="20"/>
          <w:color w:val="auto"/>
        </w:rPr>
      </w:pPr>
    </w:p>
    <w:p>
      <w:pPr>
        <w:jc w:val="both"/>
        <w:ind w:firstLine="1304"/>
        <w:spacing w:after="0" w:line="254" w:lineRule="auto"/>
        <w:tabs>
          <w:tab w:leader="none" w:pos="1997"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in which the Company owns, directly or indirectly, at least 50% of the total combined voting power of all classes of stock, or any other entity (including partnerships and joint ventures) in which the Company owns, directly or indirectly, at least 50% of the combined equity thereof; provided, however, that for purposes of determining whether any individual may be a Grantee for purposes of any grant of an Incentive Stock Option, “Subsidiary” shall have the meaning ascribed to such term in Section 424(f) of the Code.</w:t>
      </w:r>
    </w:p>
    <w:p>
      <w:pPr>
        <w:spacing w:after="0" w:line="173" w:lineRule="exact"/>
        <w:rPr>
          <w:rFonts w:ascii="Times New Roman" w:cs="Times New Roman" w:eastAsia="Times New Roman" w:hAnsi="Times New Roman"/>
          <w:sz w:val="22"/>
          <w:szCs w:val="22"/>
          <w:color w:val="auto"/>
        </w:rPr>
      </w:pPr>
    </w:p>
    <w:p>
      <w:pPr>
        <w:jc w:val="both"/>
        <w:ind w:firstLine="1304"/>
        <w:spacing w:after="0" w:line="265" w:lineRule="auto"/>
        <w:tabs>
          <w:tab w:leader="none" w:pos="206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Substitute Awards</w:t>
      </w:r>
      <w:r>
        <w:rPr>
          <w:rFonts w:ascii="Times New Roman" w:cs="Times New Roman" w:eastAsia="Times New Roman" w:hAnsi="Times New Roman"/>
          <w:sz w:val="22"/>
          <w:szCs w:val="22"/>
          <w:color w:val="auto"/>
        </w:rPr>
        <w:t>” means Awards granted or Shares issued by the Company in assumption of, or in substitution or exchange for, awards previously granted, or the right or obligation to make future awards, in each case by a company acquired by the Company or any of its affiliates or with which the Company or any of its affiliates combines.</w:t>
      </w:r>
    </w:p>
    <w:p>
      <w:pPr>
        <w:spacing w:after="0" w:line="16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SVF</w:t>
      </w:r>
      <w:r>
        <w:rPr>
          <w:rFonts w:ascii="Times New Roman" w:cs="Times New Roman" w:eastAsia="Times New Roman" w:hAnsi="Times New Roman"/>
          <w:sz w:val="22"/>
          <w:szCs w:val="22"/>
          <w:color w:val="auto"/>
        </w:rPr>
        <w:t>” means SoftBank Vision Fund L.P. (“</w:t>
      </w:r>
      <w:r>
        <w:rPr>
          <w:rFonts w:ascii="Times New Roman" w:cs="Times New Roman" w:eastAsia="Times New Roman" w:hAnsi="Times New Roman"/>
          <w:sz w:val="22"/>
          <w:szCs w:val="22"/>
          <w:b w:val="1"/>
          <w:bCs w:val="1"/>
          <w:color w:val="auto"/>
        </w:rPr>
        <w:t>Vision Fund</w:t>
      </w:r>
      <w:r>
        <w:rPr>
          <w:rFonts w:ascii="Times New Roman" w:cs="Times New Roman" w:eastAsia="Times New Roman" w:hAnsi="Times New Roman"/>
          <w:sz w:val="22"/>
          <w:szCs w:val="22"/>
          <w:color w:val="auto"/>
        </w:rPr>
        <w:t>”), SoftBank Vision Fund II-2 L.P. (“</w:t>
      </w:r>
      <w:r>
        <w:rPr>
          <w:rFonts w:ascii="Times New Roman" w:cs="Times New Roman" w:eastAsia="Times New Roman" w:hAnsi="Times New Roman"/>
          <w:sz w:val="22"/>
          <w:szCs w:val="22"/>
          <w:b w:val="1"/>
          <w:bCs w:val="1"/>
          <w:color w:val="auto"/>
        </w:rPr>
        <w:t>Vision Fund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or any successor fund established in relation to Vision Fund or Vision Fund II, the general partner, advisor or manager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is a direct or indirect Subsidiary of SoftBank (or, in each case, any of their affiliates thereof, or any alternative investment vehicle or similar entity established in relation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388" w:name="page389"/>
    <w:bookmarkEnd w:id="388"/>
    <w:p>
      <w:pPr>
        <w:ind w:right="20" w:firstLine="1304"/>
        <w:spacing w:after="0" w:line="275" w:lineRule="auto"/>
        <w:tabs>
          <w:tab w:leader="none" w:pos="2155"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w:t>
      </w:r>
      <w:r>
        <w:rPr>
          <w:rFonts w:ascii="Times New Roman" w:cs="Times New Roman" w:eastAsia="Times New Roman" w:hAnsi="Times New Roman"/>
          <w:sz w:val="22"/>
          <w:szCs w:val="22"/>
          <w:color w:val="auto"/>
        </w:rPr>
        <w:t>” means any employee share ownership trust which has been or may be established by the Company or any of its Subsidiaries to operate in conjunction with this Plan or any Award Agreement.</w:t>
      </w:r>
    </w:p>
    <w:p>
      <w:pPr>
        <w:spacing w:after="0" w:line="14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trustee or trustees for the time being of a Trust.</w:t>
      </w:r>
    </w:p>
    <w:p>
      <w:pPr>
        <w:spacing w:after="0" w:line="23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64"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vest</w:t>
      </w:r>
      <w:r>
        <w:rPr>
          <w:rFonts w:ascii="Times New Roman" w:cs="Times New Roman" w:eastAsia="Times New Roman" w:hAnsi="Times New Roman"/>
          <w:sz w:val="22"/>
          <w:szCs w:val="22"/>
          <w:color w:val="auto"/>
        </w:rPr>
        <w:t>” means, with respect to an Award other than an Option or SAR, that the Award (or portion thereof that is vested) is no longer subject to forfeiture. With respect to an Option or SAR, the term “vest” means either that the Option or SAR is exercisable or, if the Option or SAR is an “early exercise” Option or SAR that permits the exercise of the Option or SAR before the applicable vesting date or event has occurred, that the Shares issuable upon exercise of such Option or SAR are no longer subject to forfeiture. If vesting of an Award would result in vesting with respect to a fraction of a Share, Option, SAR or unit (as applicable), the amount that vests will be rounded down to the nearest whole Share, Option, SAR or unit (as applicable) and such fractional amount that does not vest will remain unvested until the next applicable vesting date or event (if any) upon which a whole Share, Option, SAR or unit (as applicable) can vest.</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Available for Awards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1"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 Subject to adjustment under Section 11 and the terms of this Section 3, Awards may be made under the Plan (taking account of Awards granted under the Sub-Plans) in an aggregate amount up to 20,500,000 Shares (the “</w:t>
      </w:r>
      <w:r>
        <w:rPr>
          <w:rFonts w:ascii="Times New Roman" w:cs="Times New Roman" w:eastAsia="Times New Roman" w:hAnsi="Times New Roman"/>
          <w:sz w:val="21"/>
          <w:szCs w:val="21"/>
          <w:b w:val="1"/>
          <w:bCs w:val="1"/>
          <w:color w:val="auto"/>
        </w:rPr>
        <w:t>Share Reserve</w:t>
      </w:r>
      <w:r>
        <w:rPr>
          <w:rFonts w:ascii="Times New Roman" w:cs="Times New Roman" w:eastAsia="Times New Roman" w:hAnsi="Times New Roman"/>
          <w:sz w:val="21"/>
          <w:szCs w:val="21"/>
          <w:color w:val="auto"/>
        </w:rPr>
        <w:t>”). In addition, the Share Reserve will automatically increase on April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each year commencing on April 1, 2024, and ending on (and including) April 1, 2028, in an amount equal to 2% of the total number of Shares outstanding on March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preceding fiscal year. Notwithstanding the foregoing, the Board (or, to the extent permitted by Applicable Law, the Committee) may act prior to April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a given year to provide that there will be no April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increase in the Share Reserve for such year or that the increase in the Share Reserve for such year will be a lesser (but not a greater) number of Shares than would otherwise occur pursuant to the preceding sentence. For purposes of the Plan, to the extent the Administrator determines to make or satisfy an Award in ADSs in lieu of Shares, then references to Shares shall be read as including such ADSs.</w:t>
      </w:r>
    </w:p>
    <w:p>
      <w:pPr>
        <w:spacing w:after="0" w:line="191" w:lineRule="exact"/>
        <w:rPr>
          <w:rFonts w:ascii="Times New Roman" w:cs="Times New Roman" w:eastAsia="Times New Roman" w:hAnsi="Times New Roman"/>
          <w:sz w:val="21"/>
          <w:szCs w:val="21"/>
          <w:color w:val="auto"/>
        </w:rPr>
      </w:pPr>
    </w:p>
    <w:p>
      <w:pPr>
        <w:ind w:firstLine="1304"/>
        <w:spacing w:after="0" w:line="271" w:lineRule="auto"/>
        <w:tabs>
          <w:tab w:leader="none" w:pos="1939"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 Applies to Shares Issued Pursuant to Awards</w:t>
      </w:r>
      <w:r>
        <w:rPr>
          <w:rFonts w:ascii="Times New Roman" w:cs="Times New Roman" w:eastAsia="Times New Roman" w:hAnsi="Times New Roman"/>
          <w:sz w:val="22"/>
          <w:szCs w:val="22"/>
          <w:color w:val="auto"/>
        </w:rPr>
        <w:t>. For clarity, the Share Reserve is a limit on the number of Shares that may be issued pursuant to Awards and not a limit on the granting of Awards.</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Recycling</w:t>
      </w:r>
      <w:r>
        <w:rPr>
          <w:rFonts w:ascii="Times New Roman" w:cs="Times New Roman" w:eastAsia="Times New Roman" w:hAnsi="Times New Roman"/>
          <w:sz w:val="22"/>
          <w:szCs w:val="22"/>
          <w:color w:val="auto"/>
        </w:rPr>
        <w:t>. Any Shares underlying an Award (or portion of an Award) that is (A) exchanged for, or settled in, cash, forfeited, canceled or expires (whether voluntarily or involuntarily) without the issuance of Shares or (B) granted as a Substitute Award in settlement or assumption of, or in substitution for, an outstanding award pursuant to Section 3(h), shall be deemed not to have been issued for purposes of determining the maximum number of Shares that may be issued under the Plan. Shares that actually have been issued under the Plan pursuant to an Award shall not be returned to the Plan and shall not become available for future issuance under the Plan, except that if unvested Restricted Shares are forfeited, such Shares shall become available for future issuance under the Plan. To the extent not prohibited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7" w:right="339" w:bottom="1440" w:gutter="0" w:footer="0" w:header="0"/>
        </w:sectPr>
      </w:pPr>
    </w:p>
    <w:bookmarkStart w:id="389" w:name="page390"/>
    <w:bookmarkEnd w:id="389"/>
    <w:p>
      <w:pPr>
        <w:jc w:val="both"/>
        <w:spacing w:after="0" w:line="251" w:lineRule="auto"/>
        <w:rPr>
          <w:sz w:val="20"/>
          <w:szCs w:val="20"/>
          <w:color w:val="auto"/>
        </w:rPr>
      </w:pPr>
      <w:r>
        <w:rPr>
          <w:rFonts w:ascii="Times New Roman" w:cs="Times New Roman" w:eastAsia="Times New Roman" w:hAnsi="Times New Roman"/>
          <w:sz w:val="22"/>
          <w:szCs w:val="22"/>
          <w:color w:val="auto"/>
        </w:rPr>
        <w:t>Laws, any Shares underlying an Award that are surrendered or withheld (x) in payment of the Award’s exercise or purchase price (including pursuant to the “net exercise” of an Option pursuant to Section 6(e)(iv)), or (y) in satisfaction of tax withholding obligations with respect to an Award, shall be deemed not to have been issued for purposes of determining the maximum number of Shares that may be issued under the Plan, unless otherwise determined by the Administrator. SARs payable in Shares shall reduce the maximum aggregate number of Shares which may be issued under the Plan only by the net number of actual Shares issued upon exercise of the SAR.</w:t>
      </w:r>
    </w:p>
    <w:p>
      <w:pPr>
        <w:spacing w:after="0" w:line="181" w:lineRule="exact"/>
        <w:rPr>
          <w:sz w:val="20"/>
          <w:szCs w:val="20"/>
          <w:color w:val="auto"/>
        </w:rPr>
      </w:pPr>
    </w:p>
    <w:p>
      <w:pPr>
        <w:ind w:firstLine="1304"/>
        <w:spacing w:after="0" w:line="271" w:lineRule="auto"/>
        <w:tabs>
          <w:tab w:leader="none" w:pos="1939"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ISO Limitation</w:t>
      </w:r>
      <w:r>
        <w:rPr>
          <w:rFonts w:ascii="Times New Roman" w:cs="Times New Roman" w:eastAsia="Times New Roman" w:hAnsi="Times New Roman"/>
          <w:sz w:val="22"/>
          <w:szCs w:val="22"/>
          <w:color w:val="auto"/>
        </w:rPr>
        <w:t>. Subject to adjustment under Section 11 and to the overall Share Reserve, no more than 20,500,000 Shares may be issued pursuant to the exercise of ISOs.</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Deed Poll</w:t>
      </w:r>
      <w:r>
        <w:rPr>
          <w:rFonts w:ascii="Times New Roman" w:cs="Times New Roman" w:eastAsia="Times New Roman" w:hAnsi="Times New Roman"/>
          <w:sz w:val="22"/>
          <w:szCs w:val="22"/>
          <w:color w:val="auto"/>
        </w:rPr>
        <w:t>. The Administrator may grant Awards by entering into a deed poll and, as soon as practicable after the Company has executed the deed poll, the Administrator shall enter into an Award Agreement.</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Type of Shares</w:t>
      </w:r>
      <w:r>
        <w:rPr>
          <w:rFonts w:ascii="Times New Roman" w:cs="Times New Roman" w:eastAsia="Times New Roman" w:hAnsi="Times New Roman"/>
          <w:sz w:val="21"/>
          <w:szCs w:val="21"/>
          <w:color w:val="auto"/>
        </w:rPr>
        <w:t>. The Shares issuable under the Plan will be new shares, treasury shares or market purchase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shares.</w:t>
      </w:r>
    </w:p>
    <w:p>
      <w:pPr>
        <w:spacing w:after="0" w:line="195" w:lineRule="exact"/>
        <w:rPr>
          <w:rFonts w:ascii="Times New Roman" w:cs="Times New Roman" w:eastAsia="Times New Roman" w:hAnsi="Times New Roman"/>
          <w:sz w:val="21"/>
          <w:szCs w:val="21"/>
          <w:color w:val="auto"/>
        </w:rPr>
      </w:pPr>
    </w:p>
    <w:p>
      <w:pPr>
        <w:ind w:right="20" w:firstLine="1304"/>
        <w:spacing w:after="0" w:line="284" w:lineRule="auto"/>
        <w:tabs>
          <w:tab w:leader="none" w:pos="1939"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ADSs</w:t>
      </w:r>
      <w:r>
        <w:rPr>
          <w:rFonts w:ascii="Times New Roman" w:cs="Times New Roman" w:eastAsia="Times New Roman" w:hAnsi="Times New Roman"/>
          <w:sz w:val="22"/>
          <w:szCs w:val="22"/>
          <w:color w:val="auto"/>
        </w:rPr>
        <w:t>. The Administrator may determine that certain Awards will be satisfied by the transfer or issue of ADSs in lieu of Shares, and references in this Plan to Shares shall be construed accordingly.</w:t>
      </w:r>
      <w:r>
        <w:rPr>
          <w:rFonts w:ascii="Times New Roman" w:cs="Times New Roman" w:eastAsia="Times New Roman" w:hAnsi="Times New Roman"/>
          <w:sz w:val="28"/>
          <w:szCs w:val="28"/>
          <w:color w:val="auto"/>
          <w:vertAlign w:val="superscript"/>
        </w:rPr>
        <w:t>1</w:t>
      </w:r>
    </w:p>
    <w:p>
      <w:pPr>
        <w:spacing w:after="0" w:line="62"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In connection with an entity’s merger or consolidation with the Company or any of its Subsidiaries or the Company’s or any of its Subsidiaries’ acquisition of an entity’s property or stock, the Administrator may grant Awards in substitution for any options or other equity or equity-based awards granted before such merger or consolidation by such entity or its affiliate. Such Substitute Awards may be granted on such terms as the Administrator deems appropriate, notwithstanding limitations on Awards in the Plan. Subject to Applicable Laws, Substitute Awards will not count against the Share Reserve (nor shall Shares subject to a Substitute Award be added to the Shares available for Awards under the Plan as provided above), except that Shares acquired by exercise of substitute ISOs will count against the maximum number of Shares that may be issued pursuant to the exercise of ISOs under the Plan. Additionally, in the event that a company acquired by the Company or any of its Subsidiaries or with which the Company or any of its Subsidiaries combines has shares available under a pre-existing plan not adopted in contemplation of such acquisition or combination, then, subject to Applicable Laws,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ordinary shares or common stock (as applicable) of the entities party to such acquisition or combination) may be used for Awards under the Plan and shall not reduce the Shares authorized for grant under the Plan (and Shares subject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5" w:lineRule="exact"/>
        <w:rPr>
          <w:sz w:val="20"/>
          <w:szCs w:val="20"/>
          <w:color w:val="auto"/>
        </w:rPr>
      </w:pPr>
    </w:p>
    <w:p>
      <w:pPr>
        <w:jc w:val="both"/>
        <w:ind w:firstLine="8"/>
        <w:spacing w:after="0" w:line="235" w:lineRule="auto"/>
        <w:tabs>
          <w:tab w:leader="none" w:pos="127" w:val="left"/>
        </w:tabs>
        <w:numPr>
          <w:ilvl w:val="0"/>
          <w:numId w:val="2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Grantees: As at the date of this Plan, each ADS represents one underlying ordinary share of the Company. ADSs are the securities that are publicly tradeable on Nasdaq. In some circumstances, ADSs may be evidenced in certificate form by American Depositary Receipts, however as at the date of this Plan, the Company’s ADSs are uncertificated.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390" w:name="page391"/>
    <w:bookmarkEnd w:id="390"/>
    <w:p>
      <w:pPr>
        <w:jc w:val="both"/>
        <w:spacing w:after="0" w:line="256" w:lineRule="auto"/>
        <w:rPr>
          <w:sz w:val="20"/>
          <w:szCs w:val="20"/>
          <w:color w:val="auto"/>
        </w:rPr>
      </w:pPr>
      <w:r>
        <w:rPr>
          <w:rFonts w:ascii="Times New Roman" w:cs="Times New Roman" w:eastAsia="Times New Roman" w:hAnsi="Times New Roman"/>
          <w:sz w:val="22"/>
          <w:szCs w:val="22"/>
          <w:color w:val="auto"/>
        </w:rPr>
        <w:t>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76" w:lineRule="exact"/>
        <w:rPr>
          <w:sz w:val="20"/>
          <w:szCs w:val="20"/>
          <w:color w:val="auto"/>
        </w:rPr>
      </w:pPr>
    </w:p>
    <w:p>
      <w:pPr>
        <w:ind w:left="1940" w:hanging="636"/>
        <w:spacing w:after="0"/>
        <w:tabs>
          <w:tab w:leader="none" w:pos="194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Plans</w:t>
      </w:r>
      <w:r>
        <w:rPr>
          <w:rFonts w:ascii="Times New Roman" w:cs="Times New Roman" w:eastAsia="Times New Roman" w:hAnsi="Times New Roman"/>
          <w:sz w:val="22"/>
          <w:szCs w:val="22"/>
          <w:color w:val="auto"/>
        </w:rPr>
        <w:t>. Upon the Effective Date, no further new awards may be granted over Shares under the Prior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Plans.</w:t>
      </w:r>
    </w:p>
    <w:p>
      <w:pPr>
        <w:spacing w:after="0" w:line="196" w:lineRule="exact"/>
        <w:rPr>
          <w:sz w:val="20"/>
          <w:szCs w:val="20"/>
          <w:color w:val="auto"/>
        </w:rPr>
      </w:pPr>
    </w:p>
    <w:p>
      <w:pPr>
        <w:ind w:left="1300" w:hanging="644"/>
        <w:spacing w:after="0"/>
        <w:tabs>
          <w:tab w:leader="none" w:pos="130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The Plan shall be administered by the Board or a Committee designated by the Board in accordance with Applicable Laws. Once appointed, such Committee shall continue to serve in its designated capacity until otherwise directed by the Board. To the extent permitted by Applicable Law, the Board or Committee may also authorize one or more Officers or Employees to administer the Plan with respect to Awards to Service Providers (and to grant such Awards) and may limit such authority as the Board or Committee, as applicable, determines from time to time; provided, that in no event may an Officer or Employee grant, or have administrative discretion with respect to, his or her own Award.</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6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Service Providers to whom Awards may be granted;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when and to what extent Awards are granted;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or the amount of cash or other consideration underlying each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w:t>
      </w:r>
    </w:p>
    <w:p>
      <w:pPr>
        <w:spacing w:after="0" w:line="20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of any Award, including the vesting schedule, forfeiture provisions, payment contingencies, purchase price and any performance criteria, and whether to waive or accelerate any such terms and conditions;</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grant Awards to Service Providers residing outside the U.S. or to otherwise adopt or administer such procedures or sub-plans on such terms and conditions different from those specified in the Plan as may, in the judgment of the Administrator, be necessary or desirable to further the purposes of the Plan or comply with Applicable Laws;</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amend the terms of any outstanding Award, subject to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391" w:name="page392"/>
    <w:bookmarkEnd w:id="391"/>
    <w:p>
      <w:pPr>
        <w:jc w:val="both"/>
        <w:ind w:firstLine="1952"/>
        <w:spacing w:after="0" w:line="257" w:lineRule="auto"/>
        <w:tabs>
          <w:tab w:leader="none" w:pos="2592"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to what extent and under what circumstances cash, Shares, other Awards, other property and other amounts payable with respect to an Award under the Plan shall be deferred either automatically or at the election of the Grantee or of the Administrator;</w:t>
      </w:r>
    </w:p>
    <w:p>
      <w:pPr>
        <w:spacing w:after="0" w:line="186"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one or more programs under the Plan to permit selected Grantees to exchange an Award for one or more other types of Awards on such terms and conditions as determined by the Administrator;</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one or more separate programs under the Plan for the purpose of issuing particular forms of Awards to one or more classes of Grantees;</w:t>
      </w:r>
    </w:p>
    <w:p>
      <w:pPr>
        <w:spacing w:after="0" w:line="15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including any Award Agreement;</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corrections in the documentation or administration of any Award;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delegate any or all of its powers under the Plan to the extent permitted by Applicable Laws;</w:t>
      </w:r>
    </w:p>
    <w:p>
      <w:pPr>
        <w:spacing w:after="0" w:line="219" w:lineRule="exact"/>
        <w:rPr>
          <w:rFonts w:ascii="Times New Roman" w:cs="Times New Roman" w:eastAsia="Times New Roman" w:hAnsi="Times New Roman"/>
          <w:sz w:val="22"/>
          <w:szCs w:val="22"/>
          <w:color w:val="auto"/>
        </w:rPr>
      </w:pPr>
    </w:p>
    <w:p>
      <w:pPr>
        <w:ind w:right="20" w:firstLine="1952"/>
        <w:spacing w:after="0" w:line="271" w:lineRule="auto"/>
        <w:tabs>
          <w:tab w:leader="none" w:pos="25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designate whether such Awards will be satisfied by Shares or ADSs, in each case subject to the conditions and limitations in the Plan; and</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such other action, not inconsistent with the terms of the Plan, as the Administrator deems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express grant in the Plan of any specific power to the Administrator shall not be construed as limiting any power or authority of the Administrator. Any decision or interpretation made, or action taken, by the Administrator in connection with the administration of the Plan shall be final, conclusive and binding on all Grantees.</w:t>
      </w:r>
    </w:p>
    <w:p>
      <w:pPr>
        <w:spacing w:after="0" w:line="173" w:lineRule="exact"/>
        <w:rPr>
          <w:sz w:val="20"/>
          <w:szCs w:val="20"/>
          <w:color w:val="auto"/>
        </w:rPr>
      </w:pPr>
    </w:p>
    <w:p>
      <w:pPr>
        <w:ind w:left="1300" w:hanging="644"/>
        <w:spacing w:after="0"/>
        <w:tabs>
          <w:tab w:leader="none" w:pos="1300"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Service Providers are eligible to be granted Awards under the Plan, subject to the limitations described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209" w:lineRule="exact"/>
        <w:rPr>
          <w:sz w:val="20"/>
          <w:szCs w:val="20"/>
          <w:color w:val="auto"/>
        </w:rPr>
      </w:pPr>
    </w:p>
    <w:p>
      <w:pPr>
        <w:ind w:left="1300" w:hanging="644"/>
        <w:spacing w:after="0"/>
        <w:tabs>
          <w:tab w:leader="none" w:pos="130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and Share Appreciation Rights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Administrator may grant Options or SARs to Service Providers subject to the limitations in the Plan, including any limitations in the Plan that apply to ISOs. The Administrator will determine the number of Options and/or SARs, the exercise price of each Option and SAR and the conditions and limitations applicable to the exercise of each Option and SAR. Each Option will be designated in writing as an ISO or Non-Qualified Stock Option at the time of grant; provided, however, that if an Option is not so designated, then such Option will be a Non-Qualified Stock Option, and the Shares purchased upon exercise of each type of Option will be separately accounted for. A SAR will entitle the Grantee (or other person entitled to exercise the SAR) to receive from the Company upon exercise of the exercisable portion of the SAR an amount determined by multiplying the excess, if any, of the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392" w:name="page393"/>
    <w:bookmarkEnd w:id="392"/>
    <w:p>
      <w:pPr>
        <w:jc w:val="both"/>
        <w:spacing w:after="0" w:line="253" w:lineRule="auto"/>
        <w:rPr>
          <w:sz w:val="20"/>
          <w:szCs w:val="20"/>
          <w:color w:val="auto"/>
        </w:rPr>
      </w:pPr>
      <w:r>
        <w:rPr>
          <w:rFonts w:ascii="Times New Roman" w:cs="Times New Roman" w:eastAsia="Times New Roman" w:hAnsi="Times New Roman"/>
          <w:sz w:val="22"/>
          <w:szCs w:val="22"/>
          <w:color w:val="auto"/>
        </w:rPr>
        <w:t>Value of one Share on the date of exercise over the exercise price per Share of the SAR by the number of Shares with respect to which the SAR is exercised, subject to any limitations of the Plan or that the Administrator may impose and payable in cash, Shares valued at Fair Market Value or a combination of the two as the Administrator may determine or provide in the Award Agreement. A Grantee will have no rights of a shareholder with respect to Shares subject to any Option or SAR unless and until any Shares are delivered in settlement of the Option or SAR.</w:t>
      </w:r>
    </w:p>
    <w:p>
      <w:pPr>
        <w:spacing w:after="0" w:line="179" w:lineRule="exact"/>
        <w:rPr>
          <w:sz w:val="20"/>
          <w:szCs w:val="20"/>
          <w:color w:val="auto"/>
        </w:rPr>
      </w:pPr>
    </w:p>
    <w:p>
      <w:pPr>
        <w:jc w:val="both"/>
        <w:ind w:firstLine="1304"/>
        <w:spacing w:after="0" w:line="250" w:lineRule="auto"/>
        <w:tabs>
          <w:tab w:leader="none" w:pos="1939"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Administrator will establish each Option’s and SAR’s exercise price and specify the exercise price in the Award Agreement. Subject to Section 25, the exercise price will not be less than the nominal value of a Share and for Grantees who are subject to tax in the United States not less than 100% of the Fair Market Value on the grant date of the Option or SAR. Notwithstanding the foregoing, an Option or SAR may be granted with an exercise price lower than 100% of the Fair Market Value on the date of grant of such Award if such Award is granted pursuant to an assumption of or substitution for another option or share appreciation right pursuant to Section 3(h) and, in respect of Grantees who are subject to tax in the United States, in a manner consistent with the provisions of Sections 409A and, if applicable, 424(a) of the Code.</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w:t>
      </w:r>
      <w:r>
        <w:rPr>
          <w:rFonts w:ascii="Times New Roman" w:cs="Times New Roman" w:eastAsia="Times New Roman" w:hAnsi="Times New Roman"/>
          <w:sz w:val="22"/>
          <w:szCs w:val="22"/>
          <w:color w:val="auto"/>
        </w:rPr>
        <w:t>. Each Option or SAR will vest and be exercisable at such times and as specified in the Award Agreement, provided that the term of an Option or SAR will not exceed ten years, subject to Section 25. Notwithstanding the foregoing and unless determined otherwise by the Company, in the event that on the last business day of the term of an Option or SAR (other than an ISO) (i) the exercise of the Option or SAR is prohibited by Applicable Laws, as determined by the Company, or (ii) Shares may not be purchased or sold by the applicable Grantee due to any Company insider trading, window period and/or dealing policy (including blackout periods), the term of the Option or SAR shall be extended until the date that is 30 days after the end of the legal prohibition, black-out period, as determined by the Company; provided, however, in no event shall the extension last beyond the original term of the applicable Option or SAR. Unless otherwise provided in an Award Agreement or otherwise determined by the Administrator, if the Grantee’s Continuous Service terminates for any reason before the full vesting of the Option or SAR, the vesting of the Option or SAR shall cease immediately upon the effective date of such termination of Continuous Service and such unvested portion shall be forfeited.</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Options and SARs may be exercised by delivering to the Company a written notice of exercise, in a form the Administrator approves (which may be electronic), signed by the person authorized to exercise the Option or SAR, together with, as applicable, payment in full (i) as specified in Section 6(e) for the number of Shares for which the Award is exercised and (ii) as specified in Section 10(b) for any applicable taxes. Unless the Administrator otherwise determines, an Option or SAR may not be exercised for a fraction of a Share. An Option or SAR shall be deemed exercised when written notice of such exercise has been given to the Company (or a broker pursuant to Section 6(e)(ii) in accordance with the terms of the Award by the Grantee and, if applicable, full payment for the Shares with respect to which the Option or SAR is exercised has been made (together with applicable 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393" w:name="page394"/>
    <w:bookmarkEnd w:id="393"/>
    <w:p>
      <w:pPr>
        <w:ind w:firstLine="1304"/>
        <w:spacing w:after="0" w:line="295" w:lineRule="auto"/>
        <w:tabs>
          <w:tab w:leader="none" w:pos="1941"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Upon Exercise</w:t>
      </w:r>
      <w:r>
        <w:rPr>
          <w:rFonts w:ascii="Times New Roman" w:cs="Times New Roman" w:eastAsia="Times New Roman" w:hAnsi="Times New Roman"/>
          <w:sz w:val="21"/>
          <w:szCs w:val="21"/>
          <w:color w:val="auto"/>
        </w:rPr>
        <w:t>. Subject to the Company’s or any relevant Subsidiary’s insider trading, window period and/or dealing policy (including blackout periods) and Applicable Laws, the exercise price of an Option must be paid by:</w:t>
      </w:r>
    </w:p>
    <w:p>
      <w:pPr>
        <w:spacing w:after="0" w:line="135" w:lineRule="exact"/>
        <w:rPr>
          <w:rFonts w:ascii="Times New Roman" w:cs="Times New Roman" w:eastAsia="Times New Roman" w:hAnsi="Times New Roman"/>
          <w:sz w:val="21"/>
          <w:szCs w:val="21"/>
          <w:color w:val="auto"/>
        </w:rPr>
      </w:pPr>
    </w:p>
    <w:p>
      <w:pPr>
        <w:jc w:val="both"/>
        <w:ind w:firstLine="1952"/>
        <w:spacing w:after="0" w:line="263" w:lineRule="auto"/>
        <w:tabs>
          <w:tab w:leader="none" w:pos="2580"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wire transfer of immediately available funds or by cheque payable to the order of the Company, provided that the Company may limit the use of one of the foregoing payment forms if one or more of the payment forms below is permitted;</w:t>
      </w:r>
    </w:p>
    <w:p>
      <w:pPr>
        <w:spacing w:after="0" w:line="167"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 (B) the Grantee’s delivery to the Company of a copy of irrevocable and unconditional instructions to a broker acceptable to the Company to deliver promptly to the Company cash or a cheque sufficient to pay the exercise price; provided that such amount is paid to the Company at such time as may be required by the Administrator;</w:t>
      </w:r>
    </w:p>
    <w:p>
      <w:pPr>
        <w:spacing w:after="0" w:line="181"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92"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the Administrator at the time of exercise, delivery (either by actual delivery or attestation) of Shares owned by the Grantee free and clear of any liens, claims, encumbrances or security interests, which, when valued at their Fair Market Value on the exercise date, have a value sufficient to pay the exercise price, provided that (A) at the time of exercise the Shares are publicly traded, (B) any remaining balance of the exercise price not satisfied by such delivery is paid by the Grantee in cash or other permitted form of payment, (C) such delivery would not violate any Applicable Laws or agreement restricting the redemption of the Shares, (D) if required by the Administrator, any certificated Shares are endorsed or accompanied by an executed assignment separate from certificate, and (E) such Shares have been held by the Grantee for any minimum period necessary to avoid adverse accounting treatment as a result of such delivery;</w:t>
      </w:r>
    </w:p>
    <w:p>
      <w:pPr>
        <w:spacing w:after="0" w:line="195"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0" w:val="left"/>
        </w:tabs>
        <w:numPr>
          <w:ilvl w:val="1"/>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the Administrator at the time of exercise, by way of “net exercise” where Shares then issuable upon the Option’s exercise which, when valued at their Fair Market Value on the exercise date, have a value sufficient to pay the exercise price are withheld in satisfaction of the exercise price, provided that any remaining balance of the exercise price not satisfied by such net exercise is paid by the Grantee in cash or other permitted form of payment;</w:t>
      </w:r>
    </w:p>
    <w:p>
      <w:pPr>
        <w:spacing w:after="0" w:line="163" w:lineRule="exact"/>
        <w:rPr>
          <w:rFonts w:ascii="Times New Roman" w:cs="Times New Roman" w:eastAsia="Times New Roman" w:hAnsi="Times New Roman"/>
          <w:sz w:val="21"/>
          <w:szCs w:val="21"/>
          <w:color w:val="auto"/>
        </w:rPr>
      </w:pPr>
    </w:p>
    <w:p>
      <w:pPr>
        <w:ind w:firstLine="1952"/>
        <w:spacing w:after="0" w:line="284" w:lineRule="auto"/>
        <w:tabs>
          <w:tab w:leader="none" w:pos="2587"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the Administrator at the time of exercise and by permitted Applicable Law, delivery of any other property that the Administrator determines is good and valuable consideration;</w:t>
      </w:r>
    </w:p>
    <w:p>
      <w:pPr>
        <w:spacing w:after="0" w:line="14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approved by the Administrator; or</w:t>
      </w:r>
    </w:p>
    <w:p>
      <w:pPr>
        <w:spacing w:after="0" w:line="219" w:lineRule="exact"/>
        <w:rPr>
          <w:rFonts w:ascii="Times New Roman" w:cs="Times New Roman" w:eastAsia="Times New Roman" w:hAnsi="Times New Roman"/>
          <w:sz w:val="22"/>
          <w:szCs w:val="22"/>
          <w:color w:val="auto"/>
        </w:rPr>
      </w:pPr>
    </w:p>
    <w:p>
      <w:pPr>
        <w:ind w:right="20" w:firstLine="1952"/>
        <w:spacing w:after="0" w:line="271" w:lineRule="auto"/>
        <w:tabs>
          <w:tab w:leader="none" w:pos="2586"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the Administrator, any combination of the above payment forms approved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394" w:name="page395"/>
    <w:bookmarkEnd w:id="394"/>
    <w:p>
      <w:pPr>
        <w:ind w:left="1300" w:hanging="644"/>
        <w:spacing w:after="0"/>
        <w:tabs>
          <w:tab w:leader="none" w:pos="1300"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Shares; Restricted Share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Administrator may grant Restricted Shares, or the right to purchase Restricted Shares, to any Service Provider, subject to the Company’s right to repurchase all or part of such Shares at their issue price or other stated or formula price from the Grantee (or to require forfeiture or compulsory transfer of such Shares in such manner as the Administrator may determine) if conditions the Administrator specifies in the Award Agreement are not satisfied before the end of the applicable restriction period or periods that the Administrator establishes for such Award. In addition, the Administrator may grant to Service Providers Restricted Share Units, which may be subject to vesting, issuance and forfeiture conditions during the applicable restriction period or periods, as set forth in an Award Agreement. The Administrator will determine and set forth in the Award Agreement the terms and conditions for each Restricted Share and Restricted Share Unit Award, subject to the conditions and limitations contained in the Plan.</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w:t>
      </w:r>
      <w:r>
        <w:rPr>
          <w:rFonts w:ascii="Times New Roman" w:cs="Times New Roman" w:eastAsia="Times New Roman" w:hAnsi="Times New Roman"/>
          <w:sz w:val="22"/>
          <w:szCs w:val="22"/>
          <w:color w:val="auto"/>
        </w:rPr>
        <w:t>. Each Restricted Share or Restricted Share Unit will vest at such times and as specified in the Award Agreement. Unless otherwise provided in an Award Agreement or otherwise determined by the Administrator, if, prior to the vesting date of a Restricted Share or Restricted Share Unit, the Grantee’s Continuous Service terminates for any reason, including death or Disability, the vesting of the Restricted Share or Restricted Share Unit shall cease immediately upon the effective date of such termination of Continuous Service and such unvested portion shall be forfeited.</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Dividend Equivalent Rights</w:t>
      </w:r>
      <w:r>
        <w:rPr>
          <w:rFonts w:ascii="Times New Roman" w:cs="Times New Roman" w:eastAsia="Times New Roman" w:hAnsi="Times New Roman"/>
          <w:sz w:val="22"/>
          <w:szCs w:val="22"/>
          <w:color w:val="auto"/>
        </w:rPr>
        <w:t>. Dividends on Restricted Shares and Dividend Equivalent Rights on Restricted Share Units may be paid or credited, as applicable, with respect to any Restricted Shares or Shares subject to Restricted Share Units, as determined (and on such terms as may be determined) by the Administrator and specified in the Award Agreement.</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3"/>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Award</w:t>
      </w:r>
      <w:r>
        <w:rPr>
          <w:rFonts w:ascii="Times New Roman" w:cs="Times New Roman" w:eastAsia="Times New Roman" w:hAnsi="Times New Roman"/>
          <w:sz w:val="22"/>
          <w:szCs w:val="22"/>
          <w:color w:val="auto"/>
        </w:rPr>
        <w:t>. The Company may require that the Grantee deposit in escrow with the Company (or its designee) any certificates issued in respect of Restricted Shares, together with a stock transfer form endorsed in blank. Unless otherwise determined by the Administrator, a Grantee will have voting and other rights as a shareholder of the Company with respect to any Restricted Shares.</w:t>
      </w:r>
    </w:p>
    <w:p>
      <w:pPr>
        <w:spacing w:after="0" w:line="19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3"/>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Subject to Applicable Law, Restricted Shares may be granted in consideration for</w:t>
      </w:r>
    </w:p>
    <w:p>
      <w:pPr>
        <w:spacing w:after="0" w:line="27" w:lineRule="exact"/>
        <w:rPr>
          <w:rFonts w:ascii="Times New Roman" w:cs="Times New Roman" w:eastAsia="Times New Roman" w:hAnsi="Times New Roman"/>
          <w:sz w:val="22"/>
          <w:szCs w:val="22"/>
          <w:color w:val="auto"/>
        </w:rPr>
      </w:pPr>
    </w:p>
    <w:p>
      <w:pPr>
        <w:jc w:val="both"/>
        <w:ind w:firstLine="8"/>
        <w:spacing w:after="0" w:line="245" w:lineRule="auto"/>
        <w:tabs>
          <w:tab w:leader="none" w:pos="40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or check, bank draft or money order payable to the Company, (B) past services to the Company or any of its Subsidiaries, or (C) any other form of consideration (including future services) as the Administrator may determine to be acceptable and which is permissible under Applicable Laws.</w:t>
      </w:r>
    </w:p>
    <w:p>
      <w:pPr>
        <w:spacing w:after="0" w:line="18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Share Units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1" w:right="339" w:bottom="1440" w:gutter="0" w:footer="0" w:header="0"/>
        </w:sectPr>
      </w:pPr>
    </w:p>
    <w:bookmarkStart w:id="395" w:name="page396"/>
    <w:bookmarkEnd w:id="395"/>
    <w:p>
      <w:pPr>
        <w:jc w:val="both"/>
        <w:ind w:firstLine="1952"/>
        <w:spacing w:after="0" w:line="251" w:lineRule="auto"/>
        <w:tabs>
          <w:tab w:leader="none" w:pos="258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Unless otherwise provided in an Award Agreement or otherwise determined by the Administrator (including that the settlement of Restricted Share Units will be deferred, on a mandatory basis or at the Grantee’s election), as soon as administratively feasible, but no later than 60 days following the date on which the Restricted Share Units vest (each,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 number of Shares equal to the number of Restricted Share Units subject to the Award that vest on the applicable Vesting Date shall be issued to the Grantee, subject to any required tax or other withholding obligations. The Grantee may be required to pay the nominal value thereof.</w:t>
      </w:r>
    </w:p>
    <w:p>
      <w:pPr>
        <w:spacing w:after="0" w:line="181"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A Grantee will have no rights of a shareholder with respect to any Shares subject to any Restricted Share Unit unless and until the Shares are delivered in a settlement of the Restricted Share Unit.</w:t>
      </w:r>
    </w:p>
    <w:p>
      <w:pPr>
        <w:spacing w:after="0" w:line="171"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92"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Unless otherwise determined by the Administrator at the time of grant, Restricted Share Units will be granted in consideration for the Grantee’s services to the Company or any of its Subsidiaries, such that the Grantee will not be required to make any payment to the Company (other than such services) with respect to the grant or vesting of the Award, or the issuance of any Shares pursuant to the Award. If the Administrator determines that any consideration must be paid by the Grantee (in a form other than the Grantee’s services to the Company or a Subsidiary of the Company) upon the issuance of any Shares in settlement of the Award, such consideration may be paid in any form of consideration as the Administrator may determine to be acceptable and which is permissible under Applicable Laws.</w:t>
      </w:r>
    </w:p>
    <w:p>
      <w:pPr>
        <w:spacing w:after="0" w:line="180"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Awards</w:t>
      </w:r>
      <w:r>
        <w:rPr>
          <w:rFonts w:ascii="Times New Roman" w:cs="Times New Roman" w:eastAsia="Times New Roman" w:hAnsi="Times New Roman"/>
          <w:sz w:val="22"/>
          <w:szCs w:val="22"/>
          <w:color w:val="auto"/>
        </w:rPr>
        <w:t>. Other Awards may be granted to Grantees, including awards entitling Grantees to receive cash or Shares to be delivered in the future (whether based on specified performance criteria, performance goals or otherwise), in each case subject to any conditions and limitations in the Plan. Such Other Awards will also be available as a payment form in the settlement of other Awards, as standalone payments and as payment in lieu of compensation to which a Grantee is otherwise entitled. Other Awards may be paid in cash, Shares or other property, as the Administrator determines. Subject to the provisions of the Plan, the Administrator will determine the terms and conditions of each Other Award, including any purchase price, performance condition, performance goal, transfer restrictions, and vesting conditions, which, to the extent applicable to the Other Award, will be set forth in the applicable Award Agreement. For clarity, Other Awards need not be subject to vesting or other conditions or restrictions.</w:t>
      </w:r>
    </w:p>
    <w:p>
      <w:pPr>
        <w:spacing w:after="0" w:line="198"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 If the Administrator determines that the delivery of Shares with respect to an Award is or may be unlawful under Applicable Laws, the vesting or right to exercise an Award or to otherwise receive Shares with respect to an Award shall be suspended until the Administrator determines that such delivery is lawful. An Incentive Stock Option may not be exercised until the Plan has been approved by the stockholders of the Company. The Company shall have no obligation to effect any registration or qualification of the Shares under Applicable Laws. A Grantee’s right to exercise an Award may be suspended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1" w:right="339" w:bottom="1440" w:gutter="0" w:footer="0" w:header="0"/>
        </w:sectPr>
      </w:pPr>
    </w:p>
    <w:bookmarkStart w:id="396" w:name="page397"/>
    <w:bookmarkEnd w:id="396"/>
    <w:p>
      <w:pPr>
        <w:spacing w:after="0" w:line="271" w:lineRule="auto"/>
        <w:rPr>
          <w:sz w:val="20"/>
          <w:szCs w:val="20"/>
          <w:color w:val="auto"/>
        </w:rPr>
      </w:pPr>
      <w:r>
        <w:rPr>
          <w:rFonts w:ascii="Times New Roman" w:cs="Times New Roman" w:eastAsia="Times New Roman" w:hAnsi="Times New Roman"/>
          <w:sz w:val="22"/>
          <w:szCs w:val="22"/>
          <w:color w:val="auto"/>
        </w:rPr>
        <w:t>limited period of time if the Administrator determines that such suspension is administratively necessary or desirable. In no event shall the Company issue fractional Shares.</w:t>
      </w:r>
    </w:p>
    <w:p>
      <w:pPr>
        <w:spacing w:after="0" w:line="158" w:lineRule="exact"/>
        <w:rPr>
          <w:sz w:val="20"/>
          <w:szCs w:val="20"/>
          <w:color w:val="auto"/>
        </w:rPr>
      </w:pPr>
    </w:p>
    <w:p>
      <w:pPr>
        <w:ind w:left="1300" w:hanging="644"/>
        <w:spacing w:after="0"/>
        <w:tabs>
          <w:tab w:leader="none" w:pos="130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Liability</w:t>
      </w:r>
      <w:r>
        <w:rPr>
          <w:rFonts w:ascii="Times New Roman" w:cs="Times New Roman" w:eastAsia="Times New Roman" w:hAnsi="Times New Roman"/>
          <w:sz w:val="22"/>
          <w:szCs w:val="22"/>
          <w:color w:val="auto"/>
        </w:rPr>
        <w:t>. The taxation, social security or similar obligations that are not imposed by Applicable Law on the Company, any Subsidiary of the Company or any Trust that arise in connection with an Award or any sale or other disposition of Shares issued pursuant to an Award are the Grantee’s personal responsibility, regardless of any action the Company, any Subsidiary of the Company or any Trust takes with respect to any tax or other withholding obligations that arise in connection with an Award. None of the Company, any Subsidiary of the Company or any Trust makes any representation or undertaking regarding the treatment of any tax withholding in connection with any aspect of the Award, or commits to structure the Award to reduce or eliminate the Grantee’s tax liability.</w:t>
      </w:r>
    </w:p>
    <w:p>
      <w:pPr>
        <w:spacing w:after="0" w:line="180"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39"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Grantee shall, no later than the date as of which taxes (including any income tax, employment tax and payroll tax), duties, social insurance, social security contributions (including anything in a jurisdiction outside the United Kingdom which, in the opinion of the Administrator, is reasonably comparable to social security contributions) or other amounts in respect of Awards or otherwise in connection with a person’s participation in the Plan are required by Applicable Laws to be withheld with respect to an Award (“</w:t>
      </w: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pay to the Company, a Subsidiary of the Company or a Trust (as applicable), or make arrangements satisfactory to the Administrator regarding payment of, the Withholding Obligations. The obligations of the Company under the Plan shall be conditional on satisfaction of applicable Withholding Obligations with respect to the Award. None of the Company, any Subsidiary of the Company or any Trust is under any obligation to arrange for any sale of Shares to satisfy any Withholding Obligations, or for a sale to be at any particular price, and any such sale may not be sufficient to satisfy a Grantee’s Withholding Obligations. Accordingly, Grantees may be required to pay to the Company, a Subsidiary of the Company or a Trust (as applicable) at such time and in such manner as the Company, such Subsidiary or such Trust (as applicable) may specify, including by wire transfer, delivery of a certified check, additional payroll withholding or such other means as may be specified from time to time by the Company, such Subsidiary or such Trust (as applicable), any amount of the Withholding Obligations that is not satisfied by a sale of Shares. Without limiting the foregoing, subject to Applicable Laws, the Company, a Subsidiary or a Trust (as applicable) may satisfy any Withholding Obligations by offsetting any amounts payable to the Grantee by the Company, such Subsidiary or such Trust (as applicable), and the Administrator may require or may permit a Grantee to elect that the withholding requirement be satisfied in whole or in part, by having the Company, a Subsidiary of the Company or a Trust (as applicable) withhold or by selling or tendering to the Company, a Subsidiary of the Company or a Trust (as applicable), Shares having a Fair Market Value equal to the minimum statutory withholding with respect to an Award or such greater amount that is permitted by Applicable Law, provided such greater amount does not exceed the maximum statutory rates in the applicable jurisdictions or cause adverse accounting consequences for the Company, the Subsidiary of the Company or the Trust (as applicable). The Company, a Subsidiary of the Company or a Trust (as applicable) may also use any other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1" w:right="339" w:bottom="1440" w:gutter="0" w:footer="0" w:header="0"/>
        </w:sectPr>
      </w:pPr>
    </w:p>
    <w:bookmarkStart w:id="397" w:name="page398"/>
    <w:bookmarkEnd w:id="397"/>
    <w:p>
      <w:pPr>
        <w:spacing w:after="0" w:line="271" w:lineRule="auto"/>
        <w:rPr>
          <w:sz w:val="20"/>
          <w:szCs w:val="20"/>
          <w:color w:val="auto"/>
        </w:rPr>
      </w:pPr>
      <w:r>
        <w:rPr>
          <w:rFonts w:ascii="Times New Roman" w:cs="Times New Roman" w:eastAsia="Times New Roman" w:hAnsi="Times New Roman"/>
          <w:sz w:val="22"/>
          <w:szCs w:val="22"/>
          <w:color w:val="auto"/>
        </w:rPr>
        <w:t>of obtaining the necessary payment or proceeds, as permitted by Applicable Laws, to satisfy its withholding obligation with respect to an Award.</w:t>
      </w:r>
    </w:p>
    <w:p>
      <w:pPr>
        <w:spacing w:after="0" w:line="158" w:lineRule="exact"/>
        <w:rPr>
          <w:sz w:val="20"/>
          <w:szCs w:val="20"/>
          <w:color w:val="auto"/>
        </w:rPr>
      </w:pPr>
    </w:p>
    <w:p>
      <w:pPr>
        <w:ind w:left="1300" w:hanging="644"/>
        <w:spacing w:after="0"/>
        <w:tabs>
          <w:tab w:leader="none" w:pos="130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Changes in Shares and Certain Other Events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Restructuring</w:t>
      </w:r>
      <w:r>
        <w:rPr>
          <w:rFonts w:ascii="Times New Roman" w:cs="Times New Roman" w:eastAsia="Times New Roman" w:hAnsi="Times New Roman"/>
          <w:sz w:val="22"/>
          <w:szCs w:val="22"/>
          <w:color w:val="auto"/>
        </w:rPr>
        <w:t>. In connection with any Equity Restructuring, notwithstanding anything to the contrary in this Section 11(a), the Administrator will equitably adjust (i) the type, class and maximum number of Shares subject to the Plan, (ii) the type, class and maximum number of Shares that may be issued pursuant to the exercise of ISOs under Section 3(d) and (iii) each outstanding Award as it deems appropriate to reflect the Equity Restructuring, which may include adjusting the type, class and number of securities subject to each outstanding Award and/or the Award’s exercise price or grant price (if applicable), granting new Awards to Grantees, and making a cash payment to Grantees. The adjustments provided under this Section 11(a) will be nondiscretionary and final and binding on the affected Grantee and the Company; provided that the Administrator will determine whether an adjustment is equitable.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 In the event of any reorganization, merger, consolidation, combination, amalgamation, repurchase, recapitalization, liquidation, dissolution, or sale, transfer, exchange or other disposition of all or substantially all of the assets of the Company, or sale or exchange of Shares or other securities of the Company or a Change in Control (any “</w:t>
      </w:r>
      <w:r>
        <w:rPr>
          <w:rFonts w:ascii="Times New Roman" w:cs="Times New Roman" w:eastAsia="Times New Roman" w:hAnsi="Times New Roman"/>
          <w:sz w:val="22"/>
          <w:szCs w:val="22"/>
          <w:b w:val="1"/>
          <w:bCs w:val="1"/>
          <w:color w:val="auto"/>
        </w:rPr>
        <w:t>Corporate Event</w:t>
      </w:r>
      <w:r>
        <w:rPr>
          <w:rFonts w:ascii="Times New Roman" w:cs="Times New Roman" w:eastAsia="Times New Roman" w:hAnsi="Times New Roman"/>
          <w:sz w:val="22"/>
          <w:szCs w:val="22"/>
          <w:color w:val="auto"/>
        </w:rPr>
        <w:t>”), the Administrator, on such terms and conditions as it deems appropriate, is hereby authorized to take any one or more of the following actions whenever the Administrator determines that such action is appropriate:</w:t>
      </w:r>
    </w:p>
    <w:p>
      <w:pPr>
        <w:spacing w:after="0" w:line="178"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0" w:val="left"/>
        </w:tabs>
        <w:numPr>
          <w:ilvl w:val="2"/>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Grantee’s rights under the vested portion of such Award, as applicable; provided that, if the amount that could have been obtained upon the exercise or settlement of the vested portion of such Award or realization of the Grantee’s rights, in any case, is equal to or less than zero (as determined by the Administrator in its discretion), then the Award may be terminated without payment. In addition, such payments under this provision may, in the Administrator’s discretion, be delayed to the same extent that payment of consideration to the holders of Shares in connection with the Corporate Event is delayed as a result of escrows, earn outs, holdbacks or any other contingencies;</w:t>
      </w:r>
    </w:p>
    <w:p>
      <w:pPr>
        <w:spacing w:after="0" w:line="195"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6" w:val="left"/>
        </w:tabs>
        <w:numPr>
          <w:ilvl w:val="2"/>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such Award shall vest and, to the extent applicable, be exercisable as to all Shares underlying such Award, notwithstanding anything to the contrary in the Plan or the provisions of such Award as of a date prior to the effective time of such Corporate Event as the Administrator determines (or, if the Administrator does not determine such a date, as of the date that is 5 days prior to the effective date of the Corporate Event), with such Award terminating if not exercised (if applicable) at or prior to the effective time of the Corporate Event; provided, however, that the Administrator may require Grantees to complete and deliver to the Company a notice of exercise before the effective date of a Corporate Event, which exercise is contingent upon the effectiveness of such Corporate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398" w:name="page399"/>
    <w:bookmarkEnd w:id="398"/>
    <w:p>
      <w:pPr>
        <w:jc w:val="both"/>
        <w:ind w:firstLine="1952"/>
        <w:spacing w:after="0" w:line="256" w:lineRule="auto"/>
        <w:tabs>
          <w:tab w:leader="none" w:pos="2592"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such Award be assumed by the successor or survivor entity, or a parent or Subsidiary thereof, or shall be substituted for by awards satisfied by equity securities of the successor or survivor entity, or a parent or Subsidiary thereof, with appropriate adjustments as to the number and kind of shares and/or applicable exercise or purchase price, in all cases, as determined by the Administrator;</w:t>
      </w:r>
    </w:p>
    <w:p>
      <w:pPr>
        <w:spacing w:after="0" w:line="17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arrange for the assignment of any reacquisition or repurchase rights held by the Company in respect of Shares issued pursuant to the Award to the surviving entity or acquiring entity (or the surviving or acquiring entity’s parent company);</w:t>
      </w:r>
    </w:p>
    <w:p>
      <w:pPr>
        <w:spacing w:after="0" w:line="172" w:lineRule="exact"/>
        <w:rPr>
          <w:rFonts w:ascii="Times New Roman" w:cs="Times New Roman" w:eastAsia="Times New Roman" w:hAnsi="Times New Roman"/>
          <w:sz w:val="22"/>
          <w:szCs w:val="22"/>
          <w:color w:val="auto"/>
        </w:rPr>
      </w:pPr>
    </w:p>
    <w:p>
      <w:pPr>
        <w:ind w:firstLine="1952"/>
        <w:spacing w:after="0" w:line="284" w:lineRule="auto"/>
        <w:tabs>
          <w:tab w:leader="none" w:pos="2587"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arrange for the lapse, in whole or in part, of any reacquisition or repurchase rights held by the Company with respect to the Award;</w:t>
      </w:r>
    </w:p>
    <w:p>
      <w:pPr>
        <w:spacing w:after="0" w:line="14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replace such Award with other rights or property selected by the Administrator; and/or</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the Award will terminate and cannot vest, be exercised or become payable after the applicable transaction or event.</w:t>
      </w:r>
    </w:p>
    <w:p>
      <w:pPr>
        <w:spacing w:after="0" w:line="13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Administrator need not take the same action or actions with respect to all Awards or portions thereof or with respect to all Grantees. The Administrator may take different actions with respect to the vested and unvested portions of an Award.</w:t>
      </w:r>
    </w:p>
    <w:p>
      <w:pPr>
        <w:spacing w:after="0" w:line="123" w:lineRule="exact"/>
        <w:rPr>
          <w:sz w:val="20"/>
          <w:szCs w:val="20"/>
          <w:color w:val="auto"/>
        </w:rPr>
      </w:pPr>
    </w:p>
    <w:p>
      <w:pPr>
        <w:jc w:val="both"/>
        <w:ind w:firstLine="1304"/>
        <w:spacing w:after="0" w:line="263" w:lineRule="auto"/>
        <w:tabs>
          <w:tab w:leader="none" w:pos="1941"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Stand Still</w:t>
      </w:r>
      <w:r>
        <w:rPr>
          <w:rFonts w:ascii="Times New Roman" w:cs="Times New Roman" w:eastAsia="Times New Roman" w:hAnsi="Times New Roman"/>
          <w:sz w:val="22"/>
          <w:szCs w:val="22"/>
          <w:color w:val="auto"/>
        </w:rPr>
        <w:t>. In the event of any pending Corporate Event or other similar transaction, for administrative convenience, the Administrator may refuse to permit the exercise of any Award for up to thirty days before or after such Corporate Event or other similar transaction.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Except as expressly provided in the Plan or the Administrator’s action under the Plan, no Grantee will have any rights due to any subdivision or consolidation of Shares of any class, dividend payment, increase or decrease in the number of Shares of any class, issue, rights issue, offer or dissolution, liquidation, merger, or consolidation of the Company or other corporation. Except as expressly provided with respect to an Equity Restructuring under Section 11(a)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Corporate Event or (iii) sale or issuance of securities, including securities with rights superior to those of the Shares or securities convertible into or exchangeable for Shares. The Administrator may treat Grantees and Awards (or portions thereof) differently under this Section 11.</w:t>
      </w:r>
    </w:p>
    <w:p>
      <w:pPr>
        <w:spacing w:after="0" w:line="175" w:lineRule="exact"/>
        <w:rPr>
          <w:rFonts w:ascii="Times New Roman" w:cs="Times New Roman" w:eastAsia="Times New Roman" w:hAnsi="Times New Roman"/>
          <w:sz w:val="21"/>
          <w:szCs w:val="21"/>
          <w:color w:val="auto"/>
        </w:rPr>
      </w:pPr>
    </w:p>
    <w:p>
      <w:pPr>
        <w:ind w:firstLine="656"/>
        <w:spacing w:after="0" w:line="271" w:lineRule="auto"/>
        <w:tabs>
          <w:tab w:leader="none" w:pos="129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Subject to Section 11 and except as otherwise determined by the Administrator or provided in an Award Agreement, employment or similar agreement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399" w:name="page400"/>
    <w:bookmarkEnd w:id="399"/>
    <w:p>
      <w:pPr>
        <w:ind w:right="20"/>
        <w:spacing w:after="0" w:line="271" w:lineRule="auto"/>
        <w:rPr>
          <w:sz w:val="20"/>
          <w:szCs w:val="20"/>
          <w:color w:val="auto"/>
        </w:rPr>
      </w:pPr>
      <w:r>
        <w:rPr>
          <w:rFonts w:ascii="Times New Roman" w:cs="Times New Roman" w:eastAsia="Times New Roman" w:hAnsi="Times New Roman"/>
          <w:sz w:val="22"/>
          <w:szCs w:val="22"/>
          <w:color w:val="auto"/>
        </w:rPr>
        <w:t>the definitive Change in Control transaction agreement, in the event of a Change in Control, the Awards shall be treated as follows:</w:t>
      </w:r>
    </w:p>
    <w:p>
      <w:pPr>
        <w:spacing w:after="0" w:line="158" w:lineRule="exact"/>
        <w:rPr>
          <w:sz w:val="20"/>
          <w:szCs w:val="20"/>
          <w:color w:val="auto"/>
        </w:rPr>
      </w:pPr>
    </w:p>
    <w:p>
      <w:pPr>
        <w:ind w:left="1940" w:hanging="636"/>
        <w:spacing w:after="0"/>
        <w:tabs>
          <w:tab w:leader="none" w:pos="194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Continued or Assumed or Substituted by Surviving Entity or Acquiring Entity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the surviving entity (in which case the Awards will continue) or if the Company is not the surviving entity or is acquired by another entity, but the surviving or acquiring entity (or a parent entity thereof) assumes an Award or substitutes for an Award another award relating to the stock of such surviving or acquiring entity (or parent thereof), such awards (the “</w:t>
      </w:r>
      <w:r>
        <w:rPr>
          <w:rFonts w:ascii="Times New Roman" w:cs="Times New Roman" w:eastAsia="Times New Roman" w:hAnsi="Times New Roman"/>
          <w:sz w:val="22"/>
          <w:szCs w:val="22"/>
          <w:b w:val="1"/>
          <w:bCs w:val="1"/>
          <w:color w:val="auto"/>
        </w:rPr>
        <w:t>Continued, Assumed or Substituted Awards</w:t>
      </w:r>
      <w:r>
        <w:rPr>
          <w:rFonts w:ascii="Times New Roman" w:cs="Times New Roman" w:eastAsia="Times New Roman" w:hAnsi="Times New Roman"/>
          <w:sz w:val="22"/>
          <w:szCs w:val="22"/>
          <w:color w:val="auto"/>
        </w:rPr>
        <w:t>”) shall remain governed by their respective terms; provided, that if on, or within 18 months following, the date of the Change in Control, the Grantee’s Continuous Service is terminated by the Company or any of its Subsidiaries without Cause, (A) the Continued, Assumed or Substituted Awards that are subject only to service-based vesting conditions held by the Grantee that were not then vested (and, with respect to Options and SARs, exercisable) shall immediately become fully vested and, if applicable, exercisable; and (B) the Continued, Assumed or Substituted Awards that are subject to vesting conditions relating to items or events other than Continuous Service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performance-based vesting conditions) held by the Grantee that were not then vested (and, with respect to Options and SARs, exercisable) shall immediate become vested and, if applicable, exercisable, assuming such vesting conditions have been satisfied at the “target” (or term of similar import) performance level.</w:t>
      </w:r>
    </w:p>
    <w:p>
      <w:pPr>
        <w:spacing w:after="0" w:line="18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6"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not the surviving entity or is acquired by another entity, and the surviving or acquiring entity (or a parent entity thereof) does not assume or substitute Awards, the holders of such Awards shall be entitled to the following benefits:</w:t>
      </w:r>
    </w:p>
    <w:p>
      <w:pPr>
        <w:spacing w:after="0" w:line="172" w:lineRule="exact"/>
        <w:rPr>
          <w:rFonts w:ascii="Times New Roman" w:cs="Times New Roman" w:eastAsia="Times New Roman" w:hAnsi="Times New Roman"/>
          <w:sz w:val="22"/>
          <w:szCs w:val="22"/>
          <w:color w:val="auto"/>
        </w:rPr>
      </w:pPr>
    </w:p>
    <w:p>
      <w:pPr>
        <w:jc w:val="both"/>
        <w:ind w:firstLine="2600"/>
        <w:spacing w:after="0" w:line="249" w:lineRule="auto"/>
        <w:tabs>
          <w:tab w:leader="none" w:pos="3229"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Award that is subject only to service-based vesting conditions, subject to the Grantee’s Continuous Service through the consummation of the Change in Control, a pro-rata portion of such Award shall become vested as of the date of the Change in Control, which pro-rata portion shall be determined on an Award-by-Award basis by multiplying (x) the total number of Shares underlying the Award that would otherwise vest on the scheduled vesting date immediately following such Change in Control, by (y) a fraction, the numerator of which is the number of days from the last vesting date immediately prior to such Change in Control (or, if no such vesting date has occurred, the vesting commencement date specified in the Award) through and including the day on which the Change in Control occurs, and the denominator of which is the total number of days from the last vesting date immediately prior to the Change in Control (or, if no such vesting date has occurred, the vesting commencement date) through the scheduled vesting date immediately following such Change in Control; and</w:t>
      </w:r>
    </w:p>
    <w:p>
      <w:pPr>
        <w:spacing w:after="0" w:line="183" w:lineRule="exact"/>
        <w:rPr>
          <w:rFonts w:ascii="Times New Roman" w:cs="Times New Roman" w:eastAsia="Times New Roman" w:hAnsi="Times New Roman"/>
          <w:sz w:val="22"/>
          <w:szCs w:val="22"/>
          <w:color w:val="auto"/>
        </w:rPr>
      </w:pPr>
    </w:p>
    <w:p>
      <w:pPr>
        <w:jc w:val="both"/>
        <w:ind w:firstLine="2600"/>
        <w:spacing w:after="0" w:line="256" w:lineRule="auto"/>
        <w:tabs>
          <w:tab w:leader="none" w:pos="3231"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Award that is subject to vesting conditions relating to items or events other than Continuous Service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performance-based vesting conditions), all or a portion of the Award may vest as of immediately prior to the occurrence of such Change in Control, but only to the extent (if at all) determined by the Administrator in its absolute discretion; provided, that, to the extent any Award constitutes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1" w:right="339" w:bottom="1440" w:gutter="0" w:footer="0" w:header="0"/>
        </w:sectPr>
      </w:pPr>
    </w:p>
    <w:bookmarkStart w:id="400" w:name="page401"/>
    <w:bookmarkEnd w:id="400"/>
    <w:p>
      <w:pPr>
        <w:jc w:val="both"/>
        <w:spacing w:after="0" w:line="261" w:lineRule="auto"/>
        <w:rPr>
          <w:sz w:val="20"/>
          <w:szCs w:val="20"/>
          <w:color w:val="auto"/>
        </w:rPr>
      </w:pPr>
      <w:r>
        <w:rPr>
          <w:rFonts w:ascii="Times New Roman" w:cs="Times New Roman" w:eastAsia="Times New Roman" w:hAnsi="Times New Roman"/>
          <w:sz w:val="21"/>
          <w:szCs w:val="21"/>
          <w:color w:val="auto"/>
        </w:rPr>
        <w:t>deferred compensation for purposes of Section 409A, if the settlement or other payment event resulting from the vesting of such Award pursuant to this Section 12(a)(ii) would not be permitted by Section 409A, such Award shall vest pursuant to this Section 12(a)(ii), but the settlement or other payment event with respect to such Award shall not be accelerated and shall instead occur when it would have occurred had the Award become Continued, Assumed or Substituted Awards pursuant to Section 12(a)(i) (or on such earlier date as is permitted under Section 409A). Any portion of the outstanding Award that is not vested pursuant to Section 12(a)(ii) shall be cancelled for no consideration. The Administrator may provide that any portion of an Award that is vested (or vests) as of the Change in Control shall be canceled in exchange for a payment in an amount equal to (A) the Fair Market Value per Share subject to the Award immediately prior to the Change in Control over the exercise or base price (if any) per Share subject to the Award multiplied by (B) the number of Shares that becomes vested pursuant to Section 12(a)(ii). For avoidance of doubt, if the Fair Market Value per Share subject to an Option or SAR immediately prior to the Change in Control is less than the exercise or base price per Share of such Award, such Awards shall be cancelled for no consideration.</w:t>
      </w:r>
    </w:p>
    <w:p>
      <w:pPr>
        <w:spacing w:after="0" w:line="176" w:lineRule="exact"/>
        <w:rPr>
          <w:sz w:val="20"/>
          <w:szCs w:val="20"/>
          <w:color w:val="auto"/>
        </w:rPr>
      </w:pPr>
    </w:p>
    <w:p>
      <w:pPr>
        <w:jc w:val="both"/>
        <w:ind w:firstLine="1304"/>
        <w:spacing w:after="0" w:line="257" w:lineRule="auto"/>
        <w:tabs>
          <w:tab w:leader="none" w:pos="1939"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12, an Award shall be considered assumed or substituted for if immediately following the Change in Control the award is of substantially equal value, with the determination of such substantial equality of value being made by the Administrator before the Change in Control.</w:t>
      </w:r>
    </w:p>
    <w:p>
      <w:pPr>
        <w:spacing w:after="0" w:line="18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Term of Plan</w:t>
      </w:r>
      <w:r>
        <w:rPr>
          <w:rFonts w:ascii="Times New Roman" w:cs="Times New Roman" w:eastAsia="Times New Roman" w:hAnsi="Times New Roman"/>
          <w:sz w:val="22"/>
          <w:szCs w:val="22"/>
          <w:color w:val="auto"/>
        </w:rPr>
        <w:t>. The Plan was approved by the Board on August 24, 2023. The Plan shall become effective on the IPO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provided the Plan is approved by the Company’s shareholders prior to the IPO Date. Unless earlier terminated by the Board, the Plan will remain in effect until the fifth anniversary of the date the Plan was approved by the Company’s shareholders, but Awards previously granted may extend beyond that date in accordance with the Plan. If the Plan is not approved by the Company’s shareholders within 12 months of the date of Board approval of the Plan, all ISOs will be treated as Non-Qualified Stock Options.</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 and Amendment of Award Agreements</w:t>
      </w:r>
      <w:r>
        <w:rPr>
          <w:rFonts w:ascii="Times New Roman" w:cs="Times New Roman" w:eastAsia="Times New Roman" w:hAnsi="Times New Roman"/>
          <w:sz w:val="22"/>
          <w:szCs w:val="22"/>
          <w:color w:val="auto"/>
        </w:rPr>
        <w:t>. The Administrator may, at any time, amend, suspend or terminate the Plan and amend Award Agreements; provided that if the Administrator proposes an amendment that would be to the material disadvantage of any Grantees in respect of subsisting rights under the Plan or Award Agreement, then: (a) the Administrator shall invite each such disadvantaged Grantee to indicate whether or not they approve the amendment, and (b) such amendment shall only take effect if the majority (assessed by reference to the size of affected Awards) of the Grantees who respond to an invitation made in accordance with this Section 14 consent to the amendment. The Administrator shall have absolute discretion to determine which Grantees are disadvantaged by a proposed amendment. No Awards may be granted under the Plan during any suspension period or after Plan termination; however, the suspension or termination of the Plan shall not affect Awards outstanding at the time of any Plan suspension or termination. The Board will obtain shareholder approval of any Plan amendment to the extent necessary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1" w:right="339" w:bottom="1440" w:gutter="0" w:footer="0" w:header="0"/>
        </w:sectPr>
      </w:pPr>
    </w:p>
    <w:bookmarkStart w:id="401" w:name="page402"/>
    <w:bookmarkEnd w:id="401"/>
    <w:p>
      <w:pPr>
        <w:jc w:val="both"/>
        <w:ind w:firstLine="656"/>
        <w:spacing w:after="0" w:line="250" w:lineRule="auto"/>
        <w:tabs>
          <w:tab w:leader="none" w:pos="129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Repayment or Recapture Policy</w:t>
      </w:r>
      <w:r>
        <w:rPr>
          <w:rFonts w:ascii="Times New Roman" w:cs="Times New Roman" w:eastAsia="Times New Roman" w:hAnsi="Times New Roman"/>
          <w:sz w:val="22"/>
          <w:szCs w:val="22"/>
          <w:color w:val="auto"/>
        </w:rPr>
        <w:t>. All Awards (including any proceeds, gains or other economic benefit the Grantee actually or constructively receives upon receipt or exercise of any Award or the receipt or resale of any Shares underlying the Award) will be subject to any Company clawback, repayment or recapture policy that may be adopted from time to time to the extent such policy applies to the relevant Grantee, including any claw-back policy adopted to comply with Applicable Laws (including the Dodd-Frank Wall Street Reform and Consumer Protection Act and any rules or regulations promulgated thereunder) as set forth in such clawback policy or the Award Agreement, to the extent applicable and permissible under Applicable Laws. No recovery of compensation under such a claw-back policy will be an event giving rise to a Grantee’s right to voluntary terminate employment upon a “constructive termination” or any similar term under any plan of or agreement with the Company or any of its Subsidiaries.</w:t>
      </w:r>
    </w:p>
    <w:p>
      <w:pPr>
        <w:spacing w:after="0" w:line="179"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6"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Liability</w:t>
      </w:r>
      <w:r>
        <w:rPr>
          <w:rFonts w:ascii="Times New Roman" w:cs="Times New Roman" w:eastAsia="Times New Roman" w:hAnsi="Times New Roman"/>
          <w:sz w:val="21"/>
          <w:szCs w:val="21"/>
          <w:color w:val="auto"/>
        </w:rPr>
        <w:t>. Notwithstanding any other provisions of the Plan, no individual acting as a Director, Officer, other Employee or agent of the Company or any of its affiliates will be liable to any Grantee, former Grantee,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of its affiliates. As a condition to accepting an Award under the Plan, each Grantee (a) agrees to not make any claim against the Company, any affiliates thereof, or any of their respective Officers, Directors, Employees related to tax or social security liabilities arising from such Award or other compensation paid or payable by the Company or any of its Subsidiaries and (b) acknowledges that such Grantee was advised to consult with his or her own personal tax, financial and other legal advisors regarding the tax and social security consequences of the Award and has either done so or knowingly and voluntarily declined to do so. The Company will indemnify and hold harmless each Director, Officer, other Employee and agent of the Company or any of its affiliates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71" w:lineRule="exact"/>
        <w:rPr>
          <w:rFonts w:ascii="Times New Roman" w:cs="Times New Roman" w:eastAsia="Times New Roman" w:hAnsi="Times New Roman"/>
          <w:sz w:val="21"/>
          <w:szCs w:val="21"/>
          <w:color w:val="auto"/>
        </w:rPr>
      </w:pPr>
    </w:p>
    <w:p>
      <w:pPr>
        <w:jc w:val="both"/>
        <w:ind w:firstLine="656"/>
        <w:spacing w:after="0" w:line="256" w:lineRule="auto"/>
        <w:tabs>
          <w:tab w:leader="none" w:pos="129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Terms of Employment/Consulting Relationship</w:t>
      </w:r>
      <w:r>
        <w:rPr>
          <w:rFonts w:ascii="Times New Roman" w:cs="Times New Roman" w:eastAsia="Times New Roman" w:hAnsi="Times New Roman"/>
          <w:sz w:val="22"/>
          <w:szCs w:val="22"/>
          <w:color w:val="auto"/>
        </w:rPr>
        <w:t>. The Plan shall not confer upon any Grantee any right with respect to the Grantee’s Continuous Service, or alter any Grantee’s status as an at will employee (if applicable), nor shall it interfere in any way with the Grantee’s right or the right of the Company or any of its Subsidiaries to terminate the Grantee’s Continuous Service at any time, with or without Cause, and with or without notice.</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Compensation</w:t>
      </w:r>
      <w:r>
        <w:rPr>
          <w:rFonts w:ascii="Times New Roman" w:cs="Times New Roman" w:eastAsia="Times New Roman" w:hAnsi="Times New Roman"/>
          <w:sz w:val="22"/>
          <w:szCs w:val="22"/>
          <w:color w:val="auto"/>
        </w:rPr>
        <w:t>. A Grantee shall have no right to compensation or damages in respect of any loss or potential loss arising from or in connection with the Plan or any Award, including in relation to (a) any loss or reduction of rights or expectations under the Plan in any circumstances including where such loss or potential loss arises (or is claimed to arise), in whole or in part, from the termination of the Grantee’s Continuous Service or notice to terminate the Grantee’s Continuous Service given by or to the Company or a Subsidiary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402" w:name="page403"/>
    <w:bookmarkEnd w:id="402"/>
    <w:p>
      <w:pPr>
        <w:jc w:val="both"/>
        <w:spacing w:after="0" w:line="257" w:lineRule="auto"/>
        <w:rPr>
          <w:sz w:val="20"/>
          <w:szCs w:val="20"/>
          <w:color w:val="auto"/>
        </w:rPr>
      </w:pPr>
      <w:r>
        <w:rPr>
          <w:rFonts w:ascii="Times New Roman" w:cs="Times New Roman" w:eastAsia="Times New Roman" w:hAnsi="Times New Roman"/>
          <w:sz w:val="22"/>
          <w:szCs w:val="22"/>
          <w:color w:val="auto"/>
        </w:rPr>
        <w:t>reason, and whether any such termination is lawful or unlawful; (b) any loss of opportunity to be granted future Awards; (c) any exercise of a discretion or a decision taken in relation to an Award or to the Plan, or any failure to exercise a discretion or take a decision; or (d) the operation, suspension, termination or amendment of the Plan.</w:t>
      </w:r>
    </w:p>
    <w:p>
      <w:pPr>
        <w:spacing w:after="0" w:line="186" w:lineRule="exact"/>
        <w:rPr>
          <w:sz w:val="20"/>
          <w:szCs w:val="20"/>
          <w:color w:val="auto"/>
        </w:rPr>
      </w:pPr>
    </w:p>
    <w:p>
      <w:pPr>
        <w:jc w:val="both"/>
        <w:ind w:firstLine="656"/>
        <w:spacing w:after="0" w:line="252" w:lineRule="auto"/>
        <w:tabs>
          <w:tab w:leader="none" w:pos="129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Retirement and Other Benefit Plans</w:t>
      </w:r>
      <w:r>
        <w:rPr>
          <w:rFonts w:ascii="Times New Roman" w:cs="Times New Roman" w:eastAsia="Times New Roman" w:hAnsi="Times New Roman"/>
          <w:sz w:val="22"/>
          <w:szCs w:val="22"/>
          <w:color w:val="auto"/>
        </w:rPr>
        <w:t>. Except as specifically provided in a compensation or benefit plan, program or arrangement of the Company or any of its Subsidiaries, Awards shall not be deemed compensation for purposes of such plans, programs or arrangements. The Plan is not a “pension plan” or “welfare plan” under the Employee Retirement Income Security Act of 1974.</w:t>
      </w:r>
    </w:p>
    <w:p>
      <w:pPr>
        <w:spacing w:after="0" w:line="179"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Unfunded Obligation</w:t>
      </w:r>
      <w:r>
        <w:rPr>
          <w:rFonts w:ascii="Times New Roman" w:cs="Times New Roman" w:eastAsia="Times New Roman" w:hAnsi="Times New Roman"/>
          <w:sz w:val="21"/>
          <w:szCs w:val="21"/>
          <w:color w:val="auto"/>
        </w:rPr>
        <w:t>. Grantees shall have the status of general unsecured creditors of the Company. Any amounts payable to Grantees pursuant to the Plan or an Award shall be unfunded and unsecured obligations for all purposes, including Title I of the Employee Retirement Income Security Act of 1974, and shall not be construed as creating a trust or conferring upon any Grantee any rights with respect to any Trust or other arrangement that may be used to facilitate the issuance of Shares or other aspects of such Award. None of the Company or any of its affiliates shall be required to segregate any monies from its general funds, to create any trusts, or to establish any special accounts with respect to such obligations. The Company shall retain at all times beneficial ownership of any investments, including trust investments, that the Company may make to fulfill its payment obligations hereunder. Any investments or the creation or maintenance of any trust or any Grantee account shall not create or constitute a trust or fiduciary relationship between the Administrator, the Company or any of its affiliates and a Grantee, or otherwise create any vested or beneficial interest in any Grantee or the Grantee’s creditors in any assets of the Company or any of its affiliates or in any trust. A Grantee shall have no claim against the Company or any of its affiliates for any changes in the value of any assets that may be invested or reinvested by the Company with respect to the Plan.</w:t>
      </w:r>
    </w:p>
    <w:p>
      <w:pPr>
        <w:spacing w:after="0" w:line="183" w:lineRule="exact"/>
        <w:rPr>
          <w:rFonts w:ascii="Times New Roman" w:cs="Times New Roman" w:eastAsia="Times New Roman" w:hAnsi="Times New Roman"/>
          <w:sz w:val="21"/>
          <w:szCs w:val="21"/>
          <w:color w:val="auto"/>
        </w:rPr>
      </w:pPr>
    </w:p>
    <w:p>
      <w:pPr>
        <w:jc w:val="both"/>
        <w:ind w:firstLine="656"/>
        <w:spacing w:after="0" w:line="247" w:lineRule="auto"/>
        <w:tabs>
          <w:tab w:leader="none" w:pos="129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following rules of construction shall apply to the Plan and Award Agreements. Captions and titles are for convenience only and shall not affect the meaning or interpretation of any provision of the Plan or Award Agreement. Except when otherwise indicated by the context, the singular shall include the plural and the plural shall include the singular. Use of the word “or” is not intended to be exclusive, unless the context clearly requires otherwise. The words “include,” “includes” or “including” shall be deemed to be followed by the words “without limitation,” whether or not they are in fact followed by those words or words of like import. The words “writing” and “written” and comparable words refer to printing, typing and other means of reproducing words (including electronic media) in a visible form. Any reference to any federal, state or other statute or law shall be deemed also to refer to such statute or law as amended, and to all rules and regulations promulgated thereunder. References to “stockholders” shall be deemed to refer to “shareholders” to the extent required by Applicable Laws. References to the Company or any of its Subsidiaries shall include such entity’s successors.</w:t>
      </w:r>
    </w:p>
    <w:p>
      <w:pPr>
        <w:spacing w:after="0" w:line="190"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of the Plan</w:t>
      </w:r>
      <w:r>
        <w:rPr>
          <w:rFonts w:ascii="Times New Roman" w:cs="Times New Roman" w:eastAsia="Times New Roman" w:hAnsi="Times New Roman"/>
          <w:sz w:val="22"/>
          <w:szCs w:val="22"/>
          <w:color w:val="auto"/>
        </w:rPr>
        <w:t>. Neither the adoption of the Plan by the Board, the submission of the Plan to the stockholders of the Company for approval nor any provision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1" w:right="339" w:bottom="1440" w:gutter="0" w:footer="0" w:header="0"/>
        </w:sectPr>
      </w:pPr>
    </w:p>
    <w:bookmarkStart w:id="403" w:name="page404"/>
    <w:bookmarkEnd w:id="403"/>
    <w:p>
      <w:pPr>
        <w:spacing w:after="0" w:line="271" w:lineRule="auto"/>
        <w:rPr>
          <w:sz w:val="20"/>
          <w:szCs w:val="20"/>
          <w:color w:val="auto"/>
        </w:rPr>
      </w:pPr>
      <w:r>
        <w:rPr>
          <w:rFonts w:ascii="Times New Roman" w:cs="Times New Roman" w:eastAsia="Times New Roman" w:hAnsi="Times New Roman"/>
          <w:sz w:val="22"/>
          <w:szCs w:val="22"/>
          <w:color w:val="auto"/>
        </w:rPr>
        <w:t>Plan will be construed as creating any limitations on the power of the Board to adopt such additional compensation arrangements as it may deem desirable.</w:t>
      </w:r>
    </w:p>
    <w:p>
      <w:pPr>
        <w:spacing w:after="0" w:line="158" w:lineRule="exact"/>
        <w:rPr>
          <w:sz w:val="20"/>
          <w:szCs w:val="20"/>
          <w:color w:val="auto"/>
        </w:rPr>
      </w:pPr>
    </w:p>
    <w:p>
      <w:pPr>
        <w:ind w:left="1300" w:hanging="644"/>
        <w:spacing w:after="0"/>
        <w:tabs>
          <w:tab w:leader="none" w:pos="13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for Certain Grantees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The Administrator may modify Awards granted to Grantees who are nationals of, or employed in, a jurisdiction outside the United Kingdom and the United States or establish subplans or procedures under the Plan to address differences in laws, rules, regulations or customs of such international jurisdictions with respect to tax, securities, currency, employee benefit or other matters, including as may be necessary or appropriate in the Administrator’s discretion to grant Awards under any tax-favorable regime that may be available in any jurisdiction (provided that Administrator approval will not be necessary for immaterial modifications to the Plan or any Award Agreement to ensure or facilitate compliance with the laws of the relevant jurisdiction).</w:t>
      </w:r>
    </w:p>
    <w:p>
      <w:pPr>
        <w:spacing w:after="0" w:line="18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requirements on the Grantee’s participation in the Plan, on Awards and on any Shares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9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431 Elections</w:t>
      </w:r>
      <w:r>
        <w:rPr>
          <w:rFonts w:ascii="Times New Roman" w:cs="Times New Roman" w:eastAsia="Times New Roman" w:hAnsi="Times New Roman"/>
          <w:sz w:val="22"/>
          <w:szCs w:val="22"/>
          <w:color w:val="auto"/>
        </w:rPr>
        <w:t>. Each Grantee irrevocably agrees to enter into, in respect of any Shares the Grantee may acquire on vesting of an Award, on or before the vesting of such Award, such election(s) as the Company may specify under section 431(1) or section 431(2) of the Income Tax (Earnings and Pensions) Act 2003 (including any amendment, modification, extension, consolidation, replacement or re-enactment of such provisions).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following provisions only apply to Grantees subject to tax in the United States:</w:t>
      </w:r>
    </w:p>
    <w:p>
      <w:pPr>
        <w:spacing w:after="0" w:line="233"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41"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Company intends that all Awards be structured to comply with, or be exempt from, Section 409A, such that no adverse tax consequences, interest, or penalties under Section 409A apply, and the Plan and all Award Agreements (or other agreements affecting Awards) will be interpreted accordingly. Notwithstanding anything in the Plan or any Award Agreement to the contrary, the Administrator may, without a Grantee’s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24(a) or otherwise to avoid the taxes, penalties or interest under Section 409A with respect to any Award and will have no liability to any Grantee or any other person if any Award, compensation or other benefits under the Plan are determined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22"/>
          <w:szCs w:val="22"/>
          <w:color w:val="auto"/>
        </w:rPr>
        <w:t>constitute noncompliant “nonqualified deferred compensation” subject to taxes, penalties or interest under Section 409A.</w:t>
      </w:r>
    </w:p>
    <w:p>
      <w:pPr>
        <w:spacing w:after="0" w:line="220" w:lineRule="exact"/>
        <w:rPr>
          <w:sz w:val="20"/>
          <w:szCs w:val="20"/>
          <w:color w:val="auto"/>
        </w:rPr>
      </w:pPr>
    </w:p>
    <w:p>
      <w:pPr>
        <w:jc w:val="both"/>
        <w:ind w:firstLine="1304"/>
        <w:spacing w:after="0" w:line="265" w:lineRule="auto"/>
        <w:tabs>
          <w:tab w:leader="none" w:pos="1939"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If an Award constitutes “nonqualified deferred compensation” under Section 409A, any payment or settlement of such Award upon a termination of a Grantee’s Service Provider relationship will, to the extent necessary to avoid taxes under Section 409A, be made only upon the Grantee’s “separation from service” (within the meaning of Section 409A), whether such “separation from service” occurs upon or after the termination of the Grantee’s Service Provider relationship. For purposes of this Plan or any Award Agreement relating to any such payments or benefits, references to a “termination,” “termination of service,” “termination of employment” or like terms means a “separation from service.”</w:t>
      </w:r>
    </w:p>
    <w:p>
      <w:pPr>
        <w:spacing w:after="0" w:line="168"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1"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Specified Employees</w:t>
      </w:r>
      <w:r>
        <w:rPr>
          <w:rFonts w:ascii="Times New Roman" w:cs="Times New Roman" w:eastAsia="Times New Roman" w:hAnsi="Times New Roman"/>
          <w:sz w:val="22"/>
          <w:szCs w:val="22"/>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Grantee’s “separation from service” will be paid at the time or times the payments are otherwise scheduled to be made.</w:t>
      </w:r>
    </w:p>
    <w:p>
      <w:pPr>
        <w:spacing w:after="0" w:line="179"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6"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10% Shareholders</w:t>
      </w:r>
      <w:r>
        <w:rPr>
          <w:rFonts w:ascii="Times New Roman" w:cs="Times New Roman" w:eastAsia="Times New Roman" w:hAnsi="Times New Roman"/>
          <w:sz w:val="21"/>
          <w:szCs w:val="21"/>
          <w:color w:val="auto"/>
        </w:rPr>
        <w:t>. The Administrator may grant ISOs only to Employees of the Company or any of its present or future Subsidiary corporations, as defined in Section 424 (f) of the Code, and any other entities the employees of which are eligible to receive ISOs under the Code. If an ISO is granted to a Greater Than 10% Shareholder, the exercise price will not be less than 110% of the Fair Market Value on the Option’s grant date, and the term of the Option will not exceed five years. All ISOs will be subject to and construed consistently with Section 422 of the Code. By accepting an ISO, the Grantee agrees to give prompt notice to the Company of dispositions or other transfers (other than in connection with a Change in Control) of Shares acquired under the Option made within (a) two years from the grant date of the Option or (b) one year after the transfer of such Shares to the Grantee, specifying the date of the disposition or other transfer and the amount the Grantee realized, in cash, other property, assumption of indebtedness or other consideration, in such disposition or other transfer. Neither the Company nor the Administrator will be liable to a Grantee, or any other party, if an ISO fails or ceases to qualify as an “incentive stock option” under Section 422 of the Code. Any ISO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405" w:name="page406"/>
    <w:bookmarkEnd w:id="405"/>
    <w:p>
      <w:pPr>
        <w:jc w:val="both"/>
        <w:ind w:firstLine="656"/>
        <w:spacing w:after="0" w:line="251" w:lineRule="auto"/>
        <w:tabs>
          <w:tab w:leader="none" w:pos="129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Notify or Minimize Taxes</w:t>
      </w:r>
      <w:r>
        <w:rPr>
          <w:rFonts w:ascii="Times New Roman" w:cs="Times New Roman" w:eastAsia="Times New Roman" w:hAnsi="Times New Roman"/>
          <w:sz w:val="22"/>
          <w:szCs w:val="22"/>
          <w:color w:val="auto"/>
        </w:rPr>
        <w:t>. Except as required by Applicable Laws the Company has no duty or obligation to any Grantee to advise such Grantee as to the time or manner of exercising such Award. Furthermore, the Company has no duty or obligation to warn or otherwise advise such Grantee of a pending termination or expiration of an Award or a possible period in which the Award may not be exercised. The Company has no duty or obligation to minimize the tax or social security consequences of an Award to the holder of such Award and will not be liable to any holder of an Award for any adverse tax or social security consequences to such holder in connection with an Award.</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for receiving any Award, each Grantee acknowledges that the Company and any of its affiliates may collect, use and transfer, in electronic or other form, personal data as described in this section by and among the Company and any of its affiliates exclusively for implementing, administering and managing the Grantee’s participation in the Plan. The Company (as above) may hold certain personal information about a Grantee, including the Grantee’s name, address and telephone number; birthdate; social security, insurance number or other identification number; salary; nationality; job title(s); any Shares held in the Company (as above); and Award details, to implement, manage and administer the Plan and Awards (the “</w:t>
      </w:r>
      <w:r>
        <w:rPr>
          <w:rFonts w:ascii="Times New Roman" w:cs="Times New Roman" w:eastAsia="Times New Roman" w:hAnsi="Times New Roman"/>
          <w:sz w:val="21"/>
          <w:szCs w:val="21"/>
          <w:b w:val="1"/>
          <w:bCs w:val="1"/>
          <w:color w:val="auto"/>
        </w:rPr>
        <w:t>Data</w:t>
      </w:r>
      <w:r>
        <w:rPr>
          <w:rFonts w:ascii="Times New Roman" w:cs="Times New Roman" w:eastAsia="Times New Roman" w:hAnsi="Times New Roman"/>
          <w:sz w:val="21"/>
          <w:szCs w:val="21"/>
          <w:color w:val="auto"/>
        </w:rPr>
        <w:t>”). The Company (as above) may transfer the Data amongst themselves as necessary to implement, administer and manage a Grantee’s participation in the Plan, and the Company (as above) may transfer the Data to third parties assisting the Company with Plan implementation, administration and management. These recipients may be located in the Grantee’s country, or elsewhere, and the Grantee’s country may have different data privacy laws and protections than the recipients’ country. By accepting an Award, each Grantee acknowledges that such recipients may receive, possess, use, retain and transfer the Data, in electronic or other form, to implement, administer and manage the Grantee’s participation in the Plan, including any required Data transfer to a broker or other third party with whom the Company or the Grantee may elect to deposit any Shares. The Data related to a Grantee will be held only as long as necessary to implement, administer, and manage the Grantee’s participation in the Plan. A Grantee may, at any time, view the Data that the Company holds regarding such Grantee, request additional information about the storage and processing of the Data regarding such Grantee and recommend any necessary corrections to the Data regarding the Grantee in writing, without cost, by contacting the local human resources representative.</w:t>
      </w:r>
    </w:p>
    <w:p>
      <w:pPr>
        <w:spacing w:after="0" w:line="200"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9"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operating the Plan in the European Union, the United Kingdom and such other jurisdictions determined by the Administrator, the Company will collect and process information relating to Grantees in accordance with the privacy notice which is provided to each Grantee.</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Awards</w:t>
      </w:r>
      <w:r>
        <w:rPr>
          <w:rFonts w:ascii="Times New Roman" w:cs="Times New Roman" w:eastAsia="Times New Roman" w:hAnsi="Times New Roman"/>
          <w:sz w:val="22"/>
          <w:szCs w:val="22"/>
          <w:color w:val="auto"/>
        </w:rPr>
        <w:t>. Unless determined otherwise by the Administrator, Awards may not be sold, pledged, assigned, hypothecated, transferred or disposed of in any manner other than by will or by the rules of intestacy, the laws of descent and distribution or similar rules or laws applicable to the Grantee in the event of death. Unless determined otherwise by the Administrator, any attempt to sell, pledge, assign, hypothecate, transfer or dispose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1" w:right="339" w:bottom="1440" w:gutter="0" w:footer="0" w:header="0"/>
        </w:sectPr>
      </w:pPr>
    </w:p>
    <w:bookmarkStart w:id="406" w:name="page407"/>
    <w:bookmarkEnd w:id="406"/>
    <w:p>
      <w:pPr>
        <w:spacing w:after="0" w:line="271" w:lineRule="auto"/>
        <w:rPr>
          <w:sz w:val="20"/>
          <w:szCs w:val="20"/>
          <w:color w:val="auto"/>
        </w:rPr>
      </w:pPr>
      <w:r>
        <w:rPr>
          <w:rFonts w:ascii="Times New Roman" w:cs="Times New Roman" w:eastAsia="Times New Roman" w:hAnsi="Times New Roman"/>
          <w:sz w:val="22"/>
          <w:szCs w:val="22"/>
          <w:color w:val="auto"/>
        </w:rPr>
        <w:t>Award or any rights in respect of an Award, whether voluntarily or involuntarily, shall result in the immediate forfeiture of the Award.</w:t>
      </w:r>
    </w:p>
    <w:p>
      <w:pPr>
        <w:spacing w:after="0" w:line="158" w:lineRule="exact"/>
        <w:rPr>
          <w:sz w:val="20"/>
          <w:szCs w:val="20"/>
          <w:color w:val="auto"/>
        </w:rPr>
      </w:pPr>
    </w:p>
    <w:p>
      <w:pPr>
        <w:jc w:val="both"/>
        <w:ind w:firstLine="656"/>
        <w:spacing w:after="0" w:line="251"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Exceptional Circumstances</w:t>
      </w:r>
      <w:r>
        <w:rPr>
          <w:rFonts w:ascii="Times New Roman" w:cs="Times New Roman" w:eastAsia="Times New Roman" w:hAnsi="Times New Roman"/>
          <w:sz w:val="22"/>
          <w:szCs w:val="22"/>
          <w:color w:val="auto"/>
        </w:rPr>
        <w:t>. If a Grantee’s Continuous Service terminates due to ill-health, injury, Disability or death, in each case, evidenced to the reasonable satisfaction of the Administrator, then the Administrator may, in its absolute discretion, vest all or a portion of such Grantee’s Awards with effect from the termination date of such Grantee’s Continuous Service, or make a cash payment to such Grantee (or in the case of a deceased Grantee, such Grantee’s personal representatives), in recognition of the fact of the lapse of such Grantee’s Awards. The quantum of such vesting and/or cash payment shall be at the absolute discretion of the Administrator.</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Policies</w:t>
      </w:r>
      <w:r>
        <w:rPr>
          <w:rFonts w:ascii="Times New Roman" w:cs="Times New Roman" w:eastAsia="Times New Roman" w:hAnsi="Times New Roman"/>
          <w:sz w:val="22"/>
          <w:szCs w:val="22"/>
          <w:color w:val="auto"/>
        </w:rPr>
        <w:t>. All Awards (including any proceeds, gains or other economic benefit the Grantee actually or constructively receives upon receipt or exercise of any Award or the receipt or resale of any Shares underlying the Award) will be subject to any relevant policy of the Company or any of its Subsidiaries to the extent such policy applies to the relevant Grantee, including but not limited to any remuneration policy and/or share retention, ownership, or holding policy that may be adopted from time to time.</w:t>
      </w:r>
    </w:p>
    <w:p>
      <w:pPr>
        <w:spacing w:after="0" w:line="180"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to Applicable Laws</w:t>
      </w:r>
      <w:r>
        <w:rPr>
          <w:rFonts w:ascii="Times New Roman" w:cs="Times New Roman" w:eastAsia="Times New Roman" w:hAnsi="Times New Roman"/>
          <w:sz w:val="22"/>
          <w:szCs w:val="22"/>
          <w:color w:val="auto"/>
        </w:rPr>
        <w:t>. Grantee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and may be unilaterally cancelled by the Company (with the effect that all Grantee’s rights thereunder lapse with immediate effect) if the Administrator determines in its reasonable discretion that such conformity is not possible or practicable.</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to Other Benefits</w:t>
      </w:r>
      <w:r>
        <w:rPr>
          <w:rFonts w:ascii="Times New Roman" w:cs="Times New Roman" w:eastAsia="Times New Roman" w:hAnsi="Times New Roman"/>
          <w:sz w:val="22"/>
          <w:szCs w:val="22"/>
          <w:color w:val="auto"/>
        </w:rPr>
        <w:t>. No payment under the Plan will be taken into account in determining any benefits under any pension, retirement, savings, profit sharing, group insurance, welfare or other benefit plan of the Company or any of its Subsidiaries except as expressly provided in writing in such other plan or an agreement thereunder.</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Deferrals</w:t>
      </w:r>
      <w:r>
        <w:rPr>
          <w:rFonts w:ascii="Times New Roman" w:cs="Times New Roman" w:eastAsia="Times New Roman" w:hAnsi="Times New Roman"/>
          <w:sz w:val="22"/>
          <w:szCs w:val="22"/>
          <w:color w:val="auto"/>
        </w:rPr>
        <w:t>. To the extent permitted by Applicable Laws, the Administrator, in its sole discretion, may determine that the delivery of Shares or the payment of cash, upon the exercise, vesting or settlement of all or a portion of any Award may be deferred and may also establish programs and procedures for deferral elections to be made by Grantees.</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The Company or any of its Subsidiaries may provide money to the Trustee or any other person to enable them or him/her to acquire Shares to be held for the purposes of the Plan or any Award Agreement, or enter into any guarantee or indemnity for those purposes, to the extent permitted by Chapter 2 of Part 18 of the Companies Act 2006 and any other Applicable Laws. Notwithstanding the foregoing or anything else to the contrary, (a) no Grantee shall have any interest in any Shares, cash or other assets of any Trust (or similar arrangement), until the Trustee transfers (or causes to be transferred) any Shares, cash or other Trust assets to such Grantee, (b) with respect to any Grantee who is subject to U.S. taxes, to the extent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1" w:right="339" w:bottom="1440" w:gutter="0" w:footer="0" w:header="0"/>
        </w:sectPr>
      </w:pPr>
    </w:p>
    <w:bookmarkStart w:id="407" w:name="page408"/>
    <w:bookmarkEnd w:id="407"/>
    <w:p>
      <w:pPr>
        <w:jc w:val="both"/>
        <w:spacing w:after="0" w:line="251" w:lineRule="auto"/>
        <w:rPr>
          <w:sz w:val="20"/>
          <w:szCs w:val="20"/>
          <w:color w:val="auto"/>
        </w:rPr>
      </w:pPr>
      <w:r>
        <w:rPr>
          <w:rFonts w:ascii="Times New Roman" w:cs="Times New Roman" w:eastAsia="Times New Roman" w:hAnsi="Times New Roman"/>
          <w:sz w:val="22"/>
          <w:szCs w:val="22"/>
          <w:color w:val="auto"/>
        </w:rPr>
        <w:t>cash or other assets are transferred from a Trust to such Grantee in respect of an Award, such Shares, cash or other assets shall not be acquired or otherwise held by the Trust until immediately prior to the transfer of such Shares, cash or other assets to the Grantee, and (c) in no event will Shares or other assets be set aside (directly or indirectly), acquired by, transferred to or held in, a trust (including, for clarity, any Trust or similar arrangement) located outside the United States for the purpose of paying deferred compensation or otherwise satisfying an obligation with respect to any Award that constitutes nonqualified deferred compensation plan for purpose of Section 409A if it would result in taxation under Section 409A(b)(1) of the Code.</w:t>
      </w:r>
    </w:p>
    <w:p>
      <w:pPr>
        <w:spacing w:after="0" w:line="181" w:lineRule="exact"/>
        <w:rPr>
          <w:sz w:val="20"/>
          <w:szCs w:val="20"/>
          <w:color w:val="auto"/>
        </w:rPr>
      </w:pPr>
    </w:p>
    <w:p>
      <w:pPr>
        <w:jc w:val="both"/>
        <w:ind w:firstLine="656"/>
        <w:spacing w:after="0" w:line="261" w:lineRule="auto"/>
        <w:tabs>
          <w:tab w:leader="none" w:pos="1296"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Documentation</w:t>
      </w:r>
      <w:r>
        <w:rPr>
          <w:rFonts w:ascii="Times New Roman" w:cs="Times New Roman" w:eastAsia="Times New Roman" w:hAnsi="Times New Roman"/>
          <w:sz w:val="21"/>
          <w:szCs w:val="21"/>
          <w:color w:val="auto"/>
        </w:rPr>
        <w:t>. Each Award will be evidenced in an Award Agreement, which may be written or electronic, as the Administrator determines. By accepting any Award the Grantee consents to receive documents by electronic delivery and to participate in the Plan through any on-line electronic system established and maintained by the Company, any of its Subsidiaries or another third party selected by the Company or any of its Subsidiaries. Each Award may contain terms and conditions in addition to (or a variation of or effecting a disapplication of) those set forth in the Plan. Any reference herein or in an Award Agreement to a “written” agreement or document will include any agreement or document delivered electronically, filed publicly at www.sec.gov (or any successor website thereto) or posted on the Company’s or any of its Subsidiaries’ intranet (or other shared electronic medium controlled by the Company or any of its Subsidiaries to which the Grantee has access). As a condition to accepting an Award under the Plan, the Grantee agrees to execute any additional documents or instruments necessary or desirable, as determined in the Administrator’s sole discretion, to carry out the purposes or intent of the Award, or facilitate compliance with securities and/or other regulatory requirements, in each case at the Administrator’s request.</w:t>
      </w:r>
    </w:p>
    <w:p>
      <w:pPr>
        <w:spacing w:after="0" w:line="175"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w:t>
      </w:r>
      <w:r>
        <w:rPr>
          <w:rFonts w:ascii="Times New Roman" w:cs="Times New Roman" w:eastAsia="Times New Roman" w:hAnsi="Times New Roman"/>
          <w:sz w:val="22"/>
          <w:szCs w:val="22"/>
          <w:color w:val="auto"/>
        </w:rPr>
        <w:t>. Except as the Plan otherwise provides, each Award may be made alone or in addition or in relation to any other Award. The terms of each Award to a Grantee need not be identical, and the Administrator need not treat Grantees or Awards (or portions thereof) uniformly.</w:t>
      </w:r>
    </w:p>
    <w:p>
      <w:pPr>
        <w:spacing w:after="0" w:line="16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on Delivery of Shares</w:t>
      </w:r>
      <w:r>
        <w:rPr>
          <w:rFonts w:ascii="Times New Roman" w:cs="Times New Roman" w:eastAsia="Times New Roman" w:hAnsi="Times New Roman"/>
          <w:sz w:val="22"/>
          <w:szCs w:val="22"/>
          <w:color w:val="auto"/>
        </w:rPr>
        <w:t>. The Company will not be obligated to deliver any Shares under the Plan or any Award Agreement, or remove restrictions from Shares previously delivered under the Plan or any Award Agreement, until (a) all Award conditions have been met or removed to the Company’s satisfaction, (b) as determined by the Company, all other legal matters regarding the issuance and delivery of such Shares (including payment of nominal value) have been satisfied, including any applicable securities laws and stock exchange or stock market rules and regulations, and (c) the Grantee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5"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portion of the Plan or any Award Agreement or any action taken thereunder is held illegal or invalid for any reason, the illegality or invalidity will not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1" w:right="339" w:bottom="1440" w:gutter="0" w:footer="0" w:header="0"/>
        </w:sectPr>
      </w:pPr>
    </w:p>
    <w:bookmarkStart w:id="408" w:name="page409"/>
    <w:bookmarkEnd w:id="408"/>
    <w:p>
      <w:pPr>
        <w:spacing w:after="0" w:line="271" w:lineRule="auto"/>
        <w:rPr>
          <w:sz w:val="20"/>
          <w:szCs w:val="20"/>
          <w:color w:val="auto"/>
        </w:rPr>
      </w:pPr>
      <w:r>
        <w:rPr>
          <w:rFonts w:ascii="Times New Roman" w:cs="Times New Roman" w:eastAsia="Times New Roman" w:hAnsi="Times New Roman"/>
          <w:sz w:val="22"/>
          <w:szCs w:val="22"/>
          <w:color w:val="auto"/>
        </w:rPr>
        <w:t>the remaining parts of the Plan or such Award Agreement, and the Plan and such Award Agreement will be construed and enforced as if the illegal or invalid provisions had been excluded, and the illegal or invalid action will be null and void.</w:t>
      </w:r>
    </w:p>
    <w:p>
      <w:pPr>
        <w:spacing w:after="0" w:line="158" w:lineRule="exact"/>
        <w:rPr>
          <w:sz w:val="20"/>
          <w:szCs w:val="20"/>
          <w:color w:val="auto"/>
        </w:rPr>
      </w:pPr>
    </w:p>
    <w:p>
      <w:pPr>
        <w:jc w:val="both"/>
        <w:ind w:firstLine="656"/>
        <w:spacing w:after="0" w:line="253" w:lineRule="auto"/>
        <w:tabs>
          <w:tab w:leader="none" w:pos="129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If any contradiction occurs between the Plan and any Award Agreement or other written agreement between a Grantee and the Company (or any of its Subsidiaries) that the Administrator has approved, the Plan will govern, unless it is expressly specified in such Award Agreement or other written document that a specific provision of the Plan will not apply. All Awards will be subject to Applicable Laws on insider trading and dealing and any specific insider trading, window period and/or dealing policy adopted by the Company.</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Issuance</w:t>
      </w:r>
      <w:r>
        <w:rPr>
          <w:rFonts w:ascii="Times New Roman" w:cs="Times New Roman" w:eastAsia="Times New Roman" w:hAnsi="Times New Roman"/>
          <w:sz w:val="22"/>
          <w:szCs w:val="22"/>
          <w:color w:val="auto"/>
        </w:rPr>
        <w:t>. If the Company is unable to obtain the authority that counsel for the Company deems necessary or advisable for the lawful issuance and sale of Shares under the Plan, the Company will be relieved from any liability for failure to issue and sell Shares upon exercise or settlement of such Awards unless and until such authority is obtained. A Grantee is not eligible for the grant of an Award or the subsequent issuance of Shares pursuant to the Award if such grant or issuance would be in violation of any Applicable Laws.</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Jurisdiction</w:t>
      </w:r>
      <w:r>
        <w:rPr>
          <w:rFonts w:ascii="Times New Roman" w:cs="Times New Roman" w:eastAsia="Times New Roman" w:hAnsi="Times New Roman"/>
          <w:sz w:val="22"/>
          <w:szCs w:val="22"/>
          <w:color w:val="auto"/>
        </w:rPr>
        <w:t>. The Plan and, unless determined otherwise by the Administrator, all Awards, including any non-contractual obligations arising in connection therewith, will be governed by and interpreted in accordance with the laws of England and Wales, disregarding any jurisdiction’s choice-of-law principles requiring the application of a jurisdiction’s laws other than that of England and Wales and the courts of England and Wales shall have exclusive jurisdiction to hear any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1" w:right="339" w:bottom="1440" w:gutter="0" w:footer="0" w:header="0"/>
        </w:sectPr>
      </w:pPr>
    </w:p>
    <w:bookmarkStart w:id="409" w:name="page410"/>
    <w:bookmarkEnd w:id="409"/>
    <w:p>
      <w:pPr>
        <w:jc w:val="center"/>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SUB-PLAN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ARM HOLDINGS PLC 2023 OMNIBUS INCENTIVE PLAN</w:t>
      </w: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color w:val="auto"/>
        </w:rPr>
        <w:t>This sub-plan (the “</w:t>
      </w:r>
      <w:r>
        <w:rPr>
          <w:rFonts w:ascii="Times New Roman" w:cs="Times New Roman" w:eastAsia="Times New Roman" w:hAnsi="Times New Roman"/>
          <w:sz w:val="21"/>
          <w:szCs w:val="21"/>
          <w:b w:val="1"/>
          <w:bCs w:val="1"/>
          <w:color w:val="auto"/>
        </w:rPr>
        <w:t>Non-Employee Sub-Plan</w:t>
      </w:r>
      <w:r>
        <w:rPr>
          <w:rFonts w:ascii="Times New Roman" w:cs="Times New Roman" w:eastAsia="Times New Roman" w:hAnsi="Times New Roman"/>
          <w:sz w:val="21"/>
          <w:szCs w:val="21"/>
          <w:color w:val="auto"/>
        </w:rPr>
        <w:t>”) to the Arm Holdings plc 2023 Omnibus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governs the grant of Awards to Consultants (defined below) and Directors who are not Employees. The Non-Employee Sub-Plan incorporates all the provisions of the Plan except as modified in accordance with the provisions of this Non-Employee Sub-Plan.</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Awards granted pursuant to the Non-Employee Sub-Plan are not granted pursuant to an “employees’ share scheme” for the purposes of U.K. legislation.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purposes of the Non-Employee Sub-Plan, the provisions of the Plan shall operate subject to the following modifications:</w:t>
      </w:r>
    </w:p>
    <w:p>
      <w:pPr>
        <w:spacing w:after="0" w:line="231" w:lineRule="exact"/>
        <w:rPr>
          <w:sz w:val="20"/>
          <w:szCs w:val="20"/>
          <w:color w:val="auto"/>
        </w:rPr>
      </w:pPr>
    </w:p>
    <w:p>
      <w:pPr>
        <w:ind w:left="1140" w:hanging="808"/>
        <w:spacing w:after="0"/>
        <w:tabs>
          <w:tab w:leader="none" w:pos="114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the Non-Employee Sub-Plan, unless the context otherwise requires, the following words and expressions have the following meanings:</w:t>
      </w:r>
    </w:p>
    <w:p>
      <w:pPr>
        <w:spacing w:after="0" w:line="154"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person, including any adviser, engaged by the Company or any of its Subsidiaries to render services to such entity if the consultant or adviser: (i) renders bona fide services to the Company or any of its Subsidiaries; (ii) renders services not in connection with the offer or sale of securities in a capital-raising transaction and does not directly or indirectly promote or maintain a market for the Company’s securities; and (iii) is a natural person. Notwithstanding the foregoing, a person is treated as a Consultant only if a Form S-8 Registration Statement under the Securities Act is available to register either the offer or the sale of the Company’s securities to such person.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 Consultant or Director who is not an Employee.</w:t>
      </w:r>
    </w:p>
    <w:p>
      <w:pPr>
        <w:spacing w:after="0" w:line="233"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of Service</w:t>
      </w:r>
      <w:r>
        <w:rPr>
          <w:rFonts w:ascii="Times New Roman" w:cs="Times New Roman" w:eastAsia="Times New Roman" w:hAnsi="Times New Roman"/>
          <w:sz w:val="22"/>
          <w:szCs w:val="22"/>
          <w:color w:val="auto"/>
        </w:rPr>
        <w:t>” means, subject to Section 3 below, the date the Grantee ceases to be a Service Provider as defined in this Non-Employee Sub-Plan.</w:t>
      </w:r>
    </w:p>
    <w:p>
      <w:pPr>
        <w:spacing w:after="0" w:line="153" w:lineRule="exact"/>
        <w:rPr>
          <w:sz w:val="20"/>
          <w:szCs w:val="20"/>
          <w:color w:val="auto"/>
        </w:rPr>
      </w:pPr>
    </w:p>
    <w:p>
      <w:pPr>
        <w:ind w:left="1140" w:hanging="808"/>
        <w:spacing w:after="0"/>
        <w:tabs>
          <w:tab w:leader="none" w:pos="114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 Providers are eligible to be granted Awards under the Non-Employee Sub-Plan.</w:t>
      </w:r>
    </w:p>
    <w:p>
      <w:pPr>
        <w:spacing w:after="0" w:line="220" w:lineRule="exact"/>
        <w:rPr>
          <w:sz w:val="20"/>
          <w:szCs w:val="20"/>
          <w:color w:val="auto"/>
        </w:rPr>
      </w:pPr>
    </w:p>
    <w:p>
      <w:pPr>
        <w:ind w:left="1140" w:hanging="808"/>
        <w:spacing w:after="0"/>
        <w:tabs>
          <w:tab w:leader="none" w:pos="114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Provider status and Termination of Service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the Administrator so determines, a Grantee who ceases to be a Service Provider for the purposes of this Non-Employee Sub-Plan and who becomes a Service Provider as defined in the Plan immediately thereafter (provided that there is no interruption or termination of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1-1</w:t>
      </w:r>
    </w:p>
    <w:p>
      <w:pPr>
        <w:sectPr>
          <w:pgSz w:w="11900" w:h="16838" w:orient="portrait"/>
          <w:cols w:equalWidth="0" w:num="1">
            <w:col w:w="11240"/>
          </w:cols>
          <w:pgMar w:left="320" w:top="1417" w:right="339" w:bottom="1440" w:gutter="0" w:footer="0" w:header="0"/>
        </w:sectPr>
      </w:pPr>
    </w:p>
    <w:bookmarkStart w:id="410" w:name="page411"/>
    <w:bookmarkEnd w:id="410"/>
    <w:p>
      <w:pPr>
        <w:spacing w:after="0" w:line="271" w:lineRule="auto"/>
        <w:rPr>
          <w:sz w:val="20"/>
          <w:szCs w:val="20"/>
          <w:color w:val="auto"/>
        </w:rPr>
      </w:pPr>
      <w:r>
        <w:rPr>
          <w:rFonts w:ascii="Times New Roman" w:cs="Times New Roman" w:eastAsia="Times New Roman" w:hAnsi="Times New Roman"/>
          <w:sz w:val="22"/>
          <w:szCs w:val="22"/>
          <w:color w:val="auto"/>
        </w:rPr>
        <w:t>service with the Company or a Subsidiary of the Company) may be considered to remain continuously a Service Provider for the purposes of the Non-Employee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1-2</w:t>
      </w:r>
    </w:p>
    <w:p>
      <w:pPr>
        <w:sectPr>
          <w:pgSz w:w="11900" w:h="16838" w:orient="portrait"/>
          <w:cols w:equalWidth="0" w:num="1">
            <w:col w:w="11240"/>
          </w:cols>
          <w:pgMar w:left="320" w:top="1421" w:right="339" w:bottom="1440" w:gutter="0" w:footer="0" w:header="0"/>
        </w:sectPr>
      </w:pPr>
    </w:p>
    <w:bookmarkStart w:id="411" w:name="page412"/>
    <w:bookmarkEnd w:id="411"/>
    <w:p>
      <w:pPr>
        <w:jc w:val="center"/>
        <w:spacing w:after="0"/>
        <w:rPr>
          <w:sz w:val="20"/>
          <w:szCs w:val="20"/>
          <w:color w:val="auto"/>
        </w:rPr>
      </w:pPr>
      <w:r>
        <w:rPr>
          <w:rFonts w:ascii="Times New Roman" w:cs="Times New Roman" w:eastAsia="Times New Roman" w:hAnsi="Times New Roman"/>
          <w:sz w:val="22"/>
          <w:szCs w:val="22"/>
          <w:b w:val="1"/>
          <w:bCs w:val="1"/>
          <w:color w:val="auto"/>
        </w:rPr>
        <w:t>APPENDIX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FRANCE SUB-PLAN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ARM HOLDINGS PLC 2023 OMNIBUS INCENTIVE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VERSION</w:t>
      </w:r>
    </w:p>
    <w:p>
      <w:pPr>
        <w:spacing w:after="0" w:line="224" w:lineRule="exact"/>
        <w:rPr>
          <w:sz w:val="20"/>
          <w:szCs w:val="20"/>
          <w:color w:val="auto"/>
        </w:rPr>
      </w:pPr>
    </w:p>
    <w:p>
      <w:pPr>
        <w:jc w:val="both"/>
        <w:ind w:firstLine="656"/>
        <w:spacing w:after="0" w:line="247" w:lineRule="auto"/>
        <w:tabs>
          <w:tab w:leader="none" w:pos="129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Introduction.</w:t>
      </w:r>
      <w:r>
        <w:rPr>
          <w:rFonts w:ascii="Times New Roman" w:cs="Times New Roman" w:eastAsia="Times New Roman" w:hAnsi="Times New Roman"/>
          <w:sz w:val="22"/>
          <w:szCs w:val="22"/>
          <w:color w:val="auto"/>
        </w:rPr>
        <w:t xml:space="preserve"> The Company has adopted the Plan, for the benefit of certain Service Providers, including any such Service Providers of a French Subsidiary who are French Grantees. Section 23 of the Plan authorizes the Administrator to modify the Plan to obtain favorable tax treatment for Grantees. This Appendix 2 (this “</w:t>
      </w:r>
      <w:r>
        <w:rPr>
          <w:rFonts w:ascii="Times New Roman" w:cs="Times New Roman" w:eastAsia="Times New Roman" w:hAnsi="Times New Roman"/>
          <w:sz w:val="22"/>
          <w:szCs w:val="22"/>
          <w:b w:val="1"/>
          <w:bCs w:val="1"/>
          <w:color w:val="auto"/>
        </w:rPr>
        <w:t>French Sub-Plan</w:t>
      </w:r>
      <w:r>
        <w:rPr>
          <w:rFonts w:ascii="Times New Roman" w:cs="Times New Roman" w:eastAsia="Times New Roman" w:hAnsi="Times New Roman"/>
          <w:sz w:val="22"/>
          <w:szCs w:val="22"/>
          <w:color w:val="auto"/>
        </w:rPr>
        <w:t>”) has been produced to comply with the provisions set forth in Articles L. 225-197-1 to L. 225-197-6, L. 22-10-59 and L. 22-10-60 of the French Commercial Code for the purpose of permitting Awards to qualify for special tax and social security treatment in France (“</w:t>
      </w:r>
      <w:r>
        <w:rPr>
          <w:rFonts w:ascii="Times New Roman" w:cs="Times New Roman" w:eastAsia="Times New Roman" w:hAnsi="Times New Roman"/>
          <w:sz w:val="22"/>
          <w:szCs w:val="22"/>
          <w:b w:val="1"/>
          <w:bCs w:val="1"/>
          <w:color w:val="auto"/>
        </w:rPr>
        <w:t>French-Qualified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 Awards</w:t>
      </w:r>
      <w:r>
        <w:rPr>
          <w:rFonts w:ascii="Times New Roman" w:cs="Times New Roman" w:eastAsia="Times New Roman" w:hAnsi="Times New Roman"/>
          <w:sz w:val="22"/>
          <w:szCs w:val="22"/>
          <w:color w:val="auto"/>
        </w:rPr>
        <w:t>”). The French-Qualified Share Awards could be granted to all or part of the employees of a French 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they are granted to all the employees of a French Subsidiary, they could be granted uniformly amongst French Grantees, or proportionally to their salary income or proportionally to their period of employment or following a combination of several of the previous criteria thus meeting the conditions of Article 217 quinquies of the French Tax Code. Capitalized terms in this French Sub-Plan that are not otherwise defined shall have the meanings set forth in the Plan.</w:t>
      </w:r>
    </w:p>
    <w:p>
      <w:pPr>
        <w:spacing w:after="0" w:line="204" w:lineRule="exact"/>
        <w:rPr>
          <w:sz w:val="20"/>
          <w:szCs w:val="20"/>
          <w:color w:val="auto"/>
        </w:rPr>
      </w:pPr>
    </w:p>
    <w:p>
      <w:pPr>
        <w:jc w:val="both"/>
        <w:ind w:firstLine="1276"/>
        <w:spacing w:after="0" w:line="250" w:lineRule="auto"/>
        <w:rPr>
          <w:sz w:val="20"/>
          <w:szCs w:val="20"/>
          <w:color w:val="auto"/>
        </w:rPr>
      </w:pPr>
      <w:r>
        <w:rPr>
          <w:rFonts w:ascii="Times New Roman" w:cs="Times New Roman" w:eastAsia="Times New Roman" w:hAnsi="Times New Roman"/>
          <w:sz w:val="22"/>
          <w:szCs w:val="22"/>
          <w:color w:val="auto"/>
        </w:rPr>
        <w:t>French-Qualified Share Awards granted to French Grantees under the terms of the French Sub-Plan are granted pursuant to the Plan, as approved by the board of directors on August 24, 2023 and the shareholders on August 25, 2023. The terms of the Plan will, subject to the modifications in the following terms and conditions of this French Sub-Plan, be applicable to French-Qualified Share Awards. Where there is any conflict between the provisions of the Plan and this French Sub-Plan, the provisions of this French Sub-Plan shall prevail.</w:t>
      </w:r>
    </w:p>
    <w:p>
      <w:pPr>
        <w:spacing w:after="0" w:line="194" w:lineRule="exact"/>
        <w:rPr>
          <w:sz w:val="20"/>
          <w:szCs w:val="20"/>
          <w:color w:val="auto"/>
        </w:rPr>
      </w:pPr>
    </w:p>
    <w:p>
      <w:pPr>
        <w:ind w:left="1300" w:hanging="644"/>
        <w:spacing w:after="0"/>
        <w:tabs>
          <w:tab w:leader="none" w:pos="130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a Restricted Share Unit.</w:t>
      </w:r>
    </w:p>
    <w:p>
      <w:pPr>
        <w:spacing w:after="0" w:line="219" w:lineRule="exact"/>
        <w:rPr>
          <w:rFonts w:ascii="Times New Roman" w:cs="Times New Roman" w:eastAsia="Times New Roman" w:hAnsi="Times New Roman"/>
          <w:sz w:val="22"/>
          <w:szCs w:val="22"/>
          <w:color w:val="auto"/>
        </w:rPr>
      </w:pPr>
    </w:p>
    <w:p>
      <w:pPr>
        <w:ind w:firstLine="1304"/>
        <w:spacing w:after="0" w:line="275" w:lineRule="auto"/>
        <w:tabs>
          <w:tab w:leader="none" w:pos="1939"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Date</w:t>
      </w:r>
      <w:r>
        <w:rPr>
          <w:rFonts w:ascii="Times New Roman" w:cs="Times New Roman" w:eastAsia="Times New Roman" w:hAnsi="Times New Roman"/>
          <w:sz w:val="22"/>
          <w:szCs w:val="22"/>
          <w:color w:val="auto"/>
        </w:rPr>
        <w:t>” means the later of: (i) the date on which the decision to grant the relevant Award is taken by the Administrator, and (ii) the date the Award is granted as set forth in the relevant Award Agreement.</w:t>
      </w:r>
    </w:p>
    <w:p>
      <w:pPr>
        <w:spacing w:after="0" w:line="149" w:lineRule="exact"/>
        <w:rPr>
          <w:rFonts w:ascii="Times New Roman" w:cs="Times New Roman" w:eastAsia="Times New Roman" w:hAnsi="Times New Roman"/>
          <w:sz w:val="22"/>
          <w:szCs w:val="22"/>
          <w:color w:val="auto"/>
        </w:rPr>
      </w:pPr>
    </w:p>
    <w:p>
      <w:pPr>
        <w:ind w:firstLine="1304"/>
        <w:spacing w:after="0" w:line="287" w:lineRule="auto"/>
        <w:tabs>
          <w:tab w:leader="none" w:pos="194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Closed Period</w:t>
      </w:r>
      <w:r>
        <w:rPr>
          <w:rFonts w:ascii="Times New Roman" w:cs="Times New Roman" w:eastAsia="Times New Roman" w:hAnsi="Times New Roman"/>
          <w:sz w:val="22"/>
          <w:szCs w:val="22"/>
          <w:color w:val="auto"/>
        </w:rPr>
        <w:t>” means, in relation to French-Qualified Share Awards and as set forth in Article L. 22-10-59, II of the French Commercial Code, as amended:</w:t>
      </w:r>
    </w:p>
    <w:p>
      <w:pPr>
        <w:spacing w:after="0" w:line="141"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2"/>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thirty calendar days before the announcement of an annual financial report or interim financial report that the Company is obligated to make public; and</w:t>
      </w:r>
    </w:p>
    <w:p>
      <w:pPr>
        <w:spacing w:after="0" w:line="153" w:lineRule="exact"/>
        <w:rPr>
          <w:rFonts w:ascii="Times New Roman" w:cs="Times New Roman" w:eastAsia="Times New Roman" w:hAnsi="Times New Roman"/>
          <w:sz w:val="22"/>
          <w:szCs w:val="22"/>
          <w:color w:val="auto"/>
        </w:rPr>
      </w:pPr>
    </w:p>
    <w:p>
      <w:pPr>
        <w:jc w:val="both"/>
        <w:ind w:firstLine="1952"/>
        <w:spacing w:after="0" w:line="259" w:lineRule="auto"/>
        <w:tabs>
          <w:tab w:leader="none" w:pos="2586" w:val="left"/>
        </w:tabs>
        <w:numPr>
          <w:ilvl w:val="2"/>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individuals holding a corporate office (</w:t>
      </w:r>
      <w:r>
        <w:rPr>
          <w:rFonts w:ascii="Times New Roman" w:cs="Times New Roman" w:eastAsia="Times New Roman" w:hAnsi="Times New Roman"/>
          <w:sz w:val="22"/>
          <w:szCs w:val="22"/>
          <w:i w:val="1"/>
          <w:iCs w:val="1"/>
          <w:color w:val="auto"/>
        </w:rPr>
        <w:t>mandat social</w:t>
      </w:r>
      <w:r>
        <w:rPr>
          <w:rFonts w:ascii="Times New Roman" w:cs="Times New Roman" w:eastAsia="Times New Roman" w:hAnsi="Times New Roman"/>
          <w:sz w:val="22"/>
          <w:szCs w:val="22"/>
          <w:color w:val="auto"/>
        </w:rPr>
        <w:t>) in at least one of the Subsidiaries, or salaried employees employed under the terms and conditions of an employment contract with a Subsidiary, the period as from the date they possess inside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2-1</w:t>
      </w:r>
    </w:p>
    <w:p>
      <w:pPr>
        <w:sectPr>
          <w:pgSz w:w="11900" w:h="16838" w:orient="portrait"/>
          <w:cols w:equalWidth="0" w:num="1">
            <w:col w:w="11240"/>
          </w:cols>
          <w:pgMar w:left="320" w:top="1417" w:right="339" w:bottom="1440" w:gutter="0" w:footer="0" w:header="0"/>
        </w:sectPr>
      </w:pPr>
    </w:p>
    <w:bookmarkStart w:id="412" w:name="page413"/>
    <w:bookmarkEnd w:id="412"/>
    <w:p>
      <w:pPr>
        <w:jc w:val="both"/>
        <w:spacing w:after="0" w:line="257" w:lineRule="auto"/>
        <w:rPr>
          <w:sz w:val="20"/>
          <w:szCs w:val="20"/>
          <w:color w:val="auto"/>
        </w:rPr>
      </w:pPr>
      <w:r>
        <w:rPr>
          <w:rFonts w:ascii="Times New Roman" w:cs="Times New Roman" w:eastAsia="Times New Roman" w:hAnsi="Times New Roman"/>
          <w:sz w:val="22"/>
          <w:szCs w:val="22"/>
          <w:color w:val="auto"/>
        </w:rPr>
        <w:t>information as defined by Article 7 of Regulation (EU) No. 596/2014 of the European Parliament and of the Council of 16 April 2014 and repealing Directive 2003/6/EC of the European Parliament and of the Council and Commission Directives 2003/124/EC, 2003/125/EC and 2004/72/EC, which has not been made public.</w:t>
      </w:r>
    </w:p>
    <w:p>
      <w:pPr>
        <w:spacing w:after="0" w:line="186"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22"/>
          <w:szCs w:val="22"/>
          <w:color w:val="auto"/>
        </w:rPr>
        <w:t>If French law or regulations are amended after adoption of this French Sub-Plan to modify the definition or applicability of the Closed Period to French-Qualified Share Awards, such amendment will become applicable to any French-Qualified Share Awards granted under this French Sub-Plan to the extent permitted or required by French law.</w:t>
      </w:r>
    </w:p>
    <w:p>
      <w:pPr>
        <w:spacing w:after="0" w:line="169" w:lineRule="exact"/>
        <w:rPr>
          <w:sz w:val="20"/>
          <w:szCs w:val="20"/>
          <w:color w:val="auto"/>
        </w:rPr>
      </w:pPr>
    </w:p>
    <w:p>
      <w:pPr>
        <w:ind w:right="20" w:firstLine="1304"/>
        <w:spacing w:after="0" w:line="275" w:lineRule="auto"/>
        <w:tabs>
          <w:tab w:leader="none" w:pos="193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disability as determined in categories 2 and 3 under Article L. 341-4 of the French Social Security Code, as amended, and subject to the fulfillment of related conditions.</w:t>
      </w:r>
    </w:p>
    <w:p>
      <w:pPr>
        <w:spacing w:after="0" w:line="16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French Commercial Code</w:t>
      </w:r>
      <w:r>
        <w:rPr>
          <w:rFonts w:ascii="Times New Roman" w:cs="Times New Roman" w:eastAsia="Times New Roman" w:hAnsi="Times New Roman"/>
          <w:sz w:val="22"/>
          <w:szCs w:val="22"/>
          <w:color w:val="auto"/>
        </w:rPr>
        <w:t xml:space="preserve">” means the French </w:t>
      </w:r>
      <w:r>
        <w:rPr>
          <w:rFonts w:ascii="Times New Roman" w:cs="Times New Roman" w:eastAsia="Times New Roman" w:hAnsi="Times New Roman"/>
          <w:sz w:val="22"/>
          <w:szCs w:val="22"/>
          <w:i w:val="1"/>
          <w:iCs w:val="1"/>
          <w:color w:val="auto"/>
        </w:rPr>
        <w:t>code de commerce</w:t>
      </w:r>
      <w:r>
        <w:rPr>
          <w:rFonts w:ascii="Times New Roman" w:cs="Times New Roman" w:eastAsia="Times New Roman" w:hAnsi="Times New Roman"/>
          <w:sz w:val="22"/>
          <w:szCs w:val="22"/>
          <w:color w:val="auto"/>
        </w:rPr>
        <w:t>, as amended.</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French Grantee</w:t>
      </w:r>
      <w:r>
        <w:rPr>
          <w:rFonts w:ascii="Times New Roman" w:cs="Times New Roman" w:eastAsia="Times New Roman" w:hAnsi="Times New Roman"/>
          <w:sz w:val="22"/>
          <w:szCs w:val="22"/>
          <w:color w:val="auto"/>
        </w:rPr>
        <w:t>” means an individual who is a current salaried employee employed under the terms and conditions of an employment contract (</w:t>
      </w:r>
      <w:r>
        <w:rPr>
          <w:rFonts w:ascii="Times New Roman" w:cs="Times New Roman" w:eastAsia="Times New Roman" w:hAnsi="Times New Roman"/>
          <w:sz w:val="22"/>
          <w:szCs w:val="22"/>
          <w:i w:val="1"/>
          <w:iCs w:val="1"/>
          <w:color w:val="auto"/>
        </w:rPr>
        <w:t>contrat de travail</w:t>
      </w:r>
      <w:r>
        <w:rPr>
          <w:rFonts w:ascii="Times New Roman" w:cs="Times New Roman" w:eastAsia="Times New Roman" w:hAnsi="Times New Roman"/>
          <w:sz w:val="22"/>
          <w:szCs w:val="22"/>
          <w:color w:val="auto"/>
        </w:rPr>
        <w:t>) by a French Subsidiary or a corporate officer (</w:t>
      </w:r>
      <w:r>
        <w:rPr>
          <w:rFonts w:ascii="Times New Roman" w:cs="Times New Roman" w:eastAsia="Times New Roman" w:hAnsi="Times New Roman"/>
          <w:sz w:val="22"/>
          <w:szCs w:val="22"/>
          <w:i w:val="1"/>
          <w:iCs w:val="1"/>
          <w:color w:val="auto"/>
        </w:rPr>
        <w:t>mandataire social</w:t>
      </w:r>
      <w:r>
        <w:rPr>
          <w:rFonts w:ascii="Times New Roman" w:cs="Times New Roman" w:eastAsia="Times New Roman" w:hAnsi="Times New Roman"/>
          <w:sz w:val="22"/>
          <w:szCs w:val="22"/>
          <w:color w:val="auto"/>
        </w:rPr>
        <w:t xml:space="preserve">, i.e., </w:t>
      </w:r>
      <w:r>
        <w:rPr>
          <w:rFonts w:ascii="Times New Roman" w:cs="Times New Roman" w:eastAsia="Times New Roman" w:hAnsi="Times New Roman"/>
          <w:sz w:val="22"/>
          <w:szCs w:val="22"/>
          <w:i w:val="1"/>
          <w:iCs w:val="1"/>
          <w:color w:val="auto"/>
        </w:rPr>
        <w:t>président du conseil d’administration, directeur général, directeur général délégué, membre du directoire, gérant d’une société par actions, président d’une société par actions simplifiée</w:t>
      </w:r>
      <w:r>
        <w:rPr>
          <w:rFonts w:ascii="Times New Roman" w:cs="Times New Roman" w:eastAsia="Times New Roman" w:hAnsi="Times New Roman"/>
          <w:sz w:val="22"/>
          <w:szCs w:val="22"/>
          <w:color w:val="auto"/>
        </w:rPr>
        <w:t>) of a French Subsidiary, provided that such individual is resident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France for French tax purposes or subject to the French social security contribution regime.</w:t>
      </w:r>
    </w:p>
    <w:p>
      <w:pPr>
        <w:spacing w:after="0" w:line="18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French Social Security Code</w:t>
      </w:r>
      <w:r>
        <w:rPr>
          <w:rFonts w:ascii="Times New Roman" w:cs="Times New Roman" w:eastAsia="Times New Roman" w:hAnsi="Times New Roman"/>
          <w:sz w:val="22"/>
          <w:szCs w:val="22"/>
          <w:color w:val="auto"/>
        </w:rPr>
        <w:t xml:space="preserve">” means the French </w:t>
      </w:r>
      <w:r>
        <w:rPr>
          <w:rFonts w:ascii="Times New Roman" w:cs="Times New Roman" w:eastAsia="Times New Roman" w:hAnsi="Times New Roman"/>
          <w:sz w:val="22"/>
          <w:szCs w:val="22"/>
          <w:i w:val="1"/>
          <w:iCs w:val="1"/>
          <w:color w:val="auto"/>
        </w:rPr>
        <w:t>code de la sécurité sociale</w:t>
      </w:r>
      <w:r>
        <w:rPr>
          <w:rFonts w:ascii="Times New Roman" w:cs="Times New Roman" w:eastAsia="Times New Roman" w:hAnsi="Times New Roman"/>
          <w:sz w:val="22"/>
          <w:szCs w:val="22"/>
          <w:color w:val="auto"/>
        </w:rPr>
        <w:t>, as amended.</w:t>
      </w:r>
    </w:p>
    <w:p>
      <w:pPr>
        <w:spacing w:after="0" w:line="219" w:lineRule="exact"/>
        <w:rPr>
          <w:rFonts w:ascii="Times New Roman" w:cs="Times New Roman" w:eastAsia="Times New Roman" w:hAnsi="Times New Roman"/>
          <w:sz w:val="22"/>
          <w:szCs w:val="22"/>
          <w:color w:val="auto"/>
        </w:rPr>
      </w:pPr>
    </w:p>
    <w:p>
      <w:pPr>
        <w:ind w:right="20" w:firstLine="1304"/>
        <w:spacing w:after="0" w:line="275" w:lineRule="auto"/>
        <w:tabs>
          <w:tab w:leader="none" w:pos="193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Holding Period</w:t>
      </w:r>
      <w:r>
        <w:rPr>
          <w:rFonts w:ascii="Times New Roman" w:cs="Times New Roman" w:eastAsia="Times New Roman" w:hAnsi="Times New Roman"/>
          <w:sz w:val="22"/>
          <w:szCs w:val="22"/>
          <w:color w:val="auto"/>
        </w:rPr>
        <w:t xml:space="preserve">” means a period equal to two (2) years as from the Award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relevant Vesting Period, provided that such difference is positive.</w:t>
      </w:r>
    </w:p>
    <w:p>
      <w:pPr>
        <w:spacing w:after="0" w:line="149"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2"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Mid-Point Date</w:t>
      </w:r>
      <w:r>
        <w:rPr>
          <w:rFonts w:ascii="Times New Roman" w:cs="Times New Roman" w:eastAsia="Times New Roman" w:hAnsi="Times New Roman"/>
          <w:sz w:val="22"/>
          <w:szCs w:val="22"/>
          <w:color w:val="auto"/>
        </w:rPr>
        <w:t>” means the following dates, provided, that if any Mid-Point Date is a Saturday, Sunday or any other day on which the stock exchange on which the Shares are admitted to trading is not ordinarily open for trading, such Mid-Point Date shall be deemed to be the next day on which such stock exchange is ordinarily open for trading:</w:t>
      </w:r>
    </w:p>
    <w:p>
      <w:pPr>
        <w:spacing w:after="0" w:line="186" w:lineRule="exact"/>
        <w:rPr>
          <w:sz w:val="20"/>
          <w:szCs w:val="20"/>
          <w:color w:val="auto"/>
        </w:rPr>
      </w:pPr>
    </w:p>
    <w:tbl>
      <w:tblPr>
        <w:tblLayout w:type="fixed"/>
        <w:tblInd w:w="1210" w:type="dxa"/>
        <w:tblCellMar>
          <w:top w:w="0" w:type="dxa"/>
          <w:left w:w="0" w:type="dxa"/>
          <w:bottom w:w="0" w:type="dxa"/>
          <w:right w:w="0" w:type="dxa"/>
        </w:tblCellMar>
      </w:tblPr>
      <w:tr>
        <w:trPr>
          <w:trHeight w:val="318"/>
        </w:trPr>
        <w:tc>
          <w:tcPr>
            <w:tcW w:w="340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Calendar Quarter</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Mid-Point Date</w:t>
            </w:r>
          </w:p>
        </w:tc>
      </w:tr>
      <w:tr>
        <w:trPr>
          <w:trHeight w:val="304"/>
        </w:trPr>
        <w:tc>
          <w:tcPr>
            <w:tcW w:w="34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Q1 (ending 31 March)</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 February</w:t>
            </w:r>
          </w:p>
        </w:tc>
      </w:tr>
      <w:tr>
        <w:trPr>
          <w:trHeight w:val="304"/>
        </w:trPr>
        <w:tc>
          <w:tcPr>
            <w:tcW w:w="182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Q2 (ending</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30 June)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15 May</w:t>
            </w:r>
          </w:p>
        </w:tc>
      </w:tr>
      <w:tr>
        <w:trPr>
          <w:trHeight w:val="304"/>
        </w:trPr>
        <w:tc>
          <w:tcPr>
            <w:tcW w:w="182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Q3 (ending 30</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September)</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15 August</w:t>
            </w:r>
          </w:p>
        </w:tc>
      </w:tr>
      <w:tr>
        <w:trPr>
          <w:trHeight w:val="304"/>
        </w:trPr>
        <w:tc>
          <w:tcPr>
            <w:tcW w:w="34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Q4 (ending 31 December)</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 November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2-2</w:t>
      </w:r>
    </w:p>
    <w:p>
      <w:pPr>
        <w:sectPr>
          <w:pgSz w:w="11900" w:h="16838" w:orient="portrait"/>
          <w:cols w:equalWidth="0" w:num="1">
            <w:col w:w="11240"/>
          </w:cols>
          <w:pgMar w:left="320" w:top="1421" w:right="339" w:bottom="1440" w:gutter="0" w:footer="0" w:header="0"/>
        </w:sectPr>
      </w:pPr>
    </w:p>
    <w:bookmarkStart w:id="413" w:name="page414"/>
    <w:bookmarkEnd w:id="413"/>
    <w:p>
      <w:pPr>
        <w:spacing w:after="0" w:line="194" w:lineRule="exact"/>
        <w:rPr>
          <w:sz w:val="20"/>
          <w:szCs w:val="20"/>
          <w:color w:val="auto"/>
        </w:rPr>
      </w:pPr>
    </w:p>
    <w:p>
      <w:pPr>
        <w:jc w:val="both"/>
        <w:ind w:firstLine="1304"/>
        <w:spacing w:after="0" w:line="258" w:lineRule="auto"/>
        <w:tabs>
          <w:tab w:leader="none" w:pos="1932"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Share Unit</w:t>
      </w:r>
      <w:r>
        <w:rPr>
          <w:rFonts w:ascii="Times New Roman" w:cs="Times New Roman" w:eastAsia="Times New Roman" w:hAnsi="Times New Roman"/>
          <w:sz w:val="22"/>
          <w:szCs w:val="22"/>
          <w:color w:val="auto"/>
        </w:rPr>
        <w:t>” means an unfunded, unsecured right to receive, on the applicable settlement date, one Share, subject to certain vesting conditions and other restrictions provided that nothing contained in the Plan or any Award Agreement, and no action taken pursuant to its provisions, will create or be construed to create a trust of any kind or a fiduciary relationship between a French Grantee and the Company or any of its Subsidiaries or any other person.</w:t>
      </w:r>
    </w:p>
    <w:p>
      <w:pPr>
        <w:spacing w:after="0" w:line="167" w:lineRule="exact"/>
        <w:rPr>
          <w:rFonts w:ascii="Times New Roman" w:cs="Times New Roman" w:eastAsia="Times New Roman" w:hAnsi="Times New Roman"/>
          <w:sz w:val="22"/>
          <w:szCs w:val="22"/>
          <w:color w:val="auto"/>
        </w:rPr>
      </w:pPr>
    </w:p>
    <w:p>
      <w:pPr>
        <w:ind w:right="20" w:firstLine="1304"/>
        <w:spacing w:after="0" w:line="275" w:lineRule="auto"/>
        <w:tabs>
          <w:tab w:leader="none" w:pos="193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provided that the Company holds (directly or indirectly) at least 10% of the capital or voting rights of such Subsidiary.</w:t>
      </w:r>
    </w:p>
    <w:p>
      <w:pPr>
        <w:spacing w:after="0" w:line="14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means the following vesting periods (</w:t>
      </w:r>
      <w:r>
        <w:rPr>
          <w:rFonts w:ascii="Times New Roman" w:cs="Times New Roman" w:eastAsia="Times New Roman" w:hAnsi="Times New Roman"/>
          <w:sz w:val="22"/>
          <w:szCs w:val="22"/>
          <w:i w:val="1"/>
          <w:iCs w:val="1"/>
          <w:color w:val="auto"/>
        </w:rPr>
        <w:t>périodes d’acquisition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annual Awards, the periods as described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new starter Awards, the periods as described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both cases starting on the relevant Award Date.</w:t>
      </w:r>
    </w:p>
    <w:p>
      <w:pPr>
        <w:spacing w:after="0" w:line="220" w:lineRule="exact"/>
        <w:rPr>
          <w:sz w:val="20"/>
          <w:szCs w:val="20"/>
          <w:color w:val="auto"/>
        </w:rPr>
      </w:pPr>
    </w:p>
    <w:p>
      <w:pPr>
        <w:ind w:left="1300" w:hanging="644"/>
        <w:spacing w:after="0"/>
        <w:tabs>
          <w:tab w:leader="none" w:pos="130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Limit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French-Qualified Share Awards may be granted to any French Grantee holding more than ten per cent (10%) of the share capital of the Company at the Award Date, or to any French Grantee who would come to hold more than ten per cent (10%) of the share capital of the Company as a result of being granted a French-Qualified Share Award, taking into account, as the case may be, in each case, the French-Qualified Share Awards granted to, and/or acquired by, the relevant French Grantee.</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number of French-Qualified Share Awards granted (together with any other awards granted by the Company for no consideration other than the nominal value referred to in the last sentence of Section 7(e)(i) of the Plan (where a French Grantee may be required to pay the nominal value of the shares underlying the Award if required by Applicable Laws) or the consideration referred to in the first sentence of Section 7(e)(iii) of the Plan) shall not exceed ten per cent (10%) of the share capital of the Company at the relevant Award Date (excluding Shares not delivered to the relevant French Grantee at the expiry of the Vesting Period in respect of lapsed French-Qualified Share Awards and Shares no longer subject to any Holding Period). No French-Qualified Share Awards shall be granted to any French Grantee whatsoever if, as a result of such granting, this condition would no longer be met.</w:t>
      </w:r>
    </w:p>
    <w:p>
      <w:pPr>
        <w:spacing w:after="0" w:line="19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Consideration</w:t>
      </w:r>
      <w:r>
        <w:rPr>
          <w:rFonts w:ascii="Times New Roman" w:cs="Times New Roman" w:eastAsia="Times New Roman" w:hAnsi="Times New Roman"/>
          <w:sz w:val="22"/>
          <w:szCs w:val="22"/>
          <w:color w:val="auto"/>
        </w:rPr>
        <w:t>. Subject to the last sentence of Section 7(e)(i) of the Plan (where a French Grantee may be required to pay the nominal value of the shares underlying the Award if required by Applicable Laws) and the first sentence of Section 7(e)(iii) of the Plan, the grant of any Award to the French Grantee is free (</w:t>
      </w:r>
      <w:r>
        <w:rPr>
          <w:rFonts w:ascii="Times New Roman" w:cs="Times New Roman" w:eastAsia="Times New Roman" w:hAnsi="Times New Roman"/>
          <w:sz w:val="22"/>
          <w:szCs w:val="22"/>
          <w:i w:val="1"/>
          <w:iCs w:val="1"/>
          <w:color w:val="auto"/>
        </w:rPr>
        <w:t>attribution gratuite</w:t>
      </w:r>
      <w:r>
        <w:rPr>
          <w:rFonts w:ascii="Times New Roman" w:cs="Times New Roman" w:eastAsia="Times New Roman" w:hAnsi="Times New Roman"/>
          <w:sz w:val="22"/>
          <w:szCs w:val="22"/>
          <w:color w:val="auto"/>
        </w:rPr>
        <w:t>). As such, subject to the last sentence of Section 7(e)(i) of the Plan and the first sentence of Section 7(e)(iii)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2-3</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French Grantee shall not in any way be required to pay, contribute, or participate to any form of consideration or payment with respect to the grant of any Award.</w:t>
      </w:r>
    </w:p>
    <w:p>
      <w:pPr>
        <w:spacing w:after="0" w:line="158" w:lineRule="exact"/>
        <w:rPr>
          <w:sz w:val="20"/>
          <w:szCs w:val="20"/>
          <w:color w:val="auto"/>
        </w:rPr>
      </w:pPr>
    </w:p>
    <w:p>
      <w:pPr>
        <w:ind w:left="1300" w:hanging="644"/>
        <w:spacing w:after="0"/>
        <w:tabs>
          <w:tab w:leader="none" w:pos="130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paragraph (d) of this Clause 5, Shares underlying the Awards will not be issued or otherwise transferred to the French Grantees before the relevant Vesting Period has expired.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French Grantee may not transfer, assign, or otherwise dispose of a French-Qualified Share Award or any rights in respect thereof until the expiry of the Vesting Period.</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French Grantee will not be entitled to vote or receive dividends, and will not be entitled to any Dividend Equivalent Rights or any rights of a shareholder in respect to any Shares subject to any French-Qualified Share Award (but a conditional right to the vesting of the relevant French-Qualified Share Award to his/her benefit) unless and until the Shares are delivered in settlement of the relevant French-Qualified Share Award.</w:t>
      </w:r>
    </w:p>
    <w:p>
      <w:pPr>
        <w:spacing w:after="0" w:line="17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Clause 5, if a French Grantee’s Continuous Service terminates because of death before such French Grantee’s French-Qualified Share Awards vest, the deceased French Grantee’s heirs may request, within six (6) months from the French Grantee’s date of death as evidenced by the death certificate of the French Grantee, the definitive allocation of the Shares in settlement of the relevant French-Qualified Share Awards, in accordance with Article L. 225-197-3, para. 2 of the French Commercial Code. The Company shall have no obligation to inform the heirs of the deceased French Grantee of the possibility for them to request the definitive allocation of the Shares. The definitive allocation of such Shares to the heirs will take place as soon as possible. In the absence of a request sent to the Company in accordance with the terms of this paragraph, the deceased French Grantee’s heirs will lose all rights with respect to such Shares, which will lapse, and the Company will be released from any commitment or obligation towards the deceased French Grantee’s heirs in this respect. The French-Qualified Share Awards allocated to the deceased French Grantee’s heirs shall not be subject to any Holding Period. However, any transfer will be subject to the prior and unconditional adherence of the concerned deceased French Grantee’s heirs to any extra statutory undertaking to which the relevant French Grantee was a party; any transfer will also be subject to the provisions of the Company’s articles of association and the French Sub-Plan.</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Holding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Holding Period, a French Grantee may not transfer, assign, or otherwise dispose of any of the Shares delivered in settlement of the relevant French-Qualified Share Award.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delivered in settlement of any French-Qualified Share Award may not be transferred, assigned, or otherwise disposed of during any applicable Closed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2-4</w:t>
      </w:r>
    </w:p>
    <w:p>
      <w:pPr>
        <w:sectPr>
          <w:pgSz w:w="11900" w:h="16838" w:orient="portrait"/>
          <w:cols w:equalWidth="0" w:num="1">
            <w:col w:w="11240"/>
          </w:cols>
          <w:pgMar w:left="320" w:top="1440" w:right="339" w:bottom="1440" w:gutter="0" w:footer="0" w:header="0"/>
        </w:sectPr>
      </w:pPr>
    </w:p>
    <w:bookmarkStart w:id="415" w:name="page416"/>
    <w:bookmarkEnd w:id="415"/>
    <w:p>
      <w:pPr>
        <w:jc w:val="both"/>
        <w:ind w:firstLine="1304"/>
        <w:spacing w:after="0" w:line="253" w:lineRule="auto"/>
        <w:tabs>
          <w:tab w:leader="none" w:pos="1941"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Shares delivered in settlement of any French-Qualified Share Awards to individuals holding both a corporate office (</w:t>
      </w:r>
      <w:r>
        <w:rPr>
          <w:rFonts w:ascii="Times New Roman" w:cs="Times New Roman" w:eastAsia="Times New Roman" w:hAnsi="Times New Roman"/>
          <w:sz w:val="22"/>
          <w:szCs w:val="22"/>
          <w:i w:val="1"/>
          <w:iCs w:val="1"/>
          <w:color w:val="auto"/>
        </w:rPr>
        <w:t>mandat social</w:t>
      </w:r>
      <w:r>
        <w:rPr>
          <w:rFonts w:ascii="Times New Roman" w:cs="Times New Roman" w:eastAsia="Times New Roman" w:hAnsi="Times New Roman"/>
          <w:sz w:val="22"/>
          <w:szCs w:val="22"/>
          <w:color w:val="auto"/>
        </w:rPr>
        <w:t>) in at least one of the Subsidiaries and a corporate office at the Company, the Administrator shall either decide that such Shares may not be disposed of by such individuals before the termination of their corporate office, or set the amount of such Shares that they are required to hold in registered form until the termination of their corporate office.</w:t>
      </w:r>
    </w:p>
    <w:p>
      <w:pPr>
        <w:spacing w:after="0" w:line="178"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Holding Period, a French Grantee is affected by a Disability, the French Grantee’s Shares cease to be subject to the Holding Period, in accordance with Article L. 225-197-1, I-para. 7 of the French Commercial Code.</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w:t>
      </w:r>
      <w:r>
        <w:rPr>
          <w:rFonts w:ascii="Times New Roman" w:cs="Times New Roman" w:eastAsia="Times New Roman" w:hAnsi="Times New Roman"/>
          <w:sz w:val="22"/>
          <w:szCs w:val="22"/>
          <w:color w:val="auto"/>
        </w:rPr>
        <w:t>. Except in the case of death, a French Grantee’s Award lapses on the date on which he or she ceases to be a French Grantee for any reason whatsoever (and shall not be entitled to any form of indemnification); provided that, for the purposes of this Clause 7, a French Grantee shall not be treated as ceasing to be a French Grantee in the case of (i) any approved leave or absence; (ii) transfers among the Company or any of its Subsidiaries in any capacity provided that such French Grantee remains to be an employee or corporate officer of the Company or any of its Subsidiaries or recommences as an employee or corporate officer of the Company or any of its Subsidiaries within 7 days following the cessation as an employee or corporate officer of the original employing entity; or (iii) any other change in status as long as such French Grantee remains to be an employee or corporate officer of the Company or any of its Subsidiaries (in each case, except as otherwise provided in the Award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Capital Transactions</w:t>
      </w:r>
      <w:r>
        <w:rPr>
          <w:rFonts w:ascii="Times New Roman" w:cs="Times New Roman" w:eastAsia="Times New Roman" w:hAnsi="Times New Roman"/>
          <w:sz w:val="22"/>
          <w:szCs w:val="22"/>
          <w:color w:val="auto"/>
        </w:rPr>
        <w:t>. If there is an event having an effect on: (i) the share capital of the Company; or (ii) the value of the Shares subject to French-Qualified Share Awards before the expiry of the Vesting Period (notably a merger, demerger or one of the operations enumerated in Article L. 225-181 of the French Commercial Code), the Administrator may adjust the number and/or class of Shares subject to French-Qualified Share Awards as it considers appropriate, but must take all necessary steps to limit the impact of such adjustments, if any, on the tax and social security treatment applicable to the French-Qualified Share Awards, in particular by satisfying, if possible, the four cumulative conditions provided for by the French tax authorities’ administrative guidelines published under the reference BOI-RSA-ES-20-20-10-20-24/07/2017, no. 240. For the avoidance of doubt, Article L. 225-197-1 of the French Commercial Code and all the conditions set out in the Plan (and the French Sub-Plan), including the Vesting Period and the Holding Period, remain applicable.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French Grantee acknowledges and agrees that he/she is responsible for obtaining advice on the tax, social security, and regulatory treatment applicable to the French-Qualified Share Awards and the related Shares from his/her own independent advisor. The obligation applies from the Award Date to the date of the subsequent transfer, assignment, or disposal of such Shares.</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relating to the tax and social security treatment applicable to any French Grantee that may be contained in this French Sub-Plan or received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2-5</w:t>
      </w:r>
    </w:p>
    <w:p>
      <w:pPr>
        <w:sectPr>
          <w:pgSz w:w="11900" w:h="16838" w:orient="portrait"/>
          <w:cols w:equalWidth="0" w:num="1">
            <w:col w:w="11240"/>
          </w:cols>
          <w:pgMar w:left="320" w:top="1421" w:right="339" w:bottom="1440" w:gutter="0" w:footer="0" w:header="0"/>
        </w:sectPr>
      </w:pPr>
    </w:p>
    <w:bookmarkStart w:id="416" w:name="page417"/>
    <w:bookmarkEnd w:id="416"/>
    <w:p>
      <w:pPr>
        <w:ind w:right="20"/>
        <w:spacing w:after="0" w:line="271" w:lineRule="auto"/>
        <w:rPr>
          <w:sz w:val="20"/>
          <w:szCs w:val="20"/>
          <w:color w:val="auto"/>
        </w:rPr>
      </w:pPr>
      <w:r>
        <w:rPr>
          <w:rFonts w:ascii="Times New Roman" w:cs="Times New Roman" w:eastAsia="Times New Roman" w:hAnsi="Times New Roman"/>
          <w:sz w:val="22"/>
          <w:szCs w:val="22"/>
          <w:color w:val="auto"/>
        </w:rPr>
        <w:t>any French Grantee is of a general nature only for information purposes and shall not be considered as complete or specific. Such information does not deal with the specific situation of any French Grantee.</w:t>
      </w:r>
    </w:p>
    <w:p>
      <w:pPr>
        <w:spacing w:after="0" w:line="158" w:lineRule="exact"/>
        <w:rPr>
          <w:sz w:val="20"/>
          <w:szCs w:val="20"/>
          <w:color w:val="auto"/>
        </w:rPr>
      </w:pPr>
    </w:p>
    <w:p>
      <w:pPr>
        <w:jc w:val="both"/>
        <w:ind w:firstLine="1304"/>
        <w:spacing w:after="0" w:line="263" w:lineRule="auto"/>
        <w:tabs>
          <w:tab w:leader="none" w:pos="1941"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French Grantee is fully responsible for the declarations, filings, and returns that must be made by him/her to the tax and social security authorities of: (i) the country of which he/she is a tax resident; and (ii) any other country where he/she would be subject to reporting obligations.</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French Grantee is personally liable for the payment, discharge or satisfaction of all his/her social security, regulatory, and tax liabilities applicable to him/her and is solely responsible for the payment, discharge or satisfaction of such liabilities to the competent authorities and without having any recourse against the Company, any parent company or Subsidiary of the Company or any other Grantee, whether or not this person is the person responsible for any withholding or deduction in respect of such liabilities.</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The French Sub-Plan shall only be administered by the Administrator, to the exclusion of any other officers or employees.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French-Qualified Share Awards granted under this French-Sub Plan are intended to qualify for special tax and social security treatment applicable to shares granted for no consideration under Articles L. 225-197-1 to L. 225-197-6 of the French Commercial Code, and in accordance with the relevant provisions set forth by French tax and social security laws, but the Company does not undertake to maintain this status.</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this French Sub-Plan will be interpreted accordingly and in accordance with the relevant provisions set forth by French tax and social security laws and relevant guidelines published by French tax, social security, or other regulatory authorities, and reporting obligations, to the extent applicable. In the event of any conflict between the provisions of this French Sub-Plan on the one hand and the Plan and/or any Award Agreement on the other hand, the provisions of this French Sub-Plan will control for any grants of Shares made hereunder to French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2-6</w:t>
      </w:r>
    </w:p>
    <w:p>
      <w:pPr>
        <w:sectPr>
          <w:pgSz w:w="11900" w:h="16838" w:orient="portrait"/>
          <w:cols w:equalWidth="0" w:num="1">
            <w:col w:w="11240"/>
          </w:cols>
          <w:pgMar w:left="320" w:top="1421" w:right="339" w:bottom="1440" w:gutter="0" w:footer="0" w:header="0"/>
        </w:sectPr>
      </w:pPr>
    </w:p>
    <w:bookmarkStart w:id="417" w:name="page418"/>
    <w:bookmarkEnd w:id="417"/>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Vesting Period for Annual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 w:hanging="492"/>
        <w:spacing w:after="0" w:line="284" w:lineRule="auto"/>
        <w:tabs>
          <w:tab w:leader="none" w:pos="489"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 of the Award shall vest on the Mid-Point Date of the earliest calendar quarter starting more than one (1) year after the Award Date; and</w:t>
      </w:r>
    </w:p>
    <w:p>
      <w:pPr>
        <w:spacing w:after="0" w:line="143" w:lineRule="exact"/>
        <w:rPr>
          <w:rFonts w:ascii="Times New Roman" w:cs="Times New Roman" w:eastAsia="Times New Roman" w:hAnsi="Times New Roman"/>
          <w:sz w:val="22"/>
          <w:szCs w:val="22"/>
          <w:color w:val="auto"/>
        </w:rPr>
      </w:pPr>
    </w:p>
    <w:p>
      <w:pPr>
        <w:jc w:val="both"/>
        <w:ind w:left="512" w:hanging="512"/>
        <w:spacing w:after="0" w:line="257" w:lineRule="auto"/>
        <w:tabs>
          <w:tab w:leader="none" w:pos="51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of the Award shall vest respectively on the Mid-Point Date of each calendar quarter thereafter, such that the Award shall be 100% vested by the Mid-Point Date of the calendar quarter falling three (3) years after the Award Date (or another date as determined by the Administrator in its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Appendix 2-7</w:t>
      </w:r>
    </w:p>
    <w:p>
      <w:pPr>
        <w:sectPr>
          <w:pgSz w:w="11900" w:h="16838" w:orient="portrait"/>
          <w:cols w:equalWidth="0" w:num="1">
            <w:col w:w="11232"/>
          </w:cols>
          <w:pgMar w:left="328" w:top="1417" w:right="339" w:bottom="1440" w:gutter="0" w:footer="0" w:header="0"/>
        </w:sectPr>
      </w:pPr>
    </w:p>
    <w:bookmarkStart w:id="418" w:name="page419"/>
    <w:bookmarkEnd w:id="418"/>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Vesting Period for New Starter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 w:hanging="492"/>
        <w:spacing w:after="0" w:line="284" w:lineRule="auto"/>
        <w:tabs>
          <w:tab w:leader="none" w:pos="489"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58% of the Award shall vest on the Mid-Point Date of the earliest calendar quarter starting more than one (1) year after the Award Date; and</w:t>
      </w:r>
    </w:p>
    <w:p>
      <w:pPr>
        <w:spacing w:after="0" w:line="143" w:lineRule="exact"/>
        <w:rPr>
          <w:rFonts w:ascii="Times New Roman" w:cs="Times New Roman" w:eastAsia="Times New Roman" w:hAnsi="Times New Roman"/>
          <w:sz w:val="22"/>
          <w:szCs w:val="22"/>
          <w:color w:val="auto"/>
        </w:rPr>
      </w:pPr>
    </w:p>
    <w:p>
      <w:pPr>
        <w:ind w:left="512" w:hanging="512"/>
        <w:spacing w:after="0" w:line="271" w:lineRule="auto"/>
        <w:tabs>
          <w:tab w:leader="none" w:pos="51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of the Award shall vest respectively on the Mid-Point Date of each calendar quarter thereafter, such that the Award shall be 100% vested by the Mid-Point Date of the calendar quarter falling three (3) years after the Award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Appendix 2-8</w:t>
      </w:r>
    </w:p>
    <w:p>
      <w:pPr>
        <w:sectPr>
          <w:pgSz w:w="11900" w:h="16838" w:orient="portrait"/>
          <w:cols w:equalWidth="0" w:num="1">
            <w:col w:w="11232"/>
          </w:cols>
          <w:pgMar w:left="328" w:top="1417" w:right="339" w:bottom="1440" w:gutter="0" w:footer="0" w:header="0"/>
        </w:sectPr>
      </w:pPr>
    </w:p>
    <w:bookmarkStart w:id="419" w:name="page420"/>
    <w:bookmarkEnd w:id="419"/>
    <w:p>
      <w:pPr>
        <w:jc w:val="center"/>
        <w:spacing w:after="0"/>
        <w:rPr>
          <w:sz w:val="20"/>
          <w:szCs w:val="20"/>
          <w:color w:val="auto"/>
        </w:rPr>
      </w:pPr>
      <w:r>
        <w:rPr>
          <w:rFonts w:ascii="Times New Roman" w:cs="Times New Roman" w:eastAsia="Times New Roman" w:hAnsi="Times New Roman"/>
          <w:sz w:val="22"/>
          <w:szCs w:val="22"/>
          <w:b w:val="1"/>
          <w:bCs w:val="1"/>
          <w:color w:val="auto"/>
        </w:rPr>
        <w:t>APPENDIX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ISRAEL SUB-PLAN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ARM HOLDINGS PLC 2023 OMNIBUS INCENTIVE PLAN</w:t>
      </w:r>
    </w:p>
    <w:p>
      <w:pPr>
        <w:spacing w:after="0" w:line="233" w:lineRule="exact"/>
        <w:rPr>
          <w:sz w:val="20"/>
          <w:szCs w:val="20"/>
          <w:color w:val="auto"/>
        </w:rPr>
      </w:pPr>
    </w:p>
    <w:p>
      <w:pPr>
        <w:ind w:left="380" w:hanging="372"/>
        <w:spacing w:after="0"/>
        <w:tabs>
          <w:tab w:leader="none" w:pos="380" w:val="left"/>
        </w:tabs>
        <w:numPr>
          <w:ilvl w:val="0"/>
          <w:numId w:val="3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20" w:lineRule="exact"/>
        <w:rPr>
          <w:sz w:val="20"/>
          <w:szCs w:val="20"/>
          <w:color w:val="auto"/>
        </w:rPr>
      </w:pPr>
    </w:p>
    <w:p>
      <w:pPr>
        <w:jc w:val="both"/>
        <w:ind w:left="500" w:right="40" w:hanging="647"/>
        <w:spacing w:after="0" w:line="269" w:lineRule="auto"/>
        <w:tabs>
          <w:tab w:leader="none" w:pos="4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This sub-plan (the “</w:t>
      </w:r>
      <w:r>
        <w:rPr>
          <w:rFonts w:ascii="Times New Roman" w:cs="Times New Roman" w:eastAsia="Times New Roman" w:hAnsi="Times New Roman"/>
          <w:sz w:val="21"/>
          <w:szCs w:val="21"/>
          <w:b w:val="1"/>
          <w:bCs w:val="1"/>
          <w:color w:val="auto"/>
        </w:rPr>
        <w:t>Israel Sub-Plan</w:t>
      </w:r>
      <w:r>
        <w:rPr>
          <w:rFonts w:ascii="Times New Roman" w:cs="Times New Roman" w:eastAsia="Times New Roman" w:hAnsi="Times New Roman"/>
          <w:sz w:val="21"/>
          <w:szCs w:val="21"/>
          <w:color w:val="auto"/>
        </w:rPr>
        <w:t>”) to the Arm Holdings Plc 2023 Omnibus Incentive Plan shall apply only to Grantees who are tax residents of the State of Israel on the date of the grant of the Award, as defined below in Section 2, and are engaged by an Israeli resident Subsidiary of the Company (collectively, “</w:t>
      </w:r>
      <w:r>
        <w:rPr>
          <w:rFonts w:ascii="Times New Roman" w:cs="Times New Roman" w:eastAsia="Times New Roman" w:hAnsi="Times New Roman"/>
          <w:sz w:val="21"/>
          <w:szCs w:val="21"/>
          <w:b w:val="1"/>
          <w:bCs w:val="1"/>
          <w:color w:val="auto"/>
        </w:rPr>
        <w:t>Israeli Grantees</w:t>
      </w:r>
      <w:r>
        <w:rPr>
          <w:rFonts w:ascii="Times New Roman" w:cs="Times New Roman" w:eastAsia="Times New Roman" w:hAnsi="Times New Roman"/>
          <w:sz w:val="21"/>
          <w:szCs w:val="21"/>
          <w:color w:val="auto"/>
        </w:rPr>
        <w:t>”). The provisions specified hereunder shall form an integral part of the Arm Holdings Plc 2023 Omnibus Incentive Plan (hereinafter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left="520" w:right="60" w:hanging="637"/>
        <w:spacing w:after="0" w:line="252" w:lineRule="auto"/>
        <w:tabs>
          <w:tab w:leader="none" w:pos="500" w:val="left"/>
        </w:tabs>
        <w:rPr>
          <w:sz w:val="20"/>
          <w:szCs w:val="20"/>
          <w:color w:val="auto"/>
        </w:rPr>
      </w:pPr>
      <w:r>
        <w:rPr>
          <w:rFonts w:ascii="Times New Roman" w:cs="Times New Roman" w:eastAsia="Times New Roman" w:hAnsi="Times New Roman"/>
          <w:sz w:val="22"/>
          <w:szCs w:val="22"/>
          <w:color w:val="auto"/>
        </w:rPr>
        <w:t>1.2</w:t>
        <w:tab/>
        <w:t>The Israel Sub-Plan is adopted pursuant to the authority of the Administrator under Section 4(b)(vi) of the Plan. The Israel Sub-Plan is to be read as a continuation of the Plan and applies to Awards granted to Israeli Grantees only to the extent necessary to comply with the requirements set by Israeli law, and in particular, with the provisions of the Ordinance. The Israel Sub-Plan does not add to or modify the Plan in respect of any other category of Grantees.</w:t>
      </w:r>
    </w:p>
    <w:p>
      <w:pPr>
        <w:spacing w:after="0" w:line="179" w:lineRule="exact"/>
        <w:rPr>
          <w:sz w:val="20"/>
          <w:szCs w:val="20"/>
          <w:color w:val="auto"/>
        </w:rPr>
      </w:pPr>
    </w:p>
    <w:p>
      <w:pPr>
        <w:jc w:val="both"/>
        <w:ind w:left="520" w:right="40" w:hanging="637"/>
        <w:spacing w:after="0" w:line="256" w:lineRule="auto"/>
        <w:tabs>
          <w:tab w:leader="none" w:pos="500" w:val="left"/>
        </w:tabs>
        <w:rPr>
          <w:sz w:val="20"/>
          <w:szCs w:val="20"/>
          <w:color w:val="auto"/>
        </w:rPr>
      </w:pPr>
      <w:r>
        <w:rPr>
          <w:rFonts w:ascii="Times New Roman" w:cs="Times New Roman" w:eastAsia="Times New Roman" w:hAnsi="Times New Roman"/>
          <w:sz w:val="22"/>
          <w:szCs w:val="22"/>
          <w:color w:val="auto"/>
        </w:rPr>
        <w:t>1.3</w:t>
        <w:tab/>
        <w:t>The Plan and the Israel Sub-Plan are complimentary to each other and shall be deemed as one. In the event of any conflict, whether explicit or implied, between the provisions of the Israel Sub-Plan and the Plan, the provisions set out in the Israel Sub-Plan shall prevail to the extent necessary to comply with the requirements set by Israeli law in general, and in particular, with the provisions of the Ordinance.</w:t>
      </w:r>
    </w:p>
    <w:p>
      <w:pPr>
        <w:spacing w:after="0" w:line="176" w:lineRule="exact"/>
        <w:rPr>
          <w:sz w:val="20"/>
          <w:szCs w:val="20"/>
          <w:color w:val="auto"/>
        </w:rPr>
      </w:pPr>
    </w:p>
    <w:p>
      <w:pPr>
        <w:jc w:val="both"/>
        <w:ind w:left="500" w:right="60" w:hanging="637"/>
        <w:spacing w:after="0" w:line="271" w:lineRule="auto"/>
        <w:tabs>
          <w:tab w:leader="none" w:pos="480" w:val="left"/>
        </w:tabs>
        <w:rPr>
          <w:sz w:val="20"/>
          <w:szCs w:val="20"/>
          <w:color w:val="auto"/>
        </w:rPr>
      </w:pPr>
      <w:r>
        <w:rPr>
          <w:rFonts w:ascii="Times New Roman" w:cs="Times New Roman" w:eastAsia="Times New Roman" w:hAnsi="Times New Roman"/>
          <w:sz w:val="22"/>
          <w:szCs w:val="22"/>
          <w:color w:val="auto"/>
        </w:rPr>
        <w:t>1.4</w:t>
        <w:tab/>
        <w:t>Any capitalized term not specifically defined in the Israel Sub-Plan shall be construed according to the interpretation given to it in the Plan.</w:t>
      </w:r>
    </w:p>
    <w:p>
      <w:pPr>
        <w:spacing w:after="0" w:line="158" w:lineRule="exact"/>
        <w:rPr>
          <w:sz w:val="20"/>
          <w:szCs w:val="20"/>
          <w:color w:val="auto"/>
        </w:rPr>
      </w:pPr>
    </w:p>
    <w:p>
      <w:pPr>
        <w:jc w:val="both"/>
        <w:ind w:left="500" w:right="60" w:hanging="637"/>
        <w:spacing w:after="0" w:line="284" w:lineRule="auto"/>
        <w:tabs>
          <w:tab w:leader="none" w:pos="480" w:val="left"/>
        </w:tabs>
        <w:rPr>
          <w:sz w:val="20"/>
          <w:szCs w:val="20"/>
          <w:color w:val="auto"/>
        </w:rPr>
      </w:pPr>
      <w:r>
        <w:rPr>
          <w:rFonts w:ascii="Times New Roman" w:cs="Times New Roman" w:eastAsia="Times New Roman" w:hAnsi="Times New Roman"/>
          <w:sz w:val="22"/>
          <w:szCs w:val="22"/>
          <w:color w:val="auto"/>
        </w:rPr>
        <w:t>1.5</w:t>
        <w:tab/>
        <w:t>For purposes of the Israel Sub-Plan, to the extent the Administrator determines to make or satisfy an Award in ADSs in lieu of Shares, then references to Shares shall be read as including such ADSs.</w:t>
      </w:r>
    </w:p>
    <w:p>
      <w:pPr>
        <w:spacing w:after="0" w:line="140" w:lineRule="exact"/>
        <w:rPr>
          <w:sz w:val="20"/>
          <w:szCs w:val="20"/>
          <w:color w:val="auto"/>
        </w:rPr>
      </w:pPr>
    </w:p>
    <w:p>
      <w:pPr>
        <w:ind w:left="380" w:hanging="372"/>
        <w:spacing w:after="0"/>
        <w:tabs>
          <w:tab w:leader="none" w:pos="380" w:val="left"/>
        </w:tabs>
        <w:numPr>
          <w:ilvl w:val="0"/>
          <w:numId w:val="3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20" w:lineRule="exact"/>
        <w:rPr>
          <w:sz w:val="20"/>
          <w:szCs w:val="20"/>
          <w:color w:val="auto"/>
        </w:rPr>
      </w:pPr>
    </w:p>
    <w:p>
      <w:pPr>
        <w:jc w:val="both"/>
        <w:ind w:left="660" w:right="4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102 Award</w:t>
      </w:r>
      <w:r>
        <w:rPr>
          <w:rFonts w:ascii="Times New Roman" w:cs="Times New Roman" w:eastAsia="Times New Roman" w:hAnsi="Times New Roman"/>
          <w:sz w:val="22"/>
          <w:szCs w:val="22"/>
          <w:color w:val="auto"/>
        </w:rPr>
        <w:t>” means any Award intended to qualify (as determined by the Administrator and/or the Israeli Award Agreement and/or a tax ruling from the ITA) and which qualifies as an award under Section 102, issued to an Approved Israeli Grantee.</w:t>
      </w:r>
    </w:p>
    <w:p>
      <w:pPr>
        <w:spacing w:after="0" w:line="180" w:lineRule="exact"/>
        <w:rPr>
          <w:sz w:val="20"/>
          <w:szCs w:val="20"/>
          <w:color w:val="auto"/>
        </w:rPr>
      </w:pPr>
    </w:p>
    <w:p>
      <w:pPr>
        <w:jc w:val="both"/>
        <w:ind w:left="540" w:hanging="647"/>
        <w:spacing w:after="0" w:line="259" w:lineRule="auto"/>
        <w:tabs>
          <w:tab w:leader="none" w:pos="520" w:val="left"/>
        </w:tabs>
        <w:rPr>
          <w:sz w:val="20"/>
          <w:szCs w:val="20"/>
          <w:color w:val="auto"/>
        </w:rPr>
      </w:pPr>
      <w:r>
        <w:rPr>
          <w:rFonts w:ascii="Times New Roman" w:cs="Times New Roman" w:eastAsia="Times New Roman" w:hAnsi="Times New Roman"/>
          <w:sz w:val="22"/>
          <w:szCs w:val="22"/>
          <w:color w:val="auto"/>
        </w:rPr>
        <w:t>2.2</w:t>
        <w:tab/>
        <w:t>“</w:t>
      </w:r>
      <w:r>
        <w:rPr>
          <w:rFonts w:ascii="Times New Roman" w:cs="Times New Roman" w:eastAsia="Times New Roman" w:hAnsi="Times New Roman"/>
          <w:sz w:val="22"/>
          <w:szCs w:val="22"/>
          <w:b w:val="1"/>
          <w:bCs w:val="1"/>
          <w:color w:val="auto"/>
        </w:rPr>
        <w:t>Approved Israeli Grantee</w:t>
      </w:r>
      <w:r>
        <w:rPr>
          <w:rFonts w:ascii="Times New Roman" w:cs="Times New Roman" w:eastAsia="Times New Roman" w:hAnsi="Times New Roman"/>
          <w:sz w:val="22"/>
          <w:szCs w:val="22"/>
          <w:color w:val="auto"/>
        </w:rPr>
        <w:t>” means an Israeli Grantee who is an employee (whether contracted to work full time or part-time) or director (excluding non-executive directors) of an Employer, excluding any Controlling Share Holder of the Company.</w:t>
      </w:r>
    </w:p>
    <w:p>
      <w:pPr>
        <w:spacing w:after="0" w:line="166" w:lineRule="exact"/>
        <w:rPr>
          <w:sz w:val="20"/>
          <w:szCs w:val="20"/>
          <w:color w:val="auto"/>
        </w:rPr>
      </w:pPr>
    </w:p>
    <w:p>
      <w:pPr>
        <w:jc w:val="both"/>
        <w:ind w:left="500" w:hanging="647"/>
        <w:spacing w:after="0" w:line="275" w:lineRule="auto"/>
        <w:tabs>
          <w:tab w:leader="none" w:pos="480" w:val="left"/>
        </w:tabs>
        <w:rPr>
          <w:sz w:val="20"/>
          <w:szCs w:val="20"/>
          <w:color w:val="auto"/>
        </w:rPr>
      </w:pPr>
      <w:r>
        <w:rPr>
          <w:rFonts w:ascii="Times New Roman" w:cs="Times New Roman" w:eastAsia="Times New Roman" w:hAnsi="Times New Roman"/>
          <w:sz w:val="22"/>
          <w:szCs w:val="22"/>
          <w:color w:val="auto"/>
        </w:rPr>
        <w:t>2.3</w:t>
        <w:tab/>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any Award granted under the Plan which is settled in Shares and which will not be capable of being settled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3-1</w:t>
      </w:r>
    </w:p>
    <w:p>
      <w:pPr>
        <w:sectPr>
          <w:pgSz w:w="11900" w:h="16838" w:orient="portrait"/>
          <w:cols w:equalWidth="0" w:num="1">
            <w:col w:w="11240"/>
          </w:cols>
          <w:pgMar w:left="320" w:top="1417" w:right="339" w:bottom="1440" w:gutter="0" w:footer="0" w:header="0"/>
        </w:sectPr>
      </w:pPr>
    </w:p>
    <w:bookmarkStart w:id="420" w:name="page421"/>
    <w:bookmarkEnd w:id="420"/>
    <w:p>
      <w:pPr>
        <w:ind w:left="540" w:hanging="647"/>
        <w:spacing w:after="0" w:line="275" w:lineRule="auto"/>
        <w:tabs>
          <w:tab w:leader="none" w:pos="520" w:val="left"/>
        </w:tabs>
        <w:rPr>
          <w:sz w:val="20"/>
          <w:szCs w:val="20"/>
          <w:color w:val="auto"/>
        </w:rPr>
      </w:pPr>
      <w:r>
        <w:rPr>
          <w:rFonts w:ascii="Times New Roman" w:cs="Times New Roman" w:eastAsia="Times New Roman" w:hAnsi="Times New Roman"/>
          <w:sz w:val="22"/>
          <w:szCs w:val="22"/>
          <w:color w:val="auto"/>
        </w:rPr>
        <w:t>2.4</w:t>
        <w:tab/>
        <w:t>“</w:t>
      </w:r>
      <w:r>
        <w:rPr>
          <w:rFonts w:ascii="Times New Roman" w:cs="Times New Roman" w:eastAsia="Times New Roman" w:hAnsi="Times New Roman"/>
          <w:sz w:val="22"/>
          <w:szCs w:val="22"/>
          <w:b w:val="1"/>
          <w:bCs w:val="1"/>
          <w:color w:val="auto"/>
        </w:rPr>
        <w:t>Capital Gain Award</w:t>
      </w:r>
      <w:r>
        <w:rPr>
          <w:rFonts w:ascii="Times New Roman" w:cs="Times New Roman" w:eastAsia="Times New Roman" w:hAnsi="Times New Roman"/>
          <w:sz w:val="22"/>
          <w:szCs w:val="22"/>
          <w:color w:val="auto"/>
        </w:rPr>
        <w:t>” means a Trustee 102 Award elected and designated by the Company to qualify under the capital gain tax treatment in accordance with the provisions of Section 102(b)(2) and Section 102(b)(3) of the Ordinance.</w:t>
      </w:r>
    </w:p>
    <w:p>
      <w:pPr>
        <w:spacing w:after="0" w:line="14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Controlling Share Holder</w:t>
      </w:r>
      <w:r>
        <w:rPr>
          <w:rFonts w:ascii="Times New Roman" w:cs="Times New Roman" w:eastAsia="Times New Roman" w:hAnsi="Times New Roman"/>
          <w:sz w:val="21"/>
          <w:szCs w:val="21"/>
          <w:color w:val="auto"/>
        </w:rPr>
        <w:t>” shall have the meaning ascribed to it in Section 32(9) of the Ordinance.</w:t>
      </w:r>
    </w:p>
    <w:p>
      <w:pPr>
        <w:spacing w:after="0" w:line="233" w:lineRule="exact"/>
        <w:rPr>
          <w:sz w:val="20"/>
          <w:szCs w:val="20"/>
          <w:color w:val="auto"/>
        </w:rPr>
      </w:pPr>
    </w:p>
    <w:p>
      <w:pPr>
        <w:ind w:left="540" w:hanging="647"/>
        <w:spacing w:after="0" w:line="275" w:lineRule="auto"/>
        <w:tabs>
          <w:tab w:leader="none" w:pos="520" w:val="left"/>
        </w:tabs>
        <w:rPr>
          <w:sz w:val="20"/>
          <w:szCs w:val="20"/>
          <w:color w:val="auto"/>
        </w:rPr>
      </w:pPr>
      <w:r>
        <w:rPr>
          <w:rFonts w:ascii="Times New Roman" w:cs="Times New Roman" w:eastAsia="Times New Roman" w:hAnsi="Times New Roman"/>
          <w:sz w:val="22"/>
          <w:szCs w:val="22"/>
          <w:color w:val="auto"/>
        </w:rPr>
        <w:t>2.6</w:t>
        <w:tab/>
        <w:t>“</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means an Israeli resident Subsidiary of the Company which is an “employing company” within the meaning and subject to the conditions of Section 102(a) of the Ordinance.</w:t>
      </w:r>
    </w:p>
    <w:p>
      <w:pPr>
        <w:spacing w:after="0" w:line="149" w:lineRule="exact"/>
        <w:rPr>
          <w:sz w:val="20"/>
          <w:szCs w:val="20"/>
          <w:color w:val="auto"/>
        </w:rPr>
      </w:pPr>
    </w:p>
    <w:p>
      <w:pPr>
        <w:ind w:left="540" w:right="40" w:hanging="637"/>
        <w:spacing w:after="0" w:line="275" w:lineRule="auto"/>
        <w:tabs>
          <w:tab w:leader="none" w:pos="520" w:val="left"/>
        </w:tabs>
        <w:rPr>
          <w:sz w:val="20"/>
          <w:szCs w:val="20"/>
          <w:color w:val="auto"/>
        </w:rPr>
      </w:pPr>
      <w:r>
        <w:rPr>
          <w:rFonts w:ascii="Times New Roman" w:cs="Times New Roman" w:eastAsia="Times New Roman" w:hAnsi="Times New Roman"/>
          <w:sz w:val="22"/>
          <w:szCs w:val="22"/>
          <w:color w:val="auto"/>
        </w:rPr>
        <w:t>2.7</w:t>
        <w:tab/>
        <w:t>“</w:t>
      </w:r>
      <w:r>
        <w:rPr>
          <w:rFonts w:ascii="Times New Roman" w:cs="Times New Roman" w:eastAsia="Times New Roman" w:hAnsi="Times New Roman"/>
          <w:sz w:val="22"/>
          <w:szCs w:val="22"/>
          <w:b w:val="1"/>
          <w:bCs w:val="1"/>
          <w:color w:val="auto"/>
        </w:rPr>
        <w:t>Israeli Award Agreement</w:t>
      </w:r>
      <w:r>
        <w:rPr>
          <w:rFonts w:ascii="Times New Roman" w:cs="Times New Roman" w:eastAsia="Times New Roman" w:hAnsi="Times New Roman"/>
          <w:sz w:val="22"/>
          <w:szCs w:val="22"/>
          <w:color w:val="auto"/>
        </w:rPr>
        <w:t>” means the Award Agreement between the Company and an Israeli Grantee that sets out the terms and conditions of an Award.</w:t>
      </w:r>
    </w:p>
    <w:p>
      <w:pPr>
        <w:spacing w:after="0" w:line="14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ITA</w:t>
      </w:r>
      <w:r>
        <w:rPr>
          <w:rFonts w:ascii="Times New Roman" w:cs="Times New Roman" w:eastAsia="Times New Roman" w:hAnsi="Times New Roman"/>
          <w:sz w:val="21"/>
          <w:szCs w:val="21"/>
          <w:color w:val="auto"/>
        </w:rPr>
        <w:t>” means the Israeli Tax Authority.</w:t>
      </w:r>
    </w:p>
    <w:p>
      <w:pPr>
        <w:spacing w:after="0" w:line="233" w:lineRule="exact"/>
        <w:rPr>
          <w:sz w:val="20"/>
          <w:szCs w:val="20"/>
          <w:color w:val="auto"/>
        </w:rPr>
      </w:pPr>
    </w:p>
    <w:p>
      <w:pPr>
        <w:ind w:left="500" w:hanging="647"/>
        <w:spacing w:after="0" w:line="275" w:lineRule="auto"/>
        <w:tabs>
          <w:tab w:leader="none" w:pos="480" w:val="left"/>
        </w:tabs>
        <w:rPr>
          <w:sz w:val="20"/>
          <w:szCs w:val="20"/>
          <w:color w:val="auto"/>
        </w:rPr>
      </w:pPr>
      <w:r>
        <w:rPr>
          <w:rFonts w:ascii="Times New Roman" w:cs="Times New Roman" w:eastAsia="Times New Roman" w:hAnsi="Times New Roman"/>
          <w:sz w:val="22"/>
          <w:szCs w:val="22"/>
          <w:color w:val="auto"/>
        </w:rPr>
        <w:t>2.9</w:t>
        <w:tab/>
        <w:t>“</w:t>
      </w:r>
      <w:r>
        <w:rPr>
          <w:rFonts w:ascii="Times New Roman" w:cs="Times New Roman" w:eastAsia="Times New Roman" w:hAnsi="Times New Roman"/>
          <w:sz w:val="22"/>
          <w:szCs w:val="22"/>
          <w:b w:val="1"/>
          <w:bCs w:val="1"/>
          <w:color w:val="auto"/>
        </w:rPr>
        <w:t>Non-Trustee 102 Award</w:t>
      </w:r>
      <w:r>
        <w:rPr>
          <w:rFonts w:ascii="Times New Roman" w:cs="Times New Roman" w:eastAsia="Times New Roman" w:hAnsi="Times New Roman"/>
          <w:sz w:val="22"/>
          <w:szCs w:val="22"/>
          <w:color w:val="auto"/>
        </w:rPr>
        <w:t>” means a 102 Award granted pursuant to Section 102(c) of the Ordinance and not held in trust by a Trustee.</w:t>
      </w:r>
    </w:p>
    <w:p>
      <w:pPr>
        <w:spacing w:after="0" w:line="149" w:lineRule="exact"/>
        <w:rPr>
          <w:sz w:val="20"/>
          <w:szCs w:val="20"/>
          <w:color w:val="auto"/>
        </w:rPr>
      </w:pPr>
    </w:p>
    <w:p>
      <w:pPr>
        <w:ind w:left="640" w:right="60" w:hanging="63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2.10</w:t>
        <w:tab/>
        <w:t>“</w:t>
      </w:r>
      <w:r>
        <w:rPr>
          <w:rFonts w:ascii="Times New Roman" w:cs="Times New Roman" w:eastAsia="Times New Roman" w:hAnsi="Times New Roman"/>
          <w:sz w:val="22"/>
          <w:szCs w:val="22"/>
          <w:b w:val="1"/>
          <w:bCs w:val="1"/>
          <w:color w:val="auto"/>
        </w:rPr>
        <w:t>Ordinance</w:t>
      </w:r>
      <w:r>
        <w:rPr>
          <w:rFonts w:ascii="Times New Roman" w:cs="Times New Roman" w:eastAsia="Times New Roman" w:hAnsi="Times New Roman"/>
          <w:sz w:val="22"/>
          <w:szCs w:val="22"/>
          <w:color w:val="auto"/>
        </w:rPr>
        <w:t>” means the Israeli Income Tax Ordinance [New Version] – 1961, as now in effect or as hereafter may be amended or replaced from time to time.</w:t>
      </w:r>
    </w:p>
    <w:p>
      <w:pPr>
        <w:spacing w:after="0" w:line="149" w:lineRule="exact"/>
        <w:rPr>
          <w:sz w:val="20"/>
          <w:szCs w:val="20"/>
          <w:color w:val="auto"/>
        </w:rPr>
      </w:pPr>
    </w:p>
    <w:p>
      <w:pPr>
        <w:ind w:left="660" w:right="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2.11</w:t>
        <w:tab/>
        <w:t>“</w:t>
      </w:r>
      <w:r>
        <w:rPr>
          <w:rFonts w:ascii="Times New Roman" w:cs="Times New Roman" w:eastAsia="Times New Roman" w:hAnsi="Times New Roman"/>
          <w:sz w:val="22"/>
          <w:szCs w:val="22"/>
          <w:b w:val="1"/>
          <w:bCs w:val="1"/>
          <w:color w:val="auto"/>
        </w:rPr>
        <w:t>Ordinary Income Award</w:t>
      </w:r>
      <w:r>
        <w:rPr>
          <w:rFonts w:ascii="Times New Roman" w:cs="Times New Roman" w:eastAsia="Times New Roman" w:hAnsi="Times New Roman"/>
          <w:sz w:val="22"/>
          <w:szCs w:val="22"/>
          <w:color w:val="auto"/>
        </w:rPr>
        <w:t>” means a Trustee 102 Award elected and designated by the Company to qualify under the ordinary income tax treatment in accordance with the provisions of Section 102(b)(1) of the Ordinance.</w:t>
      </w:r>
    </w:p>
    <w:p>
      <w:pPr>
        <w:spacing w:after="0" w:line="16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means the Income Tax Rules (Tax Benefits in Stock Issuance to Employees) 5763-2003.</w:t>
      </w:r>
    </w:p>
    <w:p>
      <w:pPr>
        <w:spacing w:after="0" w:line="220" w:lineRule="exact"/>
        <w:rPr>
          <w:sz w:val="20"/>
          <w:szCs w:val="20"/>
          <w:color w:val="auto"/>
        </w:rPr>
      </w:pPr>
    </w:p>
    <w:p>
      <w:pPr>
        <w:ind w:left="640" w:right="60" w:hanging="63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2.13</w:t>
        <w:tab/>
        <w:t>“</w:t>
      </w:r>
      <w:r>
        <w:rPr>
          <w:rFonts w:ascii="Times New Roman" w:cs="Times New Roman" w:eastAsia="Times New Roman" w:hAnsi="Times New Roman"/>
          <w:sz w:val="22"/>
          <w:szCs w:val="22"/>
          <w:b w:val="1"/>
          <w:bCs w:val="1"/>
          <w:color w:val="auto"/>
        </w:rPr>
        <w:t>Section 102</w:t>
      </w:r>
      <w:r>
        <w:rPr>
          <w:rFonts w:ascii="Times New Roman" w:cs="Times New Roman" w:eastAsia="Times New Roman" w:hAnsi="Times New Roman"/>
          <w:sz w:val="22"/>
          <w:szCs w:val="22"/>
          <w:color w:val="auto"/>
        </w:rPr>
        <w:t>” means Section 102 of the Ordinance and any regulations, rules, orders or procedures promulgated thereunder as now in effect or as hereafter may be amended or replaced from time to time.</w:t>
      </w:r>
    </w:p>
    <w:p>
      <w:pPr>
        <w:spacing w:after="0" w:line="149" w:lineRule="exact"/>
        <w:rPr>
          <w:sz w:val="20"/>
          <w:szCs w:val="20"/>
          <w:color w:val="auto"/>
        </w:rPr>
      </w:pPr>
    </w:p>
    <w:p>
      <w:pPr>
        <w:ind w:left="620" w:right="40" w:hanging="637"/>
        <w:spacing w:after="0" w:line="275" w:lineRule="auto"/>
        <w:tabs>
          <w:tab w:leader="none" w:pos="600" w:val="left"/>
        </w:tabs>
        <w:rPr>
          <w:sz w:val="20"/>
          <w:szCs w:val="20"/>
          <w:color w:val="auto"/>
        </w:rPr>
      </w:pPr>
      <w:r>
        <w:rPr>
          <w:rFonts w:ascii="Times New Roman" w:cs="Times New Roman" w:eastAsia="Times New Roman" w:hAnsi="Times New Roman"/>
          <w:sz w:val="22"/>
          <w:szCs w:val="22"/>
          <w:color w:val="auto"/>
        </w:rPr>
        <w:t>2.14</w:t>
        <w:tab/>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means any applicable tax and other compulsory payments, such as any social security and health tax contributions under any Applicable Laws.</w:t>
      </w:r>
    </w:p>
    <w:p>
      <w:pPr>
        <w:spacing w:after="0" w:line="163" w:lineRule="exact"/>
        <w:rPr>
          <w:sz w:val="20"/>
          <w:szCs w:val="20"/>
          <w:color w:val="auto"/>
        </w:rPr>
      </w:pPr>
    </w:p>
    <w:p>
      <w:pPr>
        <w:ind w:left="640" w:right="40" w:hanging="63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2.15</w:t>
        <w:tab/>
        <w:t>“</w:t>
      </w:r>
      <w:r>
        <w:rPr>
          <w:rFonts w:ascii="Times New Roman" w:cs="Times New Roman" w:eastAsia="Times New Roman" w:hAnsi="Times New Roman"/>
          <w:sz w:val="22"/>
          <w:szCs w:val="22"/>
          <w:b w:val="1"/>
          <w:bCs w:val="1"/>
          <w:color w:val="auto"/>
        </w:rPr>
        <w:t>Trust Agreement</w:t>
      </w:r>
      <w:r>
        <w:rPr>
          <w:rFonts w:ascii="Times New Roman" w:cs="Times New Roman" w:eastAsia="Times New Roman" w:hAnsi="Times New Roman"/>
          <w:sz w:val="22"/>
          <w:szCs w:val="22"/>
          <w:color w:val="auto"/>
        </w:rPr>
        <w:t>” means the agreement to be signed between the Company, an Employer and the Trustee for the purposes of Section 102.</w:t>
      </w:r>
    </w:p>
    <w:p>
      <w:pPr>
        <w:spacing w:after="0" w:line="149" w:lineRule="exact"/>
        <w:rPr>
          <w:sz w:val="20"/>
          <w:szCs w:val="20"/>
          <w:color w:val="auto"/>
        </w:rPr>
      </w:pPr>
    </w:p>
    <w:p>
      <w:pPr>
        <w:ind w:left="640" w:right="60" w:hanging="63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2.16</w:t>
        <w:tab/>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any person or entity appointed by the Company to serve as a trustee and approved by the ITA, all in accordance with the provisions of Section 102(a) of the Ordinance, as may be replaced from time to time.</w:t>
      </w:r>
    </w:p>
    <w:p>
      <w:pPr>
        <w:spacing w:after="0" w:line="149" w:lineRule="exact"/>
        <w:rPr>
          <w:sz w:val="20"/>
          <w:szCs w:val="20"/>
          <w:color w:val="auto"/>
        </w:rPr>
      </w:pPr>
    </w:p>
    <w:p>
      <w:pPr>
        <w:ind w:left="640" w:right="40" w:hanging="634"/>
        <w:spacing w:after="0" w:line="287" w:lineRule="auto"/>
        <w:tabs>
          <w:tab w:leader="none" w:pos="620" w:val="left"/>
        </w:tabs>
        <w:rPr>
          <w:sz w:val="20"/>
          <w:szCs w:val="20"/>
          <w:color w:val="auto"/>
        </w:rPr>
      </w:pPr>
      <w:r>
        <w:rPr>
          <w:rFonts w:ascii="Times New Roman" w:cs="Times New Roman" w:eastAsia="Times New Roman" w:hAnsi="Times New Roman"/>
          <w:sz w:val="22"/>
          <w:szCs w:val="22"/>
          <w:color w:val="auto"/>
        </w:rPr>
        <w:t>2.17</w:t>
        <w:tab/>
        <w:t>“</w:t>
      </w:r>
      <w:r>
        <w:rPr>
          <w:rFonts w:ascii="Times New Roman" w:cs="Times New Roman" w:eastAsia="Times New Roman" w:hAnsi="Times New Roman"/>
          <w:sz w:val="22"/>
          <w:szCs w:val="22"/>
          <w:b w:val="1"/>
          <w:bCs w:val="1"/>
          <w:color w:val="auto"/>
        </w:rPr>
        <w:t>Trustee 102 Award</w:t>
      </w:r>
      <w:r>
        <w:rPr>
          <w:rFonts w:ascii="Times New Roman" w:cs="Times New Roman" w:eastAsia="Times New Roman" w:hAnsi="Times New Roman"/>
          <w:sz w:val="22"/>
          <w:szCs w:val="22"/>
          <w:color w:val="auto"/>
        </w:rPr>
        <w:t>” means a 102 Award granted to an Approved Israeli Grantee pursuant to Section 102(b) of the Ordinance and held in trust by a Trustee for the benefit of such Approved Israeli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3-2</w:t>
      </w:r>
    </w:p>
    <w:p>
      <w:pPr>
        <w:sectPr>
          <w:pgSz w:w="11900" w:h="16838" w:orient="portrait"/>
          <w:cols w:equalWidth="0" w:num="1">
            <w:col w:w="11240"/>
          </w:cols>
          <w:pgMar w:left="320" w:top="1417" w:right="339" w:bottom="1440" w:gutter="0" w:footer="0" w:header="0"/>
        </w:sectPr>
      </w:pPr>
    </w:p>
    <w:bookmarkStart w:id="421" w:name="page422"/>
    <w:bookmarkEnd w:id="421"/>
    <w:p>
      <w:pPr>
        <w:ind w:left="620" w:hanging="647"/>
        <w:spacing w:after="0" w:line="275" w:lineRule="auto"/>
        <w:tabs>
          <w:tab w:leader="none" w:pos="600" w:val="left"/>
        </w:tabs>
        <w:rPr>
          <w:sz w:val="20"/>
          <w:szCs w:val="20"/>
          <w:color w:val="auto"/>
        </w:rPr>
      </w:pPr>
      <w:r>
        <w:rPr>
          <w:rFonts w:ascii="Times New Roman" w:cs="Times New Roman" w:eastAsia="Times New Roman" w:hAnsi="Times New Roman"/>
          <w:sz w:val="22"/>
          <w:szCs w:val="22"/>
          <w:color w:val="auto"/>
        </w:rPr>
        <w:t>2.18</w:t>
        <w:tab/>
        <w:t>“</w:t>
      </w:r>
      <w:r>
        <w:rPr>
          <w:rFonts w:ascii="Times New Roman" w:cs="Times New Roman" w:eastAsia="Times New Roman" w:hAnsi="Times New Roman"/>
          <w:sz w:val="22"/>
          <w:szCs w:val="22"/>
          <w:b w:val="1"/>
          <w:bCs w:val="1"/>
          <w:color w:val="auto"/>
        </w:rPr>
        <w:t>Unapproved Israeli Grantee</w:t>
      </w:r>
      <w:r>
        <w:rPr>
          <w:rFonts w:ascii="Times New Roman" w:cs="Times New Roman" w:eastAsia="Times New Roman" w:hAnsi="Times New Roman"/>
          <w:sz w:val="22"/>
          <w:szCs w:val="22"/>
          <w:color w:val="auto"/>
        </w:rPr>
        <w:t>” means an Israeli Grantee who is not an Approved Israeli Grantee, including a consultant, service provider or a Controlling Share Holder of the Company.</w:t>
      </w:r>
    </w:p>
    <w:p>
      <w:pPr>
        <w:spacing w:after="0" w:line="149" w:lineRule="exact"/>
        <w:rPr>
          <w:sz w:val="20"/>
          <w:szCs w:val="20"/>
          <w:color w:val="auto"/>
        </w:rPr>
      </w:pPr>
    </w:p>
    <w:p>
      <w:pPr>
        <w:ind w:left="380" w:hanging="372"/>
        <w:spacing w:after="0"/>
        <w:tabs>
          <w:tab w:leader="none" w:pos="380" w:val="left"/>
        </w:tabs>
        <w:numPr>
          <w:ilvl w:val="0"/>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OF AWARDS</w:t>
      </w:r>
    </w:p>
    <w:p>
      <w:pPr>
        <w:spacing w:after="0" w:line="237"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22"/>
          <w:szCs w:val="22"/>
          <w:color w:val="auto"/>
        </w:rPr>
        <w:t>3.1    The persons eligible for participation in the Plan as Israeli Grantees shall include Approved Israeli Grantees and Unapproved Israeli Grantees, provided, however, that only Approved Israeli Grantees may be granted 102 Awards.</w:t>
      </w:r>
    </w:p>
    <w:p>
      <w:pPr>
        <w:spacing w:after="0" w:line="158" w:lineRule="exact"/>
        <w:rPr>
          <w:sz w:val="20"/>
          <w:szCs w:val="20"/>
          <w:color w:val="auto"/>
        </w:rPr>
      </w:pPr>
    </w:p>
    <w:p>
      <w:pPr>
        <w:jc w:val="both"/>
        <w:ind w:left="580" w:right="40" w:hanging="637"/>
        <w:spacing w:after="0" w:line="271" w:lineRule="auto"/>
        <w:tabs>
          <w:tab w:leader="none" w:pos="560" w:val="left"/>
        </w:tabs>
        <w:rPr>
          <w:sz w:val="20"/>
          <w:szCs w:val="20"/>
          <w:color w:val="auto"/>
        </w:rPr>
      </w:pPr>
      <w:r>
        <w:rPr>
          <w:rFonts w:ascii="Times New Roman" w:cs="Times New Roman" w:eastAsia="Times New Roman" w:hAnsi="Times New Roman"/>
          <w:sz w:val="22"/>
          <w:szCs w:val="22"/>
          <w:color w:val="auto"/>
        </w:rPr>
        <w:t>3.2</w:t>
        <w:tab/>
        <w:t>The Administrator may designate Awards granted to Approved Israeli Grantees pursuant to Section 102 as Trustee 102 Awards or Non-Trustee 102 Awards.</w:t>
      </w:r>
    </w:p>
    <w:p>
      <w:pPr>
        <w:spacing w:after="0" w:line="158" w:lineRule="exact"/>
        <w:rPr>
          <w:sz w:val="20"/>
          <w:szCs w:val="20"/>
          <w:color w:val="auto"/>
        </w:rPr>
      </w:pPr>
    </w:p>
    <w:p>
      <w:pPr>
        <w:jc w:val="both"/>
        <w:ind w:left="640" w:right="20" w:hanging="637"/>
        <w:spacing w:after="0" w:line="263" w:lineRule="auto"/>
        <w:tabs>
          <w:tab w:leader="none" w:pos="6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The grant of Trustee 102 Awards shall be subject to the Israel Sub-Plan and shall not become effective prior to the lapse of 30 days from the date the Plan and the Israel Sub-Plan have been submitted for approval by the ITA and shall be conditioned upon the approval of the Plan and the Israel Sub-Plan by the ITA.</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Trustee 102 Awards may either be classified as Capital Gain Awards or Ordinary Income Awards.</w:t>
      </w:r>
    </w:p>
    <w:p>
      <w:pPr>
        <w:spacing w:after="0" w:line="220" w:lineRule="exact"/>
        <w:rPr>
          <w:sz w:val="20"/>
          <w:szCs w:val="20"/>
          <w:color w:val="auto"/>
        </w:rPr>
      </w:pPr>
    </w:p>
    <w:p>
      <w:pPr>
        <w:jc w:val="both"/>
        <w:ind w:left="580" w:right="20" w:hanging="637"/>
        <w:spacing w:after="0" w:line="250" w:lineRule="auto"/>
        <w:tabs>
          <w:tab w:leader="none" w:pos="560" w:val="left"/>
        </w:tabs>
        <w:rPr>
          <w:sz w:val="20"/>
          <w:szCs w:val="20"/>
          <w:color w:val="auto"/>
        </w:rPr>
      </w:pPr>
      <w:r>
        <w:rPr>
          <w:rFonts w:ascii="Times New Roman" w:cs="Times New Roman" w:eastAsia="Times New Roman" w:hAnsi="Times New Roman"/>
          <w:sz w:val="22"/>
          <w:szCs w:val="22"/>
          <w:color w:val="auto"/>
        </w:rPr>
        <w:t>3.5</w:t>
        <w:tab/>
        <w:t>No Trustee 102 Award may be granted under the Israel Sub-Plan to any Approved Israeli Grantee, unless and until the Company has filed with the ITA its election regarding the type of Trustee 102 Awards, whether Capital Gain Awards or Ordinary Income Awards, that will be granted under the Plan and the Israel Sub-Plan (the “</w:t>
      </w:r>
      <w:r>
        <w:rPr>
          <w:rFonts w:ascii="Times New Roman" w:cs="Times New Roman" w:eastAsia="Times New Roman" w:hAnsi="Times New Roman"/>
          <w:sz w:val="22"/>
          <w:szCs w:val="22"/>
          <w:b w:val="1"/>
          <w:bCs w:val="1"/>
          <w:color w:val="auto"/>
        </w:rPr>
        <w:t>Election</w:t>
      </w:r>
      <w:r>
        <w:rPr>
          <w:rFonts w:ascii="Times New Roman" w:cs="Times New Roman" w:eastAsia="Times New Roman" w:hAnsi="Times New Roman"/>
          <w:sz w:val="22"/>
          <w:szCs w:val="22"/>
          <w:color w:val="auto"/>
        </w:rPr>
        <w:t xml:space="preserve">”). Such Election shall become effective beginning the first date of grant of a Trustee 102 Award under the Israel Sub-Plan and shall remain in effect at least until the end of the year following the year during which the Company first granted Trustee 102 Awards. The Election shall obligate the Company to grant </w:t>
      </w:r>
      <w:r>
        <w:rPr>
          <w:rFonts w:ascii="Times New Roman" w:cs="Times New Roman" w:eastAsia="Times New Roman" w:hAnsi="Times New Roman"/>
          <w:sz w:val="22"/>
          <w:szCs w:val="22"/>
          <w:i w:val="1"/>
          <w:iCs w:val="1"/>
          <w:color w:val="auto"/>
        </w:rPr>
        <w:t>only</w:t>
      </w:r>
      <w:r>
        <w:rPr>
          <w:rFonts w:ascii="Times New Roman" w:cs="Times New Roman" w:eastAsia="Times New Roman" w:hAnsi="Times New Roman"/>
          <w:sz w:val="22"/>
          <w:szCs w:val="22"/>
          <w:color w:val="auto"/>
        </w:rPr>
        <w:t xml:space="preserve"> the type of Trustee 102 Award it has elected, and shall apply to all Israeli Grantees who are granted Trustee 102 Awards during the period indicated herein, all in accordance with the provisions of Section 102(g) of the Ordinance. For the avoidance of doubt, the Election shall not prevent the Company from granting Non-Trustee 102 Awards simultaneously.</w:t>
      </w:r>
    </w:p>
    <w:p>
      <w:pPr>
        <w:spacing w:after="0" w:line="180" w:lineRule="exact"/>
        <w:rPr>
          <w:sz w:val="20"/>
          <w:szCs w:val="20"/>
          <w:color w:val="auto"/>
        </w:rPr>
      </w:pPr>
    </w:p>
    <w:p>
      <w:pPr>
        <w:jc w:val="both"/>
        <w:ind w:left="500" w:right="20" w:hanging="637"/>
        <w:spacing w:after="0" w:line="271" w:lineRule="auto"/>
        <w:tabs>
          <w:tab w:leader="none" w:pos="480" w:val="left"/>
        </w:tabs>
        <w:rPr>
          <w:sz w:val="20"/>
          <w:szCs w:val="20"/>
          <w:color w:val="auto"/>
        </w:rPr>
      </w:pPr>
      <w:r>
        <w:rPr>
          <w:rFonts w:ascii="Times New Roman" w:cs="Times New Roman" w:eastAsia="Times New Roman" w:hAnsi="Times New Roman"/>
          <w:sz w:val="22"/>
          <w:szCs w:val="22"/>
          <w:color w:val="auto"/>
        </w:rPr>
        <w:t>3.6</w:t>
        <w:tab/>
        <w:t>All Trustee 102 Awards must be held in trust by, or subject to the approval of the ITA, under the control or supervision of a Trustee, as described in Section 5 below.</w:t>
      </w:r>
    </w:p>
    <w:p>
      <w:pPr>
        <w:spacing w:after="0" w:line="158" w:lineRule="exact"/>
        <w:rPr>
          <w:sz w:val="20"/>
          <w:szCs w:val="20"/>
          <w:color w:val="auto"/>
        </w:rPr>
      </w:pPr>
    </w:p>
    <w:p>
      <w:pPr>
        <w:jc w:val="both"/>
        <w:ind w:left="520" w:right="40" w:hanging="637"/>
        <w:spacing w:after="0" w:line="271" w:lineRule="auto"/>
        <w:tabs>
          <w:tab w:leader="none" w:pos="500" w:val="left"/>
        </w:tabs>
        <w:rPr>
          <w:sz w:val="20"/>
          <w:szCs w:val="20"/>
          <w:color w:val="auto"/>
        </w:rPr>
      </w:pPr>
      <w:r>
        <w:rPr>
          <w:rFonts w:ascii="Times New Roman" w:cs="Times New Roman" w:eastAsia="Times New Roman" w:hAnsi="Times New Roman"/>
          <w:sz w:val="22"/>
          <w:szCs w:val="22"/>
          <w:color w:val="auto"/>
        </w:rPr>
        <w:t>3.7</w:t>
        <w:tab/>
        <w:t>The designation of Non-Trustee 102 Awards and Trustee 102 Awards shall be subject to the terms and conditions set forth in Section 102.</w:t>
      </w:r>
    </w:p>
    <w:p>
      <w:pPr>
        <w:spacing w:after="0" w:line="171" w:lineRule="exact"/>
        <w:rPr>
          <w:sz w:val="20"/>
          <w:szCs w:val="20"/>
          <w:color w:val="auto"/>
        </w:rPr>
      </w:pPr>
    </w:p>
    <w:p>
      <w:pPr>
        <w:jc w:val="both"/>
        <w:ind w:left="540" w:right="40" w:hanging="637"/>
        <w:spacing w:after="0" w:line="271" w:lineRule="auto"/>
        <w:tabs>
          <w:tab w:leader="none" w:pos="520" w:val="left"/>
        </w:tabs>
        <w:rPr>
          <w:sz w:val="20"/>
          <w:szCs w:val="20"/>
          <w:color w:val="auto"/>
        </w:rPr>
      </w:pPr>
      <w:r>
        <w:rPr>
          <w:rFonts w:ascii="Times New Roman" w:cs="Times New Roman" w:eastAsia="Times New Roman" w:hAnsi="Times New Roman"/>
          <w:sz w:val="22"/>
          <w:szCs w:val="22"/>
          <w:color w:val="auto"/>
        </w:rPr>
        <w:t>3.8</w:t>
        <w:tab/>
        <w:t>Awards granted to Unapproved Israeli Grantees shall be subject to Tax according to the provisions of the Ordinance and shall not be subject to the Trustee arrangement detailed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3-3</w:t>
      </w:r>
    </w:p>
    <w:p>
      <w:pPr>
        <w:sectPr>
          <w:pgSz w:w="11900" w:h="16838" w:orient="portrait"/>
          <w:cols w:equalWidth="0" w:num="1">
            <w:col w:w="11220"/>
          </w:cols>
          <w:pgMar w:left="320" w:top="1417" w:right="359" w:bottom="1440" w:gutter="0" w:footer="0" w:header="0"/>
        </w:sectPr>
      </w:pPr>
    </w:p>
    <w:bookmarkStart w:id="422" w:name="page423"/>
    <w:bookmarkEnd w:id="422"/>
    <w:p>
      <w:pPr>
        <w:jc w:val="both"/>
        <w:ind w:left="580" w:hanging="637"/>
        <w:spacing w:after="0" w:line="271" w:lineRule="auto"/>
        <w:tabs>
          <w:tab w:leader="none" w:pos="560" w:val="left"/>
        </w:tabs>
        <w:rPr>
          <w:sz w:val="20"/>
          <w:szCs w:val="20"/>
          <w:color w:val="auto"/>
        </w:rPr>
      </w:pPr>
      <w:r>
        <w:rPr>
          <w:rFonts w:ascii="Times New Roman" w:cs="Times New Roman" w:eastAsia="Times New Roman" w:hAnsi="Times New Roman"/>
          <w:sz w:val="22"/>
          <w:szCs w:val="22"/>
          <w:color w:val="auto"/>
        </w:rPr>
        <w:t>3.9</w:t>
        <w:tab/>
        <w:t>Dividend Equivalent Rights granted under the Plan and credited in Shares may be treated as separate awards. Dividend Equivalent Rights granted under the Plan and credited in cash will be treated as a cash bonus for Tax purposes.</w:t>
      </w:r>
    </w:p>
    <w:p>
      <w:pPr>
        <w:spacing w:after="0" w:line="158" w:lineRule="exact"/>
        <w:rPr>
          <w:sz w:val="20"/>
          <w:szCs w:val="20"/>
          <w:color w:val="auto"/>
        </w:rPr>
      </w:pPr>
    </w:p>
    <w:p>
      <w:pPr>
        <w:jc w:val="both"/>
        <w:ind w:left="600" w:right="20" w:hanging="637"/>
        <w:spacing w:after="0" w:line="263" w:lineRule="auto"/>
        <w:tabs>
          <w:tab w:leader="none" w:pos="580" w:val="left"/>
        </w:tabs>
        <w:rPr>
          <w:sz w:val="20"/>
          <w:szCs w:val="20"/>
          <w:color w:val="auto"/>
        </w:rPr>
      </w:pPr>
      <w:r>
        <w:rPr>
          <w:rFonts w:ascii="Times New Roman" w:cs="Times New Roman" w:eastAsia="Times New Roman" w:hAnsi="Times New Roman"/>
          <w:sz w:val="22"/>
          <w:szCs w:val="22"/>
          <w:color w:val="auto"/>
        </w:rPr>
        <w:t>3.10</w:t>
        <w:tab/>
        <w:t>Despite the provisions of Section 3 of the Plan, Trustee 102 Awards shall be satisfied with newly issued Shares or treasury Shares provided that such treasury Shares were held by the Company for at least 18 months. Section 34 of the Plan shall not apply to any Trustee 102 Award.</w:t>
      </w:r>
    </w:p>
    <w:p>
      <w:pPr>
        <w:spacing w:after="0" w:line="163" w:lineRule="exact"/>
        <w:rPr>
          <w:sz w:val="20"/>
          <w:szCs w:val="20"/>
          <w:color w:val="auto"/>
        </w:rPr>
      </w:pPr>
    </w:p>
    <w:p>
      <w:pPr>
        <w:ind w:left="440" w:hanging="432"/>
        <w:spacing w:after="0"/>
        <w:tabs>
          <w:tab w:leader="none" w:pos="440" w:val="left"/>
        </w:tabs>
        <w:numPr>
          <w:ilvl w:val="0"/>
          <w:numId w:val="3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102 AWARD GRANT DATE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Each 102 Award will be deemed granted on the date determined by the Administrator, subject to the provisions of the Plan and the Israel Sub-Plan, and subject further to (i) the Israeli Grantee having signed all documents required by the Company or Applicable Laws, and (ii) with respect to any Trustee 102 Award, the Company having provided all applicable documents to the Trustee in accordance with the guidelines published by the ITA, such that if not all applicable documents are provided to the Trustee in accordance with the guidelines, such Award will be considered as granted on the date determined by the Administrator as a Non-Trustee 102 Award.</w:t>
      </w:r>
    </w:p>
    <w:p>
      <w:pPr>
        <w:spacing w:after="0" w:line="177" w:lineRule="exact"/>
        <w:rPr>
          <w:sz w:val="20"/>
          <w:szCs w:val="20"/>
          <w:color w:val="auto"/>
        </w:rPr>
      </w:pPr>
    </w:p>
    <w:p>
      <w:pPr>
        <w:ind w:left="440" w:hanging="432"/>
        <w:spacing w:after="0"/>
        <w:tabs>
          <w:tab w:leader="none" w:pos="440" w:val="left"/>
        </w:tabs>
        <w:numPr>
          <w:ilvl w:val="0"/>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TRUSTEE</w:t>
      </w:r>
    </w:p>
    <w:p>
      <w:pPr>
        <w:spacing w:after="0" w:line="224" w:lineRule="exact"/>
        <w:rPr>
          <w:sz w:val="20"/>
          <w:szCs w:val="20"/>
          <w:color w:val="auto"/>
        </w:rPr>
      </w:pPr>
    </w:p>
    <w:p>
      <w:pPr>
        <w:jc w:val="both"/>
        <w:ind w:left="500" w:hanging="637"/>
        <w:spacing w:after="0" w:line="251" w:lineRule="auto"/>
        <w:tabs>
          <w:tab w:leader="none" w:pos="480" w:val="left"/>
        </w:tabs>
        <w:rPr>
          <w:sz w:val="20"/>
          <w:szCs w:val="20"/>
          <w:color w:val="auto"/>
        </w:rPr>
      </w:pPr>
      <w:r>
        <w:rPr>
          <w:rFonts w:ascii="Times New Roman" w:cs="Times New Roman" w:eastAsia="Times New Roman" w:hAnsi="Times New Roman"/>
          <w:sz w:val="22"/>
          <w:szCs w:val="22"/>
          <w:color w:val="auto"/>
        </w:rPr>
        <w:t>5.1</w:t>
        <w:tab/>
        <w:t>Trustee 102 Awards which shall be granted under the Israel Sub-Plan and/or any Shares allocated or issued upon the grant, vesting or exercise of a Trustee 102 Award and/or other Shares received following any realization of rights under the Plan, shall be allocated or issued to the Trustee or controlled by the Trustee, for the benefit of the Approved Israeli Grantees, in accordance with the provisions of Section 102. In the event the requirements for Trustee 102 Awards are not met, the Trustee 102 Awards may be regarded as Non-Trustee 102 Awards or as Awards which are not subject to Section 102, all in accordance with the provisions of Section 102.</w:t>
      </w:r>
    </w:p>
    <w:p>
      <w:pPr>
        <w:spacing w:after="0" w:line="195" w:lineRule="exact"/>
        <w:rPr>
          <w:sz w:val="20"/>
          <w:szCs w:val="20"/>
          <w:color w:val="auto"/>
        </w:rPr>
      </w:pPr>
    </w:p>
    <w:p>
      <w:pPr>
        <w:jc w:val="both"/>
        <w:ind w:left="500" w:hanging="637"/>
        <w:spacing w:after="0" w:line="251" w:lineRule="auto"/>
        <w:tabs>
          <w:tab w:leader="none" w:pos="480" w:val="left"/>
        </w:tabs>
        <w:rPr>
          <w:sz w:val="20"/>
          <w:szCs w:val="20"/>
          <w:color w:val="auto"/>
        </w:rPr>
      </w:pPr>
      <w:r>
        <w:rPr>
          <w:rFonts w:ascii="Times New Roman" w:cs="Times New Roman" w:eastAsia="Times New Roman" w:hAnsi="Times New Roman"/>
          <w:sz w:val="22"/>
          <w:szCs w:val="22"/>
          <w:color w:val="auto"/>
        </w:rPr>
        <w:t>5.2</w:t>
        <w:tab/>
        <w:t>With respect to any Trustee 102 Award, subject to the provisions of Section 102, an Approved Israeli Grantee shall not sell or release from trust any Shares received upon the grant, vesting or exercise of a Trustee 102 Award and/or any Shares received following any realization of rights, including, without limitation, stock dividends, under the Plan at least until the lapse of the period of time required under Section 102 or any shorter period of time determined by the ITA (the “</w:t>
      </w:r>
      <w:r>
        <w:rPr>
          <w:rFonts w:ascii="Times New Roman" w:cs="Times New Roman" w:eastAsia="Times New Roman" w:hAnsi="Times New Roman"/>
          <w:sz w:val="22"/>
          <w:szCs w:val="22"/>
          <w:b w:val="1"/>
          <w:bCs w:val="1"/>
          <w:color w:val="auto"/>
        </w:rPr>
        <w:t>Holding Period</w:t>
      </w:r>
      <w:r>
        <w:rPr>
          <w:rFonts w:ascii="Times New Roman" w:cs="Times New Roman" w:eastAsia="Times New Roman" w:hAnsi="Times New Roman"/>
          <w:sz w:val="22"/>
          <w:szCs w:val="22"/>
          <w:color w:val="auto"/>
        </w:rPr>
        <w:t>”). Notwithstanding the foregoing, if any such sale or release occurs during the Holding Period, the sanctions under Section 102 shall apply to and shall be borne by such Approved Israeli Grantee.</w:t>
      </w:r>
    </w:p>
    <w:p>
      <w:pPr>
        <w:spacing w:after="0" w:line="181" w:lineRule="exact"/>
        <w:rPr>
          <w:sz w:val="20"/>
          <w:szCs w:val="20"/>
          <w:color w:val="auto"/>
        </w:rPr>
      </w:pPr>
    </w:p>
    <w:p>
      <w:pPr>
        <w:jc w:val="both"/>
        <w:ind w:left="500" w:hanging="637"/>
        <w:spacing w:after="0" w:line="257" w:lineRule="auto"/>
        <w:tabs>
          <w:tab w:leader="none" w:pos="480" w:val="left"/>
        </w:tabs>
        <w:rPr>
          <w:sz w:val="20"/>
          <w:szCs w:val="20"/>
          <w:color w:val="auto"/>
        </w:rPr>
      </w:pPr>
      <w:r>
        <w:rPr>
          <w:rFonts w:ascii="Times New Roman" w:cs="Times New Roman" w:eastAsia="Times New Roman" w:hAnsi="Times New Roman"/>
          <w:sz w:val="22"/>
          <w:szCs w:val="22"/>
          <w:color w:val="auto"/>
        </w:rPr>
        <w:t>5.3</w:t>
        <w:tab/>
        <w:t>Notwithstanding anything to the contrary, the Trustee shall not release or sell any Shares allocated or issued upon the grant, vesting or exercise of a Trustee 102 Award unless the Company, the Employer and the Trustee are satisfied that the full amounts of any Tax due have been paid or will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Appendix 3-4</w:t>
      </w:r>
    </w:p>
    <w:p>
      <w:pPr>
        <w:sectPr>
          <w:pgSz w:w="11900" w:h="16838" w:orient="portrait"/>
          <w:cols w:equalWidth="0" w:num="1">
            <w:col w:w="11200"/>
          </w:cols>
          <w:pgMar w:left="320" w:top="1421" w:right="379" w:bottom="1440" w:gutter="0" w:footer="0" w:header="0"/>
        </w:sectPr>
      </w:pPr>
    </w:p>
    <w:bookmarkStart w:id="423" w:name="page424"/>
    <w:bookmarkEnd w:id="423"/>
    <w:p>
      <w:pPr>
        <w:jc w:val="both"/>
        <w:ind w:left="640" w:right="60" w:hanging="637"/>
        <w:spacing w:after="0" w:line="257" w:lineRule="auto"/>
        <w:tabs>
          <w:tab w:leader="none" w:pos="6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color w:val="auto"/>
        </w:rPr>
        <w:t>Upon receipt of any Trustee 102 Award, the Approved Israeli Grantee will consent to the grant of such Award under Section 102 and undertake to comply with the terms of Section 102 and the trust arrangement between the Company and the Trustee.</w:t>
      </w:r>
    </w:p>
    <w:p>
      <w:pPr>
        <w:spacing w:after="0" w:line="186" w:lineRule="exact"/>
        <w:rPr>
          <w:sz w:val="20"/>
          <w:szCs w:val="20"/>
          <w:color w:val="auto"/>
        </w:rPr>
      </w:pPr>
    </w:p>
    <w:p>
      <w:pPr>
        <w:jc w:val="both"/>
        <w:ind w:left="540" w:hanging="647"/>
        <w:spacing w:after="0" w:line="251" w:lineRule="auto"/>
        <w:tabs>
          <w:tab w:leader="none" w:pos="520" w:val="left"/>
        </w:tabs>
        <w:rPr>
          <w:sz w:val="20"/>
          <w:szCs w:val="20"/>
          <w:color w:val="auto"/>
        </w:rPr>
      </w:pPr>
      <w:r>
        <w:rPr>
          <w:rFonts w:ascii="Times New Roman" w:cs="Times New Roman" w:eastAsia="Times New Roman" w:hAnsi="Times New Roman"/>
          <w:sz w:val="22"/>
          <w:szCs w:val="22"/>
          <w:color w:val="auto"/>
        </w:rPr>
        <w:t>5.5</w:t>
        <w:tab/>
        <w:t>Any Award classified as a Capital Gain Award is meant to comply with the terms and conditions of Section 102 and the requirements of the ITA, therefore it is clarified that at all times the Plan and the Israel Sub-Plan are to be read such that they comply with the requirements of Section 102 and as a consequence, should any provision in the Plan or the Israel Sub-Plan disqualify the Plan, the Israel Sub-Plan and/or the Awards granted thereunder from beneficial Tax treatment pursuant to the provisions of Section 102, such provision shall be considered invalid either permanently or until the ITA provides approval of compliance with Section 102.</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WRITTEN GRANTEE UNDERTAKING</w:t>
      </w:r>
    </w:p>
    <w:p>
      <w:pPr>
        <w:spacing w:after="0" w:line="22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21"/>
          <w:szCs w:val="21"/>
          <w:color w:val="auto"/>
        </w:rPr>
        <w:t>With respect to any Trustee 102 Award, as required by Section 102 and the Rules, by virtue of the receipt of such Award, the Israeli Grantee is deemed to have provided, undertaken and confirmed the following written undertaking (and such undertaking is deemed incorporated into any documents entered into by the Israeli Grantee in connection with the grant of such Award), and which undertaking shall be deemed to apply and relate to all Trustee 102 Awards granted to the Israeli Grantee, whether under the Plan and the Israel Sub-Plan or other plans maintained by the Company, and whether prior to or after the date hereof:</w:t>
      </w:r>
    </w:p>
    <w:p>
      <w:pPr>
        <w:spacing w:after="0" w:line="164" w:lineRule="exact"/>
        <w:rPr>
          <w:sz w:val="20"/>
          <w:szCs w:val="20"/>
          <w:color w:val="auto"/>
        </w:rPr>
      </w:pPr>
    </w:p>
    <w:p>
      <w:pPr>
        <w:jc w:val="both"/>
        <w:ind w:left="600" w:hanging="647"/>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6.1</w:t>
        <w:tab/>
        <w:t>the Israeli Grantee shall comply with all terms and conditions set forth in Section 102 with regard to the Capital Gain Awards or Ordinary Income Awards, as applicable, and the applicable rules and regulations promulgated thereunder, as amended from time to time;</w:t>
      </w:r>
    </w:p>
    <w:p>
      <w:pPr>
        <w:spacing w:after="0" w:line="173" w:lineRule="exact"/>
        <w:rPr>
          <w:sz w:val="20"/>
          <w:szCs w:val="20"/>
          <w:color w:val="auto"/>
        </w:rPr>
      </w:pPr>
    </w:p>
    <w:p>
      <w:pPr>
        <w:jc w:val="both"/>
        <w:ind w:left="580" w:hanging="647"/>
        <w:spacing w:after="0" w:line="250" w:lineRule="auto"/>
        <w:tabs>
          <w:tab w:leader="none" w:pos="560" w:val="left"/>
        </w:tabs>
        <w:rPr>
          <w:sz w:val="20"/>
          <w:szCs w:val="20"/>
          <w:color w:val="auto"/>
        </w:rPr>
      </w:pPr>
      <w:r>
        <w:rPr>
          <w:rFonts w:ascii="Times New Roman" w:cs="Times New Roman" w:eastAsia="Times New Roman" w:hAnsi="Times New Roman"/>
          <w:sz w:val="22"/>
          <w:szCs w:val="22"/>
          <w:color w:val="auto"/>
        </w:rPr>
        <w:t>6.2</w:t>
        <w:tab/>
        <w:t>the Israeli Grantee is familiar with, and understands the provisions of, Section 102 in general, and the Tax arrangement under the Capital Gain Awards or Ordinary Income Awards in particular, and its tax consequences; the Israeli Grantee agrees that the Trustee 102 Awards and any Shares that may be issued upon vesting or (if applicable) exercise of the Trustee 102 Awards (or otherwise in relation to such Awards), will be held by a Trustee appointed pursuant to Section 102 for at least the duration of the Holding Period under the Capital Gain Awards or Ordinary Income Awards, as applicable. The Israeli Grantee understands that any release of such Trustee 102 Awards or Shares from trust, or any sale of the Shares prior to the termination of the Holding Period, will result in taxation at the marginal Tax rate, in addition to deductions of any appropriate income Tax, social security, health Tax contributions or other compulsory payments; and</w:t>
      </w:r>
    </w:p>
    <w:p>
      <w:pPr>
        <w:spacing w:after="0" w:line="187" w:lineRule="exact"/>
        <w:rPr>
          <w:sz w:val="20"/>
          <w:szCs w:val="20"/>
          <w:color w:val="auto"/>
        </w:rPr>
      </w:pPr>
    </w:p>
    <w:p>
      <w:pPr>
        <w:jc w:val="both"/>
        <w:ind w:left="520" w:right="20" w:hanging="647"/>
        <w:spacing w:after="0" w:line="271" w:lineRule="auto"/>
        <w:tabs>
          <w:tab w:leader="none" w:pos="500" w:val="left"/>
        </w:tabs>
        <w:rPr>
          <w:sz w:val="20"/>
          <w:szCs w:val="20"/>
          <w:color w:val="auto"/>
        </w:rPr>
      </w:pPr>
      <w:r>
        <w:rPr>
          <w:rFonts w:ascii="Times New Roman" w:cs="Times New Roman" w:eastAsia="Times New Roman" w:hAnsi="Times New Roman"/>
          <w:sz w:val="22"/>
          <w:szCs w:val="22"/>
          <w:color w:val="auto"/>
        </w:rPr>
        <w:t>6.3</w:t>
        <w:tab/>
        <w:t>the Israeli Grantee agrees to the Trust Agreement entered into by and between the Company, the Employer and the Trustee appointed pursuant to Section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3-5</w:t>
      </w:r>
    </w:p>
    <w:p>
      <w:pPr>
        <w:sectPr>
          <w:pgSz w:w="11900" w:h="16838" w:orient="portrait"/>
          <w:cols w:equalWidth="0" w:num="1">
            <w:col w:w="11240"/>
          </w:cols>
          <w:pgMar w:left="320" w:top="1421" w:right="339" w:bottom="1440" w:gutter="0" w:footer="0" w:header="0"/>
        </w:sectPr>
      </w:pPr>
    </w:p>
    <w:bookmarkStart w:id="424" w:name="page425"/>
    <w:bookmarkEnd w:id="424"/>
    <w:p>
      <w:pPr>
        <w:ind w:left="540" w:hanging="432"/>
        <w:spacing w:after="0"/>
        <w:tabs>
          <w:tab w:leader="none" w:pos="540" w:val="left"/>
        </w:tabs>
        <w:numPr>
          <w:ilvl w:val="0"/>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AWARDS</w:t>
      </w:r>
    </w:p>
    <w:p>
      <w:pPr>
        <w:spacing w:after="0" w:line="224" w:lineRule="exact"/>
        <w:rPr>
          <w:sz w:val="20"/>
          <w:szCs w:val="20"/>
          <w:color w:val="auto"/>
        </w:rPr>
      </w:pPr>
    </w:p>
    <w:p>
      <w:pPr>
        <w:jc w:val="both"/>
        <w:ind w:left="100"/>
        <w:spacing w:after="0" w:line="248" w:lineRule="auto"/>
        <w:rPr>
          <w:sz w:val="20"/>
          <w:szCs w:val="20"/>
          <w:color w:val="auto"/>
        </w:rPr>
      </w:pPr>
      <w:r>
        <w:rPr>
          <w:rFonts w:ascii="Times New Roman" w:cs="Times New Roman" w:eastAsia="Times New Roman" w:hAnsi="Times New Roman"/>
          <w:sz w:val="22"/>
          <w:szCs w:val="22"/>
          <w:color w:val="auto"/>
        </w:rPr>
        <w:t>The terms and conditions upon which an Award shall be granted, issued, vested or exercised under the Israel Sub-Plan, shall be specified in the relevant Israeli Award Agreement for such Award to be executed pursuant to the Plan and to the Israel Sub-Plan. Each Israeli Award Agreement shall provide, inter alia, the number of Shares to which the Award relates, the type of Award granted thereunder (i.e., a Capital Gain Award, Ordinary Income Award, Non-Trustee 102 Award or an Award granted to Unapproved Israeli Grantee), and any applicable vesting provisions and/or exercise price that may be payable. For the avoidance of doubt, it is clarified that there is no obligation for uniformity of treatment of Israeli Grantees and that the terms and conditions of Awards granted to Israeli Grantees need not be the same with respect to each Israeli Grantee (whether or not such Israeli Grantees are similarly situated). The grant, vesting and exercise of Awards granted to Israeli Grantees shall be subject to the terms and conditions and, with respect to exercise, the method, as may be determined by the Administrator (including the provisions of the Plan and the Israel Sub-Plan) and, when applicable, by the Trustee, in accordance with the requirements of Section 102.</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SSIGNABILITY, DESIGNATION AND SALE OF AWARDS</w:t>
      </w:r>
    </w:p>
    <w:p>
      <w:pPr>
        <w:spacing w:after="0" w:line="224" w:lineRule="exact"/>
        <w:rPr>
          <w:sz w:val="20"/>
          <w:szCs w:val="20"/>
          <w:color w:val="auto"/>
        </w:rPr>
      </w:pPr>
    </w:p>
    <w:p>
      <w:pPr>
        <w:jc w:val="both"/>
        <w:ind w:left="700" w:hanging="637"/>
        <w:spacing w:after="0" w:line="253" w:lineRule="auto"/>
        <w:tabs>
          <w:tab w:leader="none" w:pos="680" w:val="left"/>
        </w:tabs>
        <w:rPr>
          <w:sz w:val="20"/>
          <w:szCs w:val="20"/>
          <w:color w:val="auto"/>
        </w:rPr>
      </w:pPr>
      <w:r>
        <w:rPr>
          <w:rFonts w:ascii="Times New Roman" w:cs="Times New Roman" w:eastAsia="Times New Roman" w:hAnsi="Times New Roman"/>
          <w:sz w:val="22"/>
          <w:szCs w:val="22"/>
          <w:color w:val="auto"/>
        </w:rPr>
        <w:t>8.1</w:t>
        <w:tab/>
        <w:t>Notwithstanding any provision of the Plan, no Award subject to the Israel Sub-Plan or any right with respect thereto, whether fully paid or not, shall be assignable, transferable or given as collateral, and no right with respect to any such Award shall be given to any third party whatsoever, and during the lifetime of the Israeli Grantee, each and all of such Israeli Grantee’s rights with respect to an Award shall belong only to the Israeli Grantee. Any such action made, directly or indirectly, for an immediate or future validation, shall be void.</w:t>
      </w:r>
    </w:p>
    <w:p>
      <w:pPr>
        <w:spacing w:after="0" w:line="179" w:lineRule="exact"/>
        <w:rPr>
          <w:sz w:val="20"/>
          <w:szCs w:val="20"/>
          <w:color w:val="auto"/>
        </w:rPr>
      </w:pPr>
    </w:p>
    <w:p>
      <w:pPr>
        <w:jc w:val="both"/>
        <w:ind w:left="600" w:right="20" w:hanging="647"/>
        <w:spacing w:after="0" w:line="284" w:lineRule="auto"/>
        <w:tabs>
          <w:tab w:leader="none" w:pos="580" w:val="left"/>
        </w:tabs>
        <w:rPr>
          <w:sz w:val="20"/>
          <w:szCs w:val="20"/>
          <w:color w:val="auto"/>
        </w:rPr>
      </w:pPr>
      <w:r>
        <w:rPr>
          <w:rFonts w:ascii="Times New Roman" w:cs="Times New Roman" w:eastAsia="Times New Roman" w:hAnsi="Times New Roman"/>
          <w:sz w:val="22"/>
          <w:szCs w:val="22"/>
          <w:color w:val="auto"/>
        </w:rPr>
        <w:t>8.2</w:t>
        <w:tab/>
        <w:t>As long as Awards and/or Shares issued or purchased hereunder are held by the Trustee on behalf of the Israeli Grantee, all rights of the Israeli Grantee over the Award and Shares cannot be transferred, assigned, pledged or mortgaged.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NTEGRATION OF SECTION 102 AND TAX ASSESSING OFFICER’S APPROVAL</w:t>
      </w:r>
    </w:p>
    <w:p>
      <w:pPr>
        <w:spacing w:after="0" w:line="22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9.1.</w:t>
        <w:tab/>
        <w:t>With regard to Trustee 102 Awards, the provisions of the Plan, the Israel Sub-Plan and the Israeli Award Agreements shall be subject to the provisions of Section 102 and any approval issued by the ITA and the said provisions shall be deemed an integral part of the Plan, the Israel Sub-Plan and the Israeli Award Agreements.</w:t>
      </w:r>
    </w:p>
    <w:p>
      <w:pPr>
        <w:spacing w:after="0" w:line="186" w:lineRule="exact"/>
        <w:rPr>
          <w:sz w:val="20"/>
          <w:szCs w:val="20"/>
          <w:color w:val="auto"/>
        </w:rPr>
      </w:pPr>
    </w:p>
    <w:p>
      <w:pPr>
        <w:jc w:val="both"/>
        <w:ind w:left="720" w:right="20" w:hanging="637"/>
        <w:spacing w:after="0" w:line="248" w:lineRule="auto"/>
        <w:tabs>
          <w:tab w:leader="none" w:pos="700" w:val="left"/>
        </w:tabs>
        <w:rPr>
          <w:sz w:val="20"/>
          <w:szCs w:val="20"/>
          <w:color w:val="auto"/>
        </w:rPr>
      </w:pPr>
      <w:r>
        <w:rPr>
          <w:rFonts w:ascii="Times New Roman" w:cs="Times New Roman" w:eastAsia="Times New Roman" w:hAnsi="Times New Roman"/>
          <w:sz w:val="22"/>
          <w:szCs w:val="22"/>
          <w:color w:val="auto"/>
        </w:rPr>
        <w:t>9.2.</w:t>
        <w:tab/>
        <w:t>Any provision of Section 102 and/or said approval issued by the ITA, which must be complied with in order to receive and/or to maintain any Tax treatment with respect to an Award pursuant to Section 102, which is not expressly specified in the Plan, the Israel Sub-Plan or the Israeli Award Agreements, shall be considered binding upon the Company, any Employer and the Israeli Grantees. Furthermore, if any provision of the Plan or Israel Sub-Plan disqualifies Awards that are intended to qualify as 102 Awards from the beneficial Tax treatment pursuant to Section 102, such provision shall not apply to the 102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Appendix 3-6</w:t>
      </w:r>
    </w:p>
    <w:p>
      <w:pPr>
        <w:sectPr>
          <w:pgSz w:w="11900" w:h="16838" w:orient="portrait"/>
          <w:cols w:equalWidth="0" w:num="1">
            <w:col w:w="11300"/>
          </w:cols>
          <w:pgMar w:left="220" w:top="1417" w:right="379" w:bottom="1440" w:gutter="0" w:footer="0" w:header="0"/>
        </w:sectPr>
      </w:pPr>
    </w:p>
    <w:bookmarkStart w:id="425" w:name="page426"/>
    <w:bookmarkEnd w:id="425"/>
    <w:p>
      <w:pPr>
        <w:jc w:val="both"/>
        <w:ind w:left="620" w:right="20" w:hanging="634"/>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9.3</w:t>
        <w:tab/>
        <w:t>The exercise of options which are Trustee 102 Awards by means of “net settlement” in accordance with Section 6(e)(iv) of the Plan shall be subject to the receipt of a Tax ruling from the ITA and executed in accordance with the terms of such ruling.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 CONSEQUENCES; DISCLAIMER</w:t>
      </w:r>
    </w:p>
    <w:p>
      <w:pPr>
        <w:spacing w:after="0" w:line="224" w:lineRule="exact"/>
        <w:rPr>
          <w:sz w:val="20"/>
          <w:szCs w:val="20"/>
          <w:color w:val="auto"/>
        </w:rPr>
      </w:pPr>
    </w:p>
    <w:p>
      <w:pPr>
        <w:jc w:val="both"/>
        <w:ind w:left="720" w:hanging="647"/>
        <w:spacing w:after="0" w:line="262" w:lineRule="auto"/>
        <w:tabs>
          <w:tab w:leader="none" w:pos="70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Any tax consequences arising from the grant, purchase, exercise, vesting or sale of any Award issued hereunder, from the payment for or sale of Shares covered thereby or from any other event or act (of the Company, its Subsidiaries (including the Employer), the Trustee and/or the Israeli Grantee), hereunder, shall be borne solely by the Israeli Grantee. The Company, its Subsidiaries (including the Employer) and/or the Trustee shall withhold Tax according to the requirements of Applicable Laws, rules, and regulations, including withholding taxes at source. Furthermore, the Israeli Grantee agrees to indemnify the Company, its Subsidiaries (including the Employer) and/or the Trustee and hold them harmless against and from any and all liability for any such Tax or interest or penalty thereon, including without limitation, liabilities relating to the necessity to withhold, or to have withheld, any such Tax from any payment made to the Israeli Grantee.</w:t>
      </w:r>
    </w:p>
    <w:p>
      <w:pPr>
        <w:spacing w:after="0" w:line="173" w:lineRule="exact"/>
        <w:rPr>
          <w:sz w:val="20"/>
          <w:szCs w:val="20"/>
          <w:color w:val="auto"/>
        </w:rPr>
      </w:pPr>
    </w:p>
    <w:p>
      <w:pPr>
        <w:jc w:val="both"/>
        <w:ind w:left="760" w:right="20" w:hanging="647"/>
        <w:spacing w:after="0" w:line="271" w:lineRule="auto"/>
        <w:tabs>
          <w:tab w:leader="none" w:pos="740" w:val="left"/>
        </w:tabs>
        <w:rPr>
          <w:sz w:val="20"/>
          <w:szCs w:val="20"/>
          <w:color w:val="auto"/>
        </w:rPr>
      </w:pPr>
      <w:r>
        <w:rPr>
          <w:rFonts w:ascii="Times New Roman" w:cs="Times New Roman" w:eastAsia="Times New Roman" w:hAnsi="Times New Roman"/>
          <w:sz w:val="22"/>
          <w:szCs w:val="22"/>
          <w:color w:val="auto"/>
        </w:rPr>
        <w:t>10.2</w:t>
        <w:tab/>
        <w:t>The Company and/or, when applicable, the Trustee shall not be required to release any Award or Shares to an Israeli Grantee until all required Tax payments have been fully made.</w:t>
      </w:r>
    </w:p>
    <w:p>
      <w:pPr>
        <w:spacing w:after="0" w:line="171" w:lineRule="exact"/>
        <w:rPr>
          <w:sz w:val="20"/>
          <w:szCs w:val="20"/>
          <w:color w:val="auto"/>
        </w:rPr>
      </w:pPr>
    </w:p>
    <w:p>
      <w:pPr>
        <w:jc w:val="both"/>
        <w:ind w:left="760" w:right="20" w:hanging="647"/>
        <w:spacing w:after="0" w:line="271" w:lineRule="auto"/>
        <w:tabs>
          <w:tab w:leader="none" w:pos="740" w:val="left"/>
        </w:tabs>
        <w:rPr>
          <w:sz w:val="20"/>
          <w:szCs w:val="20"/>
          <w:color w:val="auto"/>
        </w:rPr>
      </w:pPr>
      <w:r>
        <w:rPr>
          <w:rFonts w:ascii="Times New Roman" w:cs="Times New Roman" w:eastAsia="Times New Roman" w:hAnsi="Times New Roman"/>
          <w:sz w:val="22"/>
          <w:szCs w:val="22"/>
          <w:color w:val="auto"/>
        </w:rPr>
        <w:t>10.3</w:t>
        <w:tab/>
        <w:t>Awards that do not comply with the requirements of Section 102 shall be subject to tax under Section 3(i) or 2 of the Ordinance.</w:t>
      </w:r>
    </w:p>
    <w:p>
      <w:pPr>
        <w:spacing w:after="0" w:line="158" w:lineRule="exact"/>
        <w:rPr>
          <w:sz w:val="20"/>
          <w:szCs w:val="20"/>
          <w:color w:val="auto"/>
        </w:rPr>
      </w:pPr>
    </w:p>
    <w:p>
      <w:pPr>
        <w:jc w:val="both"/>
        <w:ind w:left="720" w:hanging="647"/>
        <w:spacing w:after="0" w:line="272" w:lineRule="auto"/>
        <w:tabs>
          <w:tab w:leader="none" w:pos="7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With respect to Non-Trustee 102 Awards, if the Israeli Grantee ceases to be employed by the Company, or any Subsidiary (including the Employer), or otherwise if so requested by the Company and/or its Subsidiaries (including the Employer), the Israeli Grantee shall extend to the Company and/or its Subsidiaries (including the Employer) a security or guarantee for the payment of Tax due at the time of the sale of Shares, in accordance with the provisions of Section 102.</w:t>
      </w:r>
    </w:p>
    <w:p>
      <w:pPr>
        <w:spacing w:after="0" w:line="161" w:lineRule="exact"/>
        <w:rPr>
          <w:sz w:val="20"/>
          <w:szCs w:val="20"/>
          <w:color w:val="auto"/>
        </w:rPr>
      </w:pPr>
    </w:p>
    <w:p>
      <w:pPr>
        <w:jc w:val="both"/>
        <w:ind w:left="720" w:right="20" w:hanging="647"/>
        <w:spacing w:after="0" w:line="247" w:lineRule="auto"/>
        <w:tabs>
          <w:tab w:leader="none" w:pos="70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NOTWITHSTANDING SECTION 5.5 ABOVE, IT IS CLARIFIED THAT THE COMPANY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ITS SUBSIDIARIES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SUBSIDIARIES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Appendix 3-7</w:t>
      </w:r>
    </w:p>
    <w:p>
      <w:pPr>
        <w:sectPr>
          <w:pgSz w:w="11900" w:h="16838" w:orient="portrait"/>
          <w:cols w:equalWidth="0" w:num="1">
            <w:col w:w="11300"/>
          </w:cols>
          <w:pgMar w:left="220" w:top="1421" w:right="379" w:bottom="1440" w:gutter="0" w:footer="0" w:header="0"/>
        </w:sectPr>
      </w:pPr>
    </w:p>
    <w:bookmarkStart w:id="426" w:name="page427"/>
    <w:bookmarkEnd w:id="426"/>
    <w:p>
      <w:pPr>
        <w:jc w:val="both"/>
        <w:ind w:left="760" w:right="60"/>
        <w:spacing w:after="0" w:line="247" w:lineRule="auto"/>
        <w:rPr>
          <w:sz w:val="20"/>
          <w:szCs w:val="20"/>
          <w:color w:val="auto"/>
        </w:rPr>
      </w:pPr>
      <w:r>
        <w:rPr>
          <w:rFonts w:ascii="Times New Roman" w:cs="Times New Roman" w:eastAsia="Times New Roman" w:hAnsi="Times New Roman"/>
          <w:sz w:val="22"/>
          <w:szCs w:val="22"/>
          <w:color w:val="auto"/>
        </w:rPr>
        <w:t>INDICATED IN ANY CORPORATE RESOLUTION OR AWARD AGREEMENT, WHICH SHALL AT ALL TIMES BE SUBJECT TO THE REQUIREMENTS OF APPLICABLE LAWS. THE COMPANY AND ITS SUBSIDIARIES (INCLUDING THE EMPLOYER) DO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AND ANY OF ITS SUBSIDIARIES (INCLUDING THE EMPLOYER) THAT ANY PARTICULAR TAX TREATMENT ON THE DATE OF GRANT WILL CONTINUE TO EXIST OR THAT THE AWARD WILL QUALIFY AT THE TIME OF VESTING, EXERCISE OR DISPOSITION THEREOF WITH ANY PARTICULAR TAX TREATMENT. THE COMPANY AND ITS SUBSIDIARIES (INCLUDING THE EMPLOYER) SHALL NOT HAVE ANY LIABILITY OR OBLIGATION OF ANY NATURE IN THE EVENT THAT AN AWARD DOES NOT QUALIFY FOR ANY PARTICULAR TAX TREATMENT, REGARDLESS OF WHETHER THE COMPANY OR ITS SUBSIDIARIES (INCLUDING THE EMPLOYER) COULD HAVE TAKEN ANY ACTION TO CAUSE SUCH QUALIFICATION TO BE MET AND SUCH QUALIFICATION REMAINS AT ALL TIMES AND UNDER ALL CIRCUMSTANCES AT THE RISK OF THE ISRAELI GRANTEE. THE COMPANY AND ITS SUBSIDIARIES (INCLUDING THE EMPLOYER) DO NOT UNDERTAKE OR ASSUME ANY LIABILITY TO CONTEST A DETERMINATION OR INTERPRETATION (WHETHER WRITTEN OR UNWRITTEN) OF ANY TAX AUTHORITY, INCLUDING IN RESPECT OF THE QUALIFICATION UNDER ANY PARTICULAR TAX REGIME OR RULES APPLYING TO PARTICULAR TAX TREATMENT. AWARDS THAT DO NOT QUALIFY UNDER ANY PARTICULAR TAX TREATMENT COULD RESULT IN ADVERSE TAX CONSEQUENCES TO THE ISRAELI GRANTEE.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TIME BENEFIT</w:t>
      </w:r>
    </w:p>
    <w:p>
      <w:pPr>
        <w:spacing w:after="0" w:line="224"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2"/>
          <w:szCs w:val="22"/>
          <w:color w:val="auto"/>
        </w:rPr>
        <w:t>The Awards granted hereunder are extraordinary, one-time Awards granted to the Israeli Grantees, and are not and shall not be deemed a salary component for any purpose whatsoever, including but not limited to, in connection with calculating severance compensation under Applicable Laws, nor shall receipt of an Award entitle an Israeli Grantee to any future Awards.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 OF PLAN AND ISRAEL SUB-PLAN</w:t>
      </w:r>
    </w:p>
    <w:p>
      <w:pPr>
        <w:spacing w:after="0" w:line="224" w:lineRule="exact"/>
        <w:rPr>
          <w:sz w:val="20"/>
          <w:szCs w:val="20"/>
          <w:color w:val="auto"/>
        </w:rPr>
      </w:pPr>
    </w:p>
    <w:p>
      <w:pPr>
        <w:jc w:val="both"/>
        <w:ind w:left="100"/>
        <w:spacing w:after="0" w:line="252" w:lineRule="auto"/>
        <w:rPr>
          <w:sz w:val="20"/>
          <w:szCs w:val="20"/>
          <w:color w:val="auto"/>
        </w:rPr>
      </w:pPr>
      <w:r>
        <w:rPr>
          <w:rFonts w:ascii="Times New Roman" w:cs="Times New Roman" w:eastAsia="Times New Roman" w:hAnsi="Times New Roman"/>
          <w:sz w:val="22"/>
          <w:szCs w:val="22"/>
          <w:color w:val="auto"/>
        </w:rPr>
        <w:t>Notwithstanding anything to the contrary in the Plan and in addition thereto, the Company shall obtain all approvals for the adoption of the Israel Sub-Plan or for any amendment to the Israel Sub-Plan as are necessary to comply with any Applicable Laws, applicable to Awards granted to Israeli Grantees under the Israel Sub-Plan or with the Company’s incorporation documents. Any amendment of the Israel Sub-Plan shall be in accordance with Section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Appendix 3-8</w:t>
      </w:r>
    </w:p>
    <w:p>
      <w:pPr>
        <w:sectPr>
          <w:pgSz w:w="11900" w:h="16838" w:orient="portrait"/>
          <w:cols w:equalWidth="0" w:num="1">
            <w:col w:w="11340"/>
          </w:cols>
          <w:pgMar w:left="220" w:top="1421" w:right="3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jc w:val="both"/>
        <w:ind w:left="100"/>
        <w:spacing w:after="0" w:line="263" w:lineRule="auto"/>
        <w:rPr>
          <w:sz w:val="20"/>
          <w:szCs w:val="20"/>
          <w:color w:val="auto"/>
        </w:rPr>
      </w:pPr>
      <w:r>
        <w:rPr>
          <w:rFonts w:ascii="Times New Roman" w:cs="Times New Roman" w:eastAsia="Times New Roman" w:hAnsi="Times New Roman"/>
          <w:sz w:val="22"/>
          <w:szCs w:val="22"/>
          <w:color w:val="auto"/>
        </w:rPr>
        <w:t>Solely for the purpose of determining the Israeli tax treatment of Awards granted pursuant to the Israel Sub-Plan, the Israel Sub-Plan shall be governed by, construed and enforced in accordance with the laws of the State of Israel, without reference to conflicts of law principles.</w:t>
      </w:r>
    </w:p>
    <w:p>
      <w:pPr>
        <w:spacing w:after="0" w:line="1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Appendix 3-9</w:t>
      </w:r>
    </w:p>
    <w:p>
      <w:pPr>
        <w:sectPr>
          <w:pgSz w:w="11900" w:h="16838" w:orient="portrait"/>
          <w:cols w:equalWidth="0" w:num="1">
            <w:col w:w="11340"/>
          </w:cols>
          <w:pgMar w:left="220" w:top="1417" w:right="33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727710</wp:posOffset>
            </wp:positionV>
            <wp:extent cx="71151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753110</wp:posOffset>
            </wp:positionV>
            <wp:extent cx="71151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DATED 19 SEPTEMBER 2023</w:t>
      </w:r>
    </w:p>
    <w:p>
      <w:pPr>
        <w:spacing w:after="0" w:line="200" w:lineRule="exact"/>
        <w:rPr>
          <w:sz w:val="20"/>
          <w:szCs w:val="20"/>
          <w:color w:val="auto"/>
        </w:rPr>
      </w:pP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SOFTBANK GROUP CORP.</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ARM HOLDINGS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1156970</wp:posOffset>
            </wp:positionV>
            <wp:extent cx="71151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color w:val="auto"/>
        </w:rPr>
        <w:t>SHAREHOLDER GOVERNANCE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325120</wp:posOffset>
            </wp:positionV>
            <wp:extent cx="71151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3625850</wp:posOffset>
            </wp:positionV>
            <wp:extent cx="71151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3651250</wp:posOffset>
            </wp:positionV>
            <wp:extent cx="71151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62"/>
        </w:trPr>
        <w:tc>
          <w:tcPr>
            <w:tcW w:w="58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6200" w:type="dxa"/>
            <w:vAlign w:val="bottom"/>
          </w:tcPr>
          <w:p>
            <w:pPr>
              <w:jc w:val="right"/>
              <w:ind w:right="5101"/>
              <w:spacing w:after="0"/>
              <w:rPr>
                <w:sz w:val="20"/>
                <w:szCs w:val="20"/>
                <w:color w:val="auto"/>
              </w:rPr>
            </w:pPr>
            <w:r>
              <w:rPr>
                <w:rFonts w:ascii="Times New Roman" w:cs="Times New Roman" w:eastAsia="Times New Roman" w:hAnsi="Times New Roman"/>
                <w:sz w:val="20"/>
                <w:szCs w:val="20"/>
                <w:b w:val="1"/>
                <w:bCs w:val="1"/>
                <w:color w:val="auto"/>
              </w:rPr>
              <w:t>Contents</w:t>
            </w:r>
          </w:p>
        </w:tc>
      </w:tr>
      <w:tr>
        <w:trPr>
          <w:trHeight w:val="405"/>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446"/>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Definitions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Interpretation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Board composition</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Committee composition</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Information rights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Matters requiring SBG consent and consultation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Pre-emption rights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Related Party Transactions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Registration rights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Subsequent listing</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Remedies and waivers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Variation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Termination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14.</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Assignment and transfer</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Third party rights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17.</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Announcements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18.</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Confidentiality</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19.</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Costs and expenses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20.</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Counterparts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Further assurances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Invalidity</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 partnership</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Conflict between agreements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Governing law and jurisdiction</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44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Agent for Service</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1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 Registration Rights</w:t>
            </w:r>
          </w:p>
        </w:tc>
        <w:tc>
          <w:tcPr>
            <w:tcW w:w="6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180"/>
          </w:cols>
          <w:pgMar w:left="340" w:top="1409" w:right="37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IS MADE </w:t>
      </w:r>
      <w:r>
        <w:rPr>
          <w:rFonts w:ascii="Times New Roman" w:cs="Times New Roman" w:eastAsia="Times New Roman" w:hAnsi="Times New Roman"/>
          <w:sz w:val="20"/>
          <w:szCs w:val="20"/>
          <w:color w:val="auto"/>
        </w:rPr>
        <w:t>on 19 September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PARTIES</w:t>
      </w:r>
    </w:p>
    <w:p>
      <w:pPr>
        <w:spacing w:after="0" w:line="216" w:lineRule="exact"/>
        <w:rPr>
          <w:sz w:val="20"/>
          <w:szCs w:val="20"/>
          <w:color w:val="auto"/>
        </w:rPr>
      </w:pPr>
    </w:p>
    <w:p>
      <w:pPr>
        <w:ind w:left="660" w:hanging="652"/>
        <w:spacing w:after="0" w:line="287" w:lineRule="auto"/>
        <w:tabs>
          <w:tab w:leader="none" w:pos="64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SOFTBANK GROUP CORP.</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kabushiki kaisha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domiciled in Japan whose registered office is 1-7-1 Kaigan, Minato-ku, Tokyo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105-7537, Japan (“</w:t>
      </w:r>
      <w:r>
        <w:rPr>
          <w:rFonts w:ascii="Times New Roman" w:cs="Times New Roman" w:eastAsia="Times New Roman" w:hAnsi="Times New Roman"/>
          <w:sz w:val="20"/>
          <w:szCs w:val="20"/>
          <w:b w:val="1"/>
          <w:bCs w:val="1"/>
          <w:color w:val="auto"/>
        </w:rPr>
        <w:t>SBG</w:t>
      </w:r>
      <w:r>
        <w:rPr>
          <w:rFonts w:ascii="Times New Roman" w:cs="Times New Roman" w:eastAsia="Times New Roman" w:hAnsi="Times New Roman"/>
          <w:sz w:val="20"/>
          <w:szCs w:val="20"/>
          <w:color w:val="auto"/>
        </w:rPr>
        <w:t>”); and</w:t>
      </w:r>
    </w:p>
    <w:p>
      <w:pPr>
        <w:spacing w:after="0" w:line="138" w:lineRule="exact"/>
        <w:rPr>
          <w:rFonts w:ascii="Times New Roman" w:cs="Times New Roman" w:eastAsia="Times New Roman" w:hAnsi="Times New Roman"/>
          <w:sz w:val="20"/>
          <w:szCs w:val="20"/>
          <w:color w:val="auto"/>
        </w:rPr>
      </w:pPr>
    </w:p>
    <w:p>
      <w:pPr>
        <w:ind w:left="660" w:right="20" w:hanging="652"/>
        <w:spacing w:after="0" w:line="287" w:lineRule="auto"/>
        <w:tabs>
          <w:tab w:leader="none" w:pos="648"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ARM HOLDINGS PLC</w:t>
      </w:r>
      <w:r>
        <w:rPr>
          <w:rFonts w:ascii="Times New Roman" w:cs="Times New Roman" w:eastAsia="Times New Roman" w:hAnsi="Times New Roman"/>
          <w:sz w:val="20"/>
          <w:szCs w:val="20"/>
          <w:color w:val="auto"/>
        </w:rPr>
        <w:t>, a public limited company incorporated under the laws of England and Wales with company number: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11299879 whose registered office is at 110 Fulbourn Road, Cambridge CB1 9NJ, United Kingdom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20" w:lineRule="exact"/>
        <w:rPr>
          <w:sz w:val="20"/>
          <w:szCs w:val="20"/>
          <w:color w:val="auto"/>
        </w:rPr>
      </w:pPr>
    </w:p>
    <w:p>
      <w:pPr>
        <w:jc w:val="both"/>
        <w:ind w:left="660" w:hanging="652"/>
        <w:spacing w:after="0" w:line="257" w:lineRule="auto"/>
        <w:tabs>
          <w:tab w:leader="none" w:pos="651"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was incorporated as a private limited company on 9 April 2018 and, following a corporate reorganisation of the Arm group of companies which was put into effect on 1 September 2023 in advance of, and to facilitate, the Company’s proposed initial public offering (the “</w:t>
      </w:r>
      <w:r>
        <w:rPr>
          <w:rFonts w:ascii="Times New Roman" w:cs="Times New Roman" w:eastAsia="Times New Roman" w:hAnsi="Times New Roman"/>
          <w:sz w:val="20"/>
          <w:szCs w:val="20"/>
          <w:b w:val="1"/>
          <w:bCs w:val="1"/>
          <w:color w:val="auto"/>
        </w:rPr>
        <w:t>Initial Public Offering</w:t>
      </w:r>
      <w:r>
        <w:rPr>
          <w:rFonts w:ascii="Times New Roman" w:cs="Times New Roman" w:eastAsia="Times New Roman" w:hAnsi="Times New Roman"/>
          <w:sz w:val="20"/>
          <w:szCs w:val="20"/>
          <w:color w:val="auto"/>
        </w:rPr>
        <w:t>”) of American Depositary Shares (the “</w:t>
      </w:r>
      <w:r>
        <w:rPr>
          <w:rFonts w:ascii="Times New Roman" w:cs="Times New Roman" w:eastAsia="Times New Roman" w:hAnsi="Times New Roman"/>
          <w:sz w:val="20"/>
          <w:szCs w:val="20"/>
          <w:b w:val="1"/>
          <w:bCs w:val="1"/>
          <w:color w:val="auto"/>
        </w:rPr>
        <w:t>ADSs</w:t>
      </w:r>
      <w:r>
        <w:rPr>
          <w:rFonts w:ascii="Times New Roman" w:cs="Times New Roman" w:eastAsia="Times New Roman" w:hAnsi="Times New Roman"/>
          <w:sz w:val="20"/>
          <w:szCs w:val="20"/>
          <w:color w:val="auto"/>
        </w:rPr>
        <w:t>”), each representing one Ordinary Share of the Company and the listing of the ADSs on the Nasdaq Global Select Market, re-registered as a public limited company under the laws of England and Wales.</w:t>
      </w:r>
    </w:p>
    <w:p>
      <w:pPr>
        <w:spacing w:after="0" w:line="172" w:lineRule="exact"/>
        <w:rPr>
          <w:rFonts w:ascii="Times New Roman" w:cs="Times New Roman" w:eastAsia="Times New Roman" w:hAnsi="Times New Roman"/>
          <w:sz w:val="20"/>
          <w:szCs w:val="20"/>
          <w:color w:val="auto"/>
        </w:rPr>
      </w:pPr>
    </w:p>
    <w:p>
      <w:pPr>
        <w:ind w:left="660" w:hanging="652"/>
        <w:spacing w:after="0" w:line="283" w:lineRule="auto"/>
        <w:tabs>
          <w:tab w:leader="none" w:pos="65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listing of the ADSs on the Nasdaq Global Select Market on the date hereof, SBG is expected to own directly or indirectly approximately 89.9 per cent. of the issued Ordinary Shares.</w:t>
      </w:r>
    </w:p>
    <w:p>
      <w:pPr>
        <w:spacing w:after="0" w:line="142" w:lineRule="exact"/>
        <w:rPr>
          <w:rFonts w:ascii="Times New Roman" w:cs="Times New Roman" w:eastAsia="Times New Roman" w:hAnsi="Times New Roman"/>
          <w:sz w:val="20"/>
          <w:szCs w:val="20"/>
          <w:color w:val="auto"/>
        </w:rPr>
      </w:pPr>
    </w:p>
    <w:p>
      <w:pPr>
        <w:jc w:val="both"/>
        <w:ind w:left="660" w:hanging="652"/>
        <w:spacing w:after="0" w:line="270" w:lineRule="auto"/>
        <w:tabs>
          <w:tab w:leader="none" w:pos="65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therefore agreed to enter into this Shareholder Governance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to manage the continuing relationship between the Company and SBG, as a controlling shareholder of the Company, on and from completion of the listing of the ADSs on the Nasdaq Global Select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29" w:lineRule="exact"/>
        <w:rPr>
          <w:sz w:val="20"/>
          <w:szCs w:val="20"/>
          <w:color w:val="auto"/>
        </w:rPr>
      </w:pPr>
    </w:p>
    <w:p>
      <w:pPr>
        <w:ind w:left="660" w:hanging="652"/>
        <w:spacing w:after="0"/>
        <w:tabs>
          <w:tab w:leader="none" w:pos="660"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9" w:lineRule="exact"/>
        <w:rPr>
          <w:rFonts w:ascii="Times New Roman" w:cs="Times New Roman" w:eastAsia="Times New Roman" w:hAnsi="Times New Roman"/>
          <w:sz w:val="20"/>
          <w:szCs w:val="20"/>
          <w:b w:val="1"/>
          <w:bCs w:val="1"/>
          <w:color w:val="auto"/>
        </w:rPr>
      </w:pPr>
    </w:p>
    <w:p>
      <w:pPr>
        <w:ind w:left="6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this Agreement, except where a different interpretation is necessary in the context, the words and expressions set out below shall have the following meanings:</w:t>
      </w:r>
    </w:p>
    <w:p>
      <w:pPr>
        <w:spacing w:after="0" w:line="142"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means the Companies Act 2006;</w:t>
      </w:r>
    </w:p>
    <w:p>
      <w:pPr>
        <w:spacing w:after="0" w:line="229" w:lineRule="exact"/>
        <w:rPr>
          <w:rFonts w:ascii="Times New Roman" w:cs="Times New Roman" w:eastAsia="Times New Roman" w:hAnsi="Times New Roman"/>
          <w:sz w:val="20"/>
          <w:szCs w:val="20"/>
          <w:b w:val="1"/>
          <w:bCs w:val="1"/>
          <w:color w:val="auto"/>
        </w:rPr>
      </w:pPr>
    </w:p>
    <w:p>
      <w:pPr>
        <w:jc w:val="both"/>
        <w:ind w:left="66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in relation to a company, any subsidiary or holding company from time to time of that company, and any subsidiary from time to time of a holding company of that company, provided that “Affiliates” of SBG shall include investment funds managed by SBG’s Affiliates. For the purposes of this definition, a reference to a "</w:t>
      </w:r>
      <w:r>
        <w:rPr>
          <w:rFonts w:ascii="Times New Roman" w:cs="Times New Roman" w:eastAsia="Times New Roman" w:hAnsi="Times New Roman"/>
          <w:sz w:val="20"/>
          <w:szCs w:val="20"/>
          <w:b w:val="1"/>
          <w:bCs w:val="1"/>
          <w:color w:val="auto"/>
        </w:rPr>
        <w:t>holding company</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 holding company or a subsidiary (as the case may be) as defined in section 1159 of the Act;</w:t>
      </w:r>
    </w:p>
    <w:p>
      <w:pPr>
        <w:spacing w:after="0" w:line="164"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Minimum</w:t>
      </w:r>
      <w:r>
        <w:rPr>
          <w:rFonts w:ascii="Times New Roman" w:cs="Times New Roman" w:eastAsia="Times New Roman" w:hAnsi="Times New Roman"/>
          <w:sz w:val="20"/>
          <w:szCs w:val="20"/>
          <w:color w:val="auto"/>
        </w:rPr>
        <w:t>” has the meaning given to it in clause 3.13;</w:t>
      </w:r>
    </w:p>
    <w:p>
      <w:pPr>
        <w:spacing w:after="0" w:line="229" w:lineRule="exact"/>
        <w:rPr>
          <w:rFonts w:ascii="Times New Roman" w:cs="Times New Roman" w:eastAsia="Times New Roman" w:hAnsi="Times New Roman"/>
          <w:sz w:val="20"/>
          <w:szCs w:val="20"/>
          <w:b w:val="1"/>
          <w:bCs w:val="1"/>
          <w:color w:val="auto"/>
        </w:rPr>
      </w:pPr>
    </w:p>
    <w:p>
      <w:pPr>
        <w:ind w:left="660" w:right="2380"/>
        <w:spacing w:after="0" w:line="51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 of Association</w:t>
      </w:r>
      <w:r>
        <w:rPr>
          <w:rFonts w:ascii="Times New Roman" w:cs="Times New Roman" w:eastAsia="Times New Roman" w:hAnsi="Times New Roman"/>
          <w:sz w:val="20"/>
          <w:szCs w:val="20"/>
          <w:color w:val="auto"/>
        </w:rPr>
        <w:t>” means the articles of association of the Company in effect from time to time;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 as constituted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431" w:name="page432"/>
    <w:bookmarkEnd w:id="431"/>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or Sunday) on which banks are open for business in London, Tokyo and New York;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means the chief executive officer of the Company from time to time;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means the chief financial officer of the Company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has the meaning given to it in clause 18.4;</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Disclosure Controls and Procedures</w:t>
      </w:r>
      <w:r>
        <w:rPr>
          <w:rFonts w:ascii="Times New Roman" w:cs="Times New Roman" w:eastAsia="Times New Roman" w:hAnsi="Times New Roman"/>
          <w:sz w:val="20"/>
          <w:szCs w:val="20"/>
          <w:color w:val="auto"/>
        </w:rPr>
        <w:t>” means controls and other procedures designed to ensure that information required to be disclosed by the Company and SBG under applicable law is recorded, processed, summarised and reported within applicable time periods, including controls and procedures designed to ensure that such information is accumulated and communicated to the Company’s management, including the CEO and the CFO, and to SBG, as appropriate to allow timely decisions regarding required disclosure in accordance with applicable laws and regulations;</w:t>
      </w:r>
    </w:p>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Proportion</w:t>
      </w:r>
      <w:r>
        <w:rPr>
          <w:rFonts w:ascii="Times New Roman" w:cs="Times New Roman" w:eastAsia="Times New Roman" w:hAnsi="Times New Roman"/>
          <w:sz w:val="20"/>
          <w:szCs w:val="20"/>
          <w:color w:val="auto"/>
        </w:rPr>
        <w:t>” means the total number of Ordinary Shares held by SBG and its Affiliates divided by the total number of Ordinary Shares issued and outstanding from time to time, expressed as a percentage;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Share Capital</w:t>
      </w:r>
      <w:r>
        <w:rPr>
          <w:rFonts w:ascii="Times New Roman" w:cs="Times New Roman" w:eastAsia="Times New Roman" w:hAnsi="Times New Roman"/>
          <w:sz w:val="20"/>
          <w:szCs w:val="20"/>
          <w:color w:val="auto"/>
        </w:rPr>
        <w:t>” means the equity share capital (within the meaning set out in section 548 of the Act) of the Company;</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supplemented or restated from time to time and any successor to such statute;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Fund</w:t>
      </w:r>
      <w:r>
        <w:rPr>
          <w:rFonts w:ascii="Times New Roman" w:cs="Times New Roman" w:eastAsia="Times New Roman" w:hAnsi="Times New Roman"/>
          <w:sz w:val="20"/>
          <w:szCs w:val="20"/>
          <w:color w:val="auto"/>
        </w:rPr>
        <w:t>” means a fund that is in existence at the date of this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International Financial Reporting Standards.</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w:t>
      </w:r>
      <w:r>
        <w:rPr>
          <w:rFonts w:ascii="Times New Roman" w:cs="Times New Roman" w:eastAsia="Times New Roman" w:hAnsi="Times New Roman"/>
          <w:sz w:val="20"/>
          <w:szCs w:val="20"/>
          <w:color w:val="auto"/>
        </w:rPr>
        <w:t>” means a person meeting the independence standards of Nasdaq pursuant to Rule 5605(a)(2) of the Nasdaq Listing Rules and, in the case of a member of the audit committee, the Rule 10A-3 under the Exchange Act or, in each case, any successor provision thereto;</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 intellectual property rights of whatever nature including copyrights, trade and service marks, including the trademarks, trade names, rights in logos and get up, inventions, confidential information, trade secrets and know how, registered designs, design rights, Patents, all rights of whatever nature in computer software and data, all rights of privacy and all intangible rights and privileges of a nature similar or allied to any of the foregoing, in every case in any part of the world and whether or not registered, and including all granted registrations and all applications for registration in respect of any of the same;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Internal Control Over Financial Reporting</w:t>
      </w:r>
      <w:r>
        <w:rPr>
          <w:rFonts w:ascii="Times New Roman" w:cs="Times New Roman" w:eastAsia="Times New Roman" w:hAnsi="Times New Roman"/>
          <w:sz w:val="20"/>
          <w:szCs w:val="20"/>
          <w:color w:val="auto"/>
        </w:rPr>
        <w:t>” means a process designed by, or under the supervision of, the CEO and the CFO and effected by the Board, Company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0"/>
          </w:cols>
          <w:pgMar w:left="980" w:top="1409" w:right="339" w:bottom="1440" w:gutter="0" w:footer="0" w:header="0"/>
        </w:sectPr>
      </w:pPr>
    </w:p>
    <w:bookmarkStart w:id="432" w:name="page433"/>
    <w:bookmarkEnd w:id="432"/>
    <w:p>
      <w:pPr>
        <w:jc w:val="both"/>
        <w:spacing w:after="0" w:line="261" w:lineRule="auto"/>
        <w:rPr>
          <w:sz w:val="20"/>
          <w:szCs w:val="20"/>
          <w:color w:val="auto"/>
        </w:rPr>
      </w:pPr>
      <w:r>
        <w:rPr>
          <w:rFonts w:ascii="Times New Roman" w:cs="Times New Roman" w:eastAsia="Times New Roman" w:hAnsi="Times New Roman"/>
          <w:sz w:val="20"/>
          <w:szCs w:val="20"/>
          <w:color w:val="auto"/>
        </w:rPr>
        <w:t>of the Company are being made only in accordance with authorisations of management of the Company and the Board; and (c) provide reasonable assurance regarding prevention or timely detection of unauthorised acquisition, use or disposition of the Company’s assets that could have a material effect on its financial statements;</w:t>
      </w:r>
    </w:p>
    <w:p>
      <w:pPr>
        <w:spacing w:after="0" w:line="17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Investor Director</w:t>
      </w:r>
      <w:r>
        <w:rPr>
          <w:rFonts w:ascii="Times New Roman" w:cs="Times New Roman" w:eastAsia="Times New Roman" w:hAnsi="Times New Roman"/>
          <w:sz w:val="20"/>
          <w:szCs w:val="20"/>
          <w:color w:val="auto"/>
        </w:rPr>
        <w:t>” means a director nominated for appointment to the Board by SBG pursuant to the rights contained in this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 means the Nasdaq Global Select Market;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Non-Independent Investor Director</w:t>
      </w:r>
      <w:r>
        <w:rPr>
          <w:rFonts w:ascii="Times New Roman" w:cs="Times New Roman" w:eastAsia="Times New Roman" w:hAnsi="Times New Roman"/>
          <w:sz w:val="20"/>
          <w:szCs w:val="20"/>
          <w:color w:val="auto"/>
        </w:rPr>
        <w:t>” means any Investor Director who is not Independent or an Investor Director who is Independent but has been designated as a Non-Independent Investor Director by SBG pursuant to clause 3.13;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Non-Investor Director</w:t>
      </w:r>
      <w:r>
        <w:rPr>
          <w:rFonts w:ascii="Times New Roman" w:cs="Times New Roman" w:eastAsia="Times New Roman" w:hAnsi="Times New Roman"/>
          <w:sz w:val="20"/>
          <w:szCs w:val="20"/>
          <w:color w:val="auto"/>
        </w:rPr>
        <w:t>” means any director of the Board who is not an Investor Director or the CEO;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has the meaning given to it in clause 16.1;</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means ordinary shares of £0.001 each in the capital of the Company from time to time, having the rights set out in the Articles of Association and shall include any Ordinary Shares represented by the ADSs, as the case may be;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w:t>
      </w:r>
      <w:r>
        <w:rPr>
          <w:rFonts w:ascii="Times New Roman" w:cs="Times New Roman" w:eastAsia="Times New Roman" w:hAnsi="Times New Roman"/>
          <w:sz w:val="20"/>
          <w:szCs w:val="20"/>
          <w:color w:val="auto"/>
        </w:rPr>
        <w:t>” means: (a) all national, regional and international patents and patent applications, (b) all patent applications filed either from such patents, patent applications or provisional applications or from an application claiming priority from either of these, including divisional, continuations, continuations-in-part, provisionals, converted provisionals, and continued prosecution applications, (c) any and all patents that have issued or in the future issue from the foregoing patent applications, including utility models, petty patents and design patents and certificates of invention, and (d) any and all extensions or restorations by existing or future extension or restoration mechanisms, including revalidations, reissues, re-examinations and extensions (including any supplementary protection certificates and the like) of the foregoing patents or patent applications;</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Proceedings</w:t>
      </w:r>
      <w:r>
        <w:rPr>
          <w:rFonts w:ascii="Times New Roman" w:cs="Times New Roman" w:eastAsia="Times New Roman" w:hAnsi="Times New Roman"/>
          <w:sz w:val="20"/>
          <w:szCs w:val="20"/>
          <w:color w:val="auto"/>
        </w:rPr>
        <w:t>” means any proceeding, suit or action arising out of or in connection with this Agreement, or the negotiation, existence, validity or enforceability of this Agreement, whether contractual or non-contractual;</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Party Transaction</w:t>
      </w:r>
      <w:r>
        <w:rPr>
          <w:rFonts w:ascii="Times New Roman" w:cs="Times New Roman" w:eastAsia="Times New Roman" w:hAnsi="Times New Roman"/>
          <w:sz w:val="20"/>
          <w:szCs w:val="20"/>
          <w:color w:val="auto"/>
        </w:rPr>
        <w:t>” has the meaning set out in Item 7.B of Form 20-F and, as used in this Agreement, “</w:t>
      </w:r>
      <w:r>
        <w:rPr>
          <w:rFonts w:ascii="Times New Roman" w:cs="Times New Roman" w:eastAsia="Times New Roman" w:hAnsi="Times New Roman"/>
          <w:sz w:val="20"/>
          <w:szCs w:val="20"/>
          <w:b w:val="1"/>
          <w:bCs w:val="1"/>
          <w:color w:val="auto"/>
        </w:rPr>
        <w:t>Related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refers to transactions between (i) the Company and its Subsidiaries on the one hand, and (ii) SBG and/or its Affiliates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the Company and its Subsidiaries) on the other;</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U.S. Securities and Exchange Commission or any similar agency then having jurisdiction to enforce the Securities Act;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 supplemented or restated from time to time and any successor to such statute, and the rules and regulations promulgated thereunder;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 Documents</w:t>
      </w:r>
      <w:r>
        <w:rPr>
          <w:rFonts w:ascii="Times New Roman" w:cs="Times New Roman" w:eastAsia="Times New Roman" w:hAnsi="Times New Roman"/>
          <w:sz w:val="20"/>
          <w:szCs w:val="20"/>
          <w:color w:val="auto"/>
        </w:rPr>
        <w:t>” means a claim form, application notice, order, judgment or other document relating to any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0"/>
          </w:cols>
          <w:pgMar w:left="980" w:top="1413" w:right="339" w:bottom="1440" w:gutter="0" w:footer="0" w:header="0"/>
        </w:sectPr>
      </w:pPr>
    </w:p>
    <w:bookmarkStart w:id="433" w:name="page434"/>
    <w:bookmarkEnd w:id="433"/>
    <w:p>
      <w:pPr>
        <w:jc w:val="both"/>
        <w:ind w:left="66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means any holder of any Ordinary Shares or other shares of the Company (but excluding the Company as a holder of any Treasury Shares);</w:t>
      </w:r>
    </w:p>
    <w:p>
      <w:pPr>
        <w:spacing w:after="0" w:line="138"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any shares in the capital of the Company, whether ordinary shares (including the Ordinary Shares), preferred shares and any securities representing any such shares, including depositary interests, American depositary receipts, American depositary shares and/or all other interests;</w:t>
      </w:r>
    </w:p>
    <w:p>
      <w:pPr>
        <w:spacing w:after="0" w:line="175" w:lineRule="exact"/>
        <w:rPr>
          <w:sz w:val="20"/>
          <w:szCs w:val="20"/>
          <w:color w:val="auto"/>
        </w:rPr>
      </w:pPr>
    </w:p>
    <w:p>
      <w:pPr>
        <w:jc w:val="both"/>
        <w:ind w:left="66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 Off Procedures</w:t>
      </w:r>
      <w:r>
        <w:rPr>
          <w:rFonts w:ascii="Times New Roman" w:cs="Times New Roman" w:eastAsia="Times New Roman" w:hAnsi="Times New Roman"/>
          <w:sz w:val="20"/>
          <w:szCs w:val="20"/>
          <w:color w:val="auto"/>
        </w:rPr>
        <w:t>” means the accounting and financial sign-off procedure for quarterly and full year financial closing communicated by the Company from time to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subsidiary of the Company as defined in section 1159 of the Act from time to time;</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all forms of taxation whether direct or indirect and whether levied by reference to income, profits, gains, asset values, turnover, added value or other reference and statutory, governmental, supra-governmental, national, federal, state, provincial, local or municipal impositions, duties, contributions and levies in each case in the nature of taxation (including, without limitation, any social security or national insurance contributions or payroll taxes) wherever and whenever imposed, and all penalties, charges, costs and interest relating thereto; and</w:t>
      </w:r>
    </w:p>
    <w:p>
      <w:pPr>
        <w:spacing w:after="0" w:line="187"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Shares</w:t>
      </w:r>
      <w:r>
        <w:rPr>
          <w:rFonts w:ascii="Times New Roman" w:cs="Times New Roman" w:eastAsia="Times New Roman" w:hAnsi="Times New Roman"/>
          <w:sz w:val="20"/>
          <w:szCs w:val="20"/>
          <w:color w:val="auto"/>
        </w:rPr>
        <w:t>” means shares in the capital of the Company held by the Company as treasury shares within the meaning set out in section 724(5) of the Act and, for the avoidance of doubt, any reference to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being issued and outstanding excludes Treasury Shares.</w:t>
      </w:r>
    </w:p>
    <w:p>
      <w:pPr>
        <w:spacing w:after="0" w:line="175" w:lineRule="exact"/>
        <w:rPr>
          <w:sz w:val="20"/>
          <w:szCs w:val="20"/>
          <w:color w:val="auto"/>
        </w:rPr>
      </w:pPr>
    </w:p>
    <w:p>
      <w:pPr>
        <w:ind w:left="660" w:hanging="652"/>
        <w:spacing w:after="0"/>
        <w:tabs>
          <w:tab w:leader="none" w:pos="660"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010000"/>
        </w:rPr>
        <w:t>2.1</w:t>
      </w:r>
      <w:r>
        <w:rPr>
          <w:sz w:val="20"/>
          <w:szCs w:val="20"/>
          <w:color w:val="auto"/>
        </w:rPr>
        <w:tab/>
      </w:r>
      <w:r>
        <w:rPr>
          <w:rFonts w:ascii="Times New Roman" w:cs="Times New Roman" w:eastAsia="Times New Roman" w:hAnsi="Times New Roman"/>
          <w:sz w:val="20"/>
          <w:szCs w:val="20"/>
          <w:color w:val="auto"/>
        </w:rPr>
        <w:t>The clause and paragraph headings and the table of contents used in this Agreement are inserted for ease of reference only and shall not affect construction.</w:t>
      </w:r>
    </w:p>
    <w:p>
      <w:pPr>
        <w:spacing w:after="0" w:line="146" w:lineRule="exact"/>
        <w:rPr>
          <w:sz w:val="20"/>
          <w:szCs w:val="20"/>
          <w:color w:val="auto"/>
        </w:rPr>
      </w:pPr>
    </w:p>
    <w:p>
      <w:pPr>
        <w:jc w:val="both"/>
        <w:ind w:left="640" w:right="2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010000"/>
        </w:rPr>
        <w:t>2.2</w:t>
      </w:r>
      <w:r>
        <w:rPr>
          <w:sz w:val="20"/>
          <w:szCs w:val="20"/>
          <w:color w:val="auto"/>
        </w:rPr>
        <w:tab/>
      </w:r>
      <w:r>
        <w:rPr>
          <w:rFonts w:ascii="Times New Roman" w:cs="Times New Roman" w:eastAsia="Times New Roman" w:hAnsi="Times New Roman"/>
          <w:sz w:val="20"/>
          <w:szCs w:val="20"/>
          <w:color w:val="auto"/>
        </w:rPr>
        <w:t>References to clauses, sub-clauses or schedules are to clauses or sub-clauses of and schedules to this Agreement, and references in a schedule or part of a schedule are to a paragraph of that schedule or that part of that schedule unless the context otherwise requires.</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2.3</w:t>
      </w:r>
      <w:r>
        <w:rPr>
          <w:sz w:val="20"/>
          <w:szCs w:val="20"/>
          <w:color w:val="auto"/>
        </w:rPr>
        <w:tab/>
      </w:r>
      <w:r>
        <w:rPr>
          <w:rFonts w:ascii="Times New Roman" w:cs="Times New Roman" w:eastAsia="Times New Roman" w:hAnsi="Times New Roman"/>
          <w:sz w:val="19"/>
          <w:szCs w:val="19"/>
          <w:color w:val="auto"/>
        </w:rPr>
        <w:t>References to an Investor Director shall, in each case, include any alternate appointed to act in his or her place from time to time.</w:t>
      </w:r>
    </w:p>
    <w:p>
      <w:pPr>
        <w:spacing w:after="0" w:line="229"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010000"/>
        </w:rPr>
        <w:t>2.4</w:t>
      </w:r>
      <w:r>
        <w:rPr>
          <w:sz w:val="20"/>
          <w:szCs w:val="20"/>
          <w:color w:val="auto"/>
        </w:rPr>
        <w:tab/>
      </w:r>
      <w:r>
        <w:rPr>
          <w:rFonts w:ascii="Times New Roman" w:cs="Times New Roman" w:eastAsia="Times New Roman" w:hAnsi="Times New Roman"/>
          <w:sz w:val="20"/>
          <w:szCs w:val="20"/>
          <w:color w:val="auto"/>
        </w:rPr>
        <w:t>References to persons shall include bodies corporate, unincorporated associations and partnerships, in each case whether or not having a separate legal personality.</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2.5</w:t>
      </w:r>
      <w:r>
        <w:rPr>
          <w:sz w:val="20"/>
          <w:szCs w:val="20"/>
          <w:color w:val="auto"/>
        </w:rPr>
        <w:tab/>
      </w:r>
      <w:r>
        <w:rPr>
          <w:rFonts w:ascii="Times New Roman" w:cs="Times New Roman" w:eastAsia="Times New Roman" w:hAnsi="Times New Roman"/>
          <w:sz w:val="19"/>
          <w:szCs w:val="19"/>
          <w:color w:val="auto"/>
        </w:rPr>
        <w:t>Reference to a party or parties is to a party or parties of the Agreement.</w:t>
      </w:r>
    </w:p>
    <w:p>
      <w:pPr>
        <w:spacing w:after="0" w:line="229"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010000"/>
        </w:rPr>
        <w:t>2.6</w:t>
      </w:r>
      <w:r>
        <w:rPr>
          <w:sz w:val="20"/>
          <w:szCs w:val="20"/>
          <w:color w:val="auto"/>
        </w:rPr>
        <w:tab/>
      </w:r>
      <w:r>
        <w:rPr>
          <w:rFonts w:ascii="Times New Roman" w:cs="Times New Roman" w:eastAsia="Times New Roman" w:hAnsi="Times New Roman"/>
          <w:sz w:val="20"/>
          <w:szCs w:val="20"/>
          <w:color w:val="auto"/>
        </w:rPr>
        <w:t>References to any English law, statute or other legislation or legal term for any action, remedy, method of judicial proceeding, legal document, legal status, court, official or any legal concept or thing shall, in respect of any jurisdiction other than England, be deemed to include a reference to that which most nearly approximates to the English legal term in that jurisdiction.</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2.7</w:t>
      </w:r>
      <w:r>
        <w:rPr>
          <w:sz w:val="20"/>
          <w:szCs w:val="20"/>
          <w:color w:val="auto"/>
        </w:rPr>
        <w:tab/>
      </w:r>
      <w:r>
        <w:rPr>
          <w:rFonts w:ascii="Times New Roman" w:cs="Times New Roman" w:eastAsia="Times New Roman" w:hAnsi="Times New Roman"/>
          <w:sz w:val="19"/>
          <w:szCs w:val="19"/>
          <w:color w:val="auto"/>
        </w:rPr>
        <w:t>References to those of the parties that are individuals include their respective legal personal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434" w:name="page435"/>
    <w:bookmarkEnd w:id="434"/>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2.8</w:t>
      </w:r>
      <w:r>
        <w:rPr>
          <w:sz w:val="20"/>
          <w:szCs w:val="20"/>
          <w:color w:val="auto"/>
        </w:rPr>
        <w:tab/>
      </w:r>
      <w:r>
        <w:rPr>
          <w:rFonts w:ascii="Times New Roman" w:cs="Times New Roman" w:eastAsia="Times New Roman" w:hAnsi="Times New Roman"/>
          <w:sz w:val="19"/>
          <w:szCs w:val="19"/>
          <w:color w:val="auto"/>
        </w:rPr>
        <w:t>References to “</w:t>
      </w:r>
      <w:r>
        <w:rPr>
          <w:rFonts w:ascii="Times New Roman" w:cs="Times New Roman" w:eastAsia="Times New Roman" w:hAnsi="Times New Roman"/>
          <w:sz w:val="19"/>
          <w:szCs w:val="19"/>
          <w:b w:val="1"/>
          <w:bCs w:val="1"/>
          <w:color w:val="auto"/>
        </w:rPr>
        <w:t>writing</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written</w:t>
      </w:r>
      <w:r>
        <w:rPr>
          <w:rFonts w:ascii="Times New Roman" w:cs="Times New Roman" w:eastAsia="Times New Roman" w:hAnsi="Times New Roman"/>
          <w:sz w:val="19"/>
          <w:szCs w:val="19"/>
          <w:color w:val="auto"/>
        </w:rPr>
        <w:t>” include any non-transitory form of visible reproduction of words (including electronic mail).</w:t>
      </w:r>
    </w:p>
    <w:p>
      <w:pPr>
        <w:spacing w:after="0" w:line="22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color w:val="010000"/>
        </w:rPr>
        <w:t>2.9</w:t>
      </w:r>
      <w:r>
        <w:rPr>
          <w:sz w:val="20"/>
          <w:szCs w:val="20"/>
          <w:color w:val="auto"/>
        </w:rPr>
        <w:tab/>
      </w:r>
      <w:r>
        <w:rPr>
          <w:rFonts w:ascii="Times New Roman" w:cs="Times New Roman" w:eastAsia="Times New Roman" w:hAnsi="Times New Roman"/>
          <w:sz w:val="20"/>
          <w:szCs w:val="20"/>
          <w:color w:val="auto"/>
        </w:rPr>
        <w:t>References to the word “</w:t>
      </w:r>
      <w:r>
        <w:rPr>
          <w:rFonts w:ascii="Times New Roman" w:cs="Times New Roman" w:eastAsia="Times New Roman" w:hAnsi="Times New Roman"/>
          <w:sz w:val="20"/>
          <w:szCs w:val="20"/>
          <w:b w:val="1"/>
          <w:bCs w:val="1"/>
          <w:color w:val="auto"/>
        </w:rPr>
        <w:t>include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including</w:t>
      </w:r>
      <w:r>
        <w:rPr>
          <w:rFonts w:ascii="Times New Roman" w:cs="Times New Roman" w:eastAsia="Times New Roman" w:hAnsi="Times New Roman"/>
          <w:sz w:val="20"/>
          <w:szCs w:val="20"/>
          <w:color w:val="auto"/>
        </w:rPr>
        <w:t>” (or any similar term) are not to be construed as implying any limitation and general words introduced by the word “</w:t>
      </w: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0"/>
          <w:szCs w:val="20"/>
          <w:color w:val="auto"/>
        </w:rPr>
        <w:t>” (or any similar term) shall not be given a restrictive meaning by reason of the fact that they are preceded or followed by words indicating a particular class of acts, matters or things.</w:t>
      </w:r>
    </w:p>
    <w:p>
      <w:pPr>
        <w:spacing w:after="0" w:line="16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20"/>
          <w:szCs w:val="20"/>
          <w:color w:val="010000"/>
        </w:rPr>
        <w:t>2.10</w:t>
      </w:r>
      <w:r>
        <w:rPr>
          <w:rFonts w:ascii="Times New Roman" w:cs="Times New Roman" w:eastAsia="Times New Roman" w:hAnsi="Times New Roman"/>
          <w:sz w:val="20"/>
          <w:szCs w:val="20"/>
          <w:color w:val="auto"/>
        </w:rPr>
        <w:tab/>
        <w:t>Except where the context specifically requires otherwise, words importing one gender shall be treated as importing any gender, words importing individuals shall be treated as importing corporations and vice versa, words importing the singular shall be treated as importing the plural and vice versa, and words importing the whole shall be treated as including a reference to any part thereof.</w:t>
      </w:r>
    </w:p>
    <w:p>
      <w:pPr>
        <w:spacing w:after="0" w:line="161"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20"/>
          <w:szCs w:val="20"/>
          <w:color w:val="010000"/>
        </w:rPr>
        <w:t>2.11</w:t>
      </w:r>
      <w:r>
        <w:rPr>
          <w:rFonts w:ascii="Times New Roman" w:cs="Times New Roman" w:eastAsia="Times New Roman" w:hAnsi="Times New Roman"/>
          <w:sz w:val="20"/>
          <w:szCs w:val="20"/>
          <w:color w:val="auto"/>
        </w:rPr>
        <w:tab/>
        <w:t>References to laws, statutory provisions, enactments or EC directives shall include references to any amendment, modification, extension, consolidation, replacement or re-enactment of any such provision, enactment or EC directive (whether before or after the date of this Agreement), to any previous enactment which has been replaced or amended and to any regulation, instrument or order or other subordinate legislation made under such provision, enactment or EC directive unless any such change imposes upon any party any liabilities or obligations which are more onerous than as at the date of this Agreement.</w:t>
      </w:r>
    </w:p>
    <w:p>
      <w:pPr>
        <w:spacing w:after="0" w:line="17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color w:val="010000"/>
        </w:rPr>
        <w:t>2.12</w:t>
      </w:r>
      <w:r>
        <w:rPr>
          <w:rFonts w:ascii="Times New Roman" w:cs="Times New Roman" w:eastAsia="Times New Roman" w:hAnsi="Times New Roman"/>
          <w:sz w:val="20"/>
          <w:szCs w:val="20"/>
          <w:color w:val="auto"/>
        </w:rPr>
        <w:tab/>
        <w:t>In respect of any actions or matters requiring or seeking the acceptance, approval, agreement, consent or words having similar effect of an Investor Director under this Agreement, if at any time an Investor Director has not been appointed or an Investor Director declares in writing to the Company and SBG that he or she considers that providing such consent gives rise or may give rise to a conflict of interest to his or her duties as a director, such action or matter shall require the consent of SBG.</w:t>
      </w:r>
    </w:p>
    <w:p>
      <w:pPr>
        <w:spacing w:after="0" w:line="182" w:lineRule="exact"/>
        <w:rPr>
          <w:sz w:val="20"/>
          <w:szCs w:val="20"/>
          <w:color w:val="auto"/>
        </w:rPr>
      </w:pPr>
    </w:p>
    <w:p>
      <w:pPr>
        <w:ind w:left="660" w:hanging="652"/>
        <w:spacing w:after="0"/>
        <w:tabs>
          <w:tab w:leader="none" w:pos="660" w:val="left"/>
        </w:tabs>
        <w:numPr>
          <w:ilvl w:val="0"/>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Board composition</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3.1</w:t>
      </w:r>
      <w:r>
        <w:rPr>
          <w:sz w:val="20"/>
          <w:szCs w:val="20"/>
          <w:color w:val="auto"/>
        </w:rPr>
        <w:tab/>
      </w:r>
      <w:r>
        <w:rPr>
          <w:rFonts w:ascii="Times New Roman" w:cs="Times New Roman" w:eastAsia="Times New Roman" w:hAnsi="Times New Roman"/>
          <w:sz w:val="19"/>
          <w:szCs w:val="19"/>
          <w:color w:val="auto"/>
        </w:rPr>
        <w:t>There shall be at all times eight (8) members of the Board, which shall comprise:</w:t>
      </w:r>
    </w:p>
    <w:p>
      <w:pPr>
        <w:spacing w:after="0" w:line="229" w:lineRule="exact"/>
        <w:rPr>
          <w:sz w:val="20"/>
          <w:szCs w:val="20"/>
          <w:color w:val="auto"/>
        </w:rPr>
      </w:pPr>
    </w:p>
    <w:p>
      <w:pPr>
        <w:ind w:left="1300" w:hanging="644"/>
        <w:spacing w:after="0"/>
        <w:tabs>
          <w:tab w:leader="none" w:pos="130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CEO;</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number of Investor Directors as shall be nominated by SBG in accordance with clause 3.4;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number of Non-Investor Directors as shall be determined in accordance with clause 3.4.</w:t>
      </w:r>
    </w:p>
    <w:p>
      <w:pPr>
        <w:spacing w:after="0" w:line="216"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20"/>
          <w:szCs w:val="20"/>
          <w:color w:val="010000"/>
        </w:rPr>
        <w:t>3.2</w:t>
      </w:r>
      <w:r>
        <w:rPr>
          <w:sz w:val="20"/>
          <w:szCs w:val="20"/>
          <w:color w:val="auto"/>
        </w:rPr>
        <w:tab/>
      </w:r>
      <w:r>
        <w:rPr>
          <w:rFonts w:ascii="Times New Roman" w:cs="Times New Roman" w:eastAsia="Times New Roman" w:hAnsi="Times New Roman"/>
          <w:sz w:val="20"/>
          <w:szCs w:val="20"/>
          <w:color w:val="auto"/>
        </w:rPr>
        <w:t>With effect from completion of the listing of the ADSs on Nasdaq and at any time the Equity Proportion exceeds 70 per cent., SBG shall have the right to increase the size of the Board to nine (9) members and, in such scenario, to appoint an additional Investor Director, provided that there shall be a corresponding reduction to the size of Board to eight (8) members and, if SBG has appointed an additional Investor Director, SBG shall cease to be entitled to appoint such additional Investor Director under this clause 3.2 if the Equity Proportion falls below 70 per cent.</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3.3</w:t>
      </w:r>
      <w:r>
        <w:rPr>
          <w:sz w:val="20"/>
          <w:szCs w:val="20"/>
          <w:color w:val="auto"/>
        </w:rPr>
        <w:tab/>
      </w:r>
      <w:r>
        <w:rPr>
          <w:rFonts w:ascii="Times New Roman" w:cs="Times New Roman" w:eastAsia="Times New Roman" w:hAnsi="Times New Roman"/>
          <w:sz w:val="19"/>
          <w:szCs w:val="19"/>
          <w:color w:val="auto"/>
        </w:rPr>
        <w:t>The Board shall at all times:</w:t>
      </w:r>
    </w:p>
    <w:p>
      <w:pPr>
        <w:spacing w:after="0" w:line="229" w:lineRule="exact"/>
        <w:rPr>
          <w:sz w:val="20"/>
          <w:szCs w:val="20"/>
          <w:color w:val="auto"/>
        </w:rPr>
      </w:pPr>
    </w:p>
    <w:p>
      <w:pPr>
        <w:ind w:left="1300" w:hanging="644"/>
        <w:spacing w:after="0"/>
        <w:tabs>
          <w:tab w:leader="none" w:pos="130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at least three (3) directors that qualify as Independent;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9" w:lineRule="exact"/>
        <w:rPr>
          <w:rFonts w:ascii="Times New Roman" w:cs="Times New Roman" w:eastAsia="Times New Roman" w:hAnsi="Times New Roman"/>
          <w:sz w:val="20"/>
          <w:szCs w:val="20"/>
          <w:color w:val="auto"/>
        </w:rPr>
      </w:pPr>
    </w:p>
    <w:p>
      <w:pPr>
        <w:ind w:left="5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435" w:name="page436"/>
    <w:bookmarkEnd w:id="435"/>
    <w:p>
      <w:pPr>
        <w:ind w:left="1300" w:hanging="644"/>
        <w:spacing w:after="0" w:line="283" w:lineRule="auto"/>
        <w:tabs>
          <w:tab w:leader="none" w:pos="12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SBG shall have notified the Company at any time that such restriction shall not apply, maintain no more than one (1) director that is a resident of Japan,</w:t>
      </w:r>
    </w:p>
    <w:p>
      <w:pPr>
        <w:spacing w:after="0" w:line="146" w:lineRule="exact"/>
        <w:rPr>
          <w:sz w:val="20"/>
          <w:szCs w:val="20"/>
          <w:color w:val="auto"/>
        </w:rPr>
      </w:pPr>
    </w:p>
    <w:p>
      <w:pPr>
        <w:jc w:val="both"/>
        <w:ind w:left="660"/>
        <w:spacing w:after="0" w:line="310" w:lineRule="auto"/>
        <w:rPr>
          <w:sz w:val="20"/>
          <w:szCs w:val="20"/>
          <w:color w:val="auto"/>
        </w:rPr>
      </w:pPr>
      <w:r>
        <w:rPr>
          <w:rFonts w:ascii="Times New Roman" w:cs="Times New Roman" w:eastAsia="Times New Roman" w:hAnsi="Times New Roman"/>
          <w:sz w:val="19"/>
          <w:szCs w:val="19"/>
          <w:color w:val="auto"/>
        </w:rPr>
        <w:t>and SBG shall, to the extent it chooses to exercise such rights and provided that clause 3.3(b) is applicable, exercise the director nomination, appointment and termination rights set out in this clause 3 in a manner consistent with the requirements of clause 3.3(b).</w:t>
      </w:r>
    </w:p>
    <w:p>
      <w:pPr>
        <w:spacing w:after="0" w:line="124" w:lineRule="exact"/>
        <w:rPr>
          <w:sz w:val="20"/>
          <w:szCs w:val="20"/>
          <w:color w:val="auto"/>
        </w:rPr>
      </w:pPr>
    </w:p>
    <w:p>
      <w:pPr>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010000"/>
        </w:rPr>
        <w:t>3.4</w:t>
      </w:r>
      <w:r>
        <w:rPr>
          <w:sz w:val="20"/>
          <w:szCs w:val="20"/>
          <w:color w:val="auto"/>
        </w:rPr>
        <w:tab/>
      </w:r>
      <w:r>
        <w:rPr>
          <w:rFonts w:ascii="Times New Roman" w:cs="Times New Roman" w:eastAsia="Times New Roman" w:hAnsi="Times New Roman"/>
          <w:sz w:val="20"/>
          <w:szCs w:val="20"/>
          <w:color w:val="auto"/>
        </w:rPr>
        <w:t>SBG shall have the following rights to nominate to the Board candidates for director (at all times subject to their election by ordinary resolution of the Shareholders at a general meeting):</w:t>
      </w:r>
    </w:p>
    <w:p>
      <w:pPr>
        <w:spacing w:after="0" w:line="160" w:lineRule="exact"/>
        <w:rPr>
          <w:sz w:val="20"/>
          <w:szCs w:val="20"/>
          <w:color w:val="auto"/>
        </w:rPr>
      </w:pPr>
    </w:p>
    <w:p>
      <w:pPr>
        <w:ind w:left="1300" w:hanging="644"/>
        <w:spacing w:after="0" w:line="269" w:lineRule="auto"/>
        <w:tabs>
          <w:tab w:leader="none" w:pos="129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exceeds 70 per cent., SBG shall have the right to nominate to the Board seven (7) Investor Directors (of which at least three (3) such Investor Directors must qualify as Independent);</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3" w:lineRule="auto"/>
        <w:tabs>
          <w:tab w:leader="none" w:pos="1288"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exceeds 70 per cent. and where SBG has exercised its right to increase the size of the Board pursuant to clause 3.2, SBG shall have the right to nominate to the Board eight (8) Investor Directors (of which at least three (3) such Investor Directors must qualify as Independent); with the appointment of such additional Investor Director to the Board (who is not required to qualify as Independent) to take effect no earlier than the first meeting of the Board following completion of the listing of the ADSs on Nasdaq;</w:t>
      </w:r>
    </w:p>
    <w:p>
      <w:pPr>
        <w:spacing w:after="0" w:line="191" w:lineRule="exact"/>
        <w:rPr>
          <w:rFonts w:ascii="Times New Roman" w:cs="Times New Roman" w:eastAsia="Times New Roman" w:hAnsi="Times New Roman"/>
          <w:sz w:val="20"/>
          <w:szCs w:val="20"/>
          <w:color w:val="auto"/>
        </w:rPr>
      </w:pPr>
    </w:p>
    <w:p>
      <w:pPr>
        <w:jc w:val="both"/>
        <w:ind w:left="1300" w:hanging="644"/>
        <w:spacing w:after="0" w:line="267" w:lineRule="auto"/>
        <w:tabs>
          <w:tab w:leader="none" w:pos="129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the Equity Proportion exceeds 60 per cent. but is less than or equal to 70%, SBG shall have the right to nominate to the Board six (6) Investor Directors (of which at least two (2) such Investor Directors must qualify as Independent), and there shall be one (1) Non-Investor Director (who must qualify as Independent if SBG chooses to nominate no more than two</w:t>
      </w:r>
    </w:p>
    <w:p>
      <w:pPr>
        <w:spacing w:after="0" w:line="1" w:lineRule="exact"/>
        <w:rPr>
          <w:rFonts w:ascii="Times New Roman" w:cs="Times New Roman" w:eastAsia="Times New Roman" w:hAnsi="Times New Roman"/>
          <w:sz w:val="19"/>
          <w:szCs w:val="19"/>
          <w:color w:val="auto"/>
        </w:rPr>
      </w:pPr>
    </w:p>
    <w:p>
      <w:pPr>
        <w:ind w:left="1580" w:hanging="276"/>
        <w:spacing w:after="0"/>
        <w:tabs>
          <w:tab w:leader="none" w:pos="158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Directors that qualify as Independent);</w:t>
      </w:r>
    </w:p>
    <w:p>
      <w:pPr>
        <w:spacing w:after="0" w:line="200" w:lineRule="exact"/>
        <w:rPr>
          <w:rFonts w:ascii="Times New Roman" w:cs="Times New Roman" w:eastAsia="Times New Roman" w:hAnsi="Times New Roman"/>
          <w:sz w:val="20"/>
          <w:szCs w:val="20"/>
          <w:color w:val="auto"/>
        </w:rPr>
      </w:pPr>
    </w:p>
    <w:p>
      <w:pPr>
        <w:jc w:val="both"/>
        <w:ind w:left="1300" w:hanging="644"/>
        <w:spacing w:after="0" w:line="258" w:lineRule="auto"/>
        <w:tabs>
          <w:tab w:leader="none" w:pos="1288"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exceeds 50 per cent. but is less than or equal to 60 per cent., SBG shall have the right to nominate to the Board five (5) Investor Directors (of which at least one (1) such Investor Director must qualify as Independent), and there shall be two (2) Non-Investor Directors (one or both of which must qualify as Independent if SBG chooses to nominate only two (2) or one (1) Investor Director(s) that qualify as Independent respectively);</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7" w:lineRule="auto"/>
        <w:tabs>
          <w:tab w:leader="none" w:pos="129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exceeds 40 per cent. but is less than or equal to 50%, SBG shall have the right to nominate to the Board four (4) Investor Directors, some or all of which may qualify as Independent, and there shall be three (3) Non-Investor Directors (the number of which that must qualify as Independent to be determined based on the number of Investor Directors appointed which qualify as Independent, at all times maintaining a minimum of three (3) directors on the Board that qualify as Independent);</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95"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exceeds 30 per cent. but is less than or equal to 40 per cent., SBG shall have the right to nominate to the Board three (3) Investor Directors, some or all of which may qualify as Independent, and there shall be four</w:t>
      </w:r>
    </w:p>
    <w:p>
      <w:pPr>
        <w:spacing w:after="0" w:line="1" w:lineRule="exact"/>
        <w:rPr>
          <w:rFonts w:ascii="Times New Roman" w:cs="Times New Roman" w:eastAsia="Times New Roman" w:hAnsi="Times New Roman"/>
          <w:sz w:val="20"/>
          <w:szCs w:val="20"/>
          <w:color w:val="auto"/>
        </w:rPr>
      </w:pPr>
    </w:p>
    <w:p>
      <w:pPr>
        <w:jc w:val="both"/>
        <w:ind w:left="1300" w:firstLine="4"/>
        <w:spacing w:after="0" w:line="253" w:lineRule="auto"/>
        <w:tabs>
          <w:tab w:leader="none" w:pos="1587"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Non-Investor Directors (the number of which that must qualify as Independent to be determined based on the number of Investor Directors appointed which qualify as Independent, at all times maintaining a minimum of three (3) directors on the Board that qualify as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436" w:name="page437"/>
    <w:bookmarkEnd w:id="436"/>
    <w:p>
      <w:pPr>
        <w:ind w:left="1300" w:hanging="644"/>
        <w:spacing w:after="0"/>
        <w:tabs>
          <w:tab w:leader="none" w:pos="130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exceeds 20 per cent. but is less than or equal to 30 per cent., SBG shall have the right to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nominate to the Board two (2) Investor Directors, some or all of which may qualify as Independent, and there shall be five</w:t>
      </w:r>
    </w:p>
    <w:p>
      <w:pPr>
        <w:spacing w:after="0" w:line="6"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(5) Non-Investor Directors (the number of which that must qualify as Independent to be determined based on the number of Investor Directors appointed which qualify as Independent, at all times maintaining a minimum of three (3) directors on the Board that qualify as Independent);</w:t>
      </w:r>
    </w:p>
    <w:p>
      <w:pPr>
        <w:spacing w:after="0" w:line="193" w:lineRule="exact"/>
        <w:rPr>
          <w:sz w:val="20"/>
          <w:szCs w:val="20"/>
          <w:color w:val="auto"/>
        </w:rPr>
      </w:pPr>
    </w:p>
    <w:p>
      <w:pPr>
        <w:jc w:val="both"/>
        <w:ind w:left="1300" w:hanging="644"/>
        <w:spacing w:after="0" w:line="253" w:lineRule="auto"/>
        <w:tabs>
          <w:tab w:leader="none" w:pos="1288"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exceeds 5 per cent. but is less than or equal to 20 per cent., SBG shall have the right to nominate to the Board one (1) Investor Director, which may qualify as Independent, and there shall be six (6) Non-Investor Directors (the number of which that must qualify as Independent to be determined based on the number of Investor Directors appointed which qualify as Independent, at all times maintaining a minimum of three (3) directors on the Board that qualify as Independent); and</w:t>
      </w:r>
    </w:p>
    <w:p>
      <w:pPr>
        <w:spacing w:after="0" w:line="191"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98"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Equity Proportion is less than or equal to 5 per cent., SBG shall not have the right to nominate to the Board any Investor Directors, and there shall be seven (7) Non-Investor Directors (a minimum of three (3) of which that must qualify as Independent).</w:t>
      </w:r>
    </w:p>
    <w:p>
      <w:pPr>
        <w:spacing w:after="0" w:line="181"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color w:val="010000"/>
        </w:rPr>
        <w:t>3.5</w:t>
      </w:r>
      <w:r>
        <w:rPr>
          <w:sz w:val="20"/>
          <w:szCs w:val="20"/>
          <w:color w:val="auto"/>
        </w:rPr>
        <w:tab/>
      </w:r>
      <w:r>
        <w:rPr>
          <w:rFonts w:ascii="Times New Roman" w:cs="Times New Roman" w:eastAsia="Times New Roman" w:hAnsi="Times New Roman"/>
          <w:sz w:val="20"/>
          <w:szCs w:val="20"/>
          <w:color w:val="auto"/>
        </w:rPr>
        <w:t>To nominate a person as an Investor Director in accordance with clause 3.3, SBG must give written notice to the Company specifying the identity of the person SBG has determined to nominate and the terms of such appointment. The notice must be accompanied by a signed written consent of that person agreeing to act as an Investor Director, including confirmation that such person shall resign as an Investor Director if required to do so by SBG.</w:t>
      </w:r>
    </w:p>
    <w:p>
      <w:pPr>
        <w:spacing w:after="0" w:line="172"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color w:val="010000"/>
        </w:rPr>
        <w:t>3.6</w:t>
      </w:r>
      <w:r>
        <w:rPr>
          <w:sz w:val="20"/>
          <w:szCs w:val="20"/>
          <w:color w:val="auto"/>
        </w:rPr>
        <w:tab/>
      </w:r>
      <w:r>
        <w:rPr>
          <w:rFonts w:ascii="Times New Roman" w:cs="Times New Roman" w:eastAsia="Times New Roman" w:hAnsi="Times New Roman"/>
          <w:sz w:val="20"/>
          <w:szCs w:val="20"/>
          <w:color w:val="auto"/>
        </w:rPr>
        <w:t>The Company shall: (i) promptly after receiving notice from SBG of the nomination of an Investor Director in accordance with clause 3.5, procure that each Investor Director so nominated as a director shall be appointed as a director of the Company; (ii) if any Investor Director so nominated is required to stand for election or re-election, recommend such Investor Director for election or re-election at the next following annual general meeting of Shareholders of the Company and (iii) provide reasonable assistance in connection with any and all relevant regulatory approvals, consents or requirements relating to the appointment of each Investor Director as such.</w:t>
      </w:r>
    </w:p>
    <w:p>
      <w:pPr>
        <w:spacing w:after="0" w:line="192" w:lineRule="exact"/>
        <w:rPr>
          <w:sz w:val="20"/>
          <w:szCs w:val="20"/>
          <w:color w:val="auto"/>
        </w:rPr>
      </w:pPr>
    </w:p>
    <w:p>
      <w:pPr>
        <w:jc w:val="both"/>
        <w:ind w:left="640" w:hanging="647"/>
        <w:spacing w:after="0" w:line="251" w:lineRule="auto"/>
        <w:tabs>
          <w:tab w:leader="none" w:pos="620" w:val="left"/>
        </w:tabs>
        <w:rPr>
          <w:sz w:val="20"/>
          <w:szCs w:val="20"/>
          <w:color w:val="auto"/>
        </w:rPr>
      </w:pPr>
      <w:r>
        <w:rPr>
          <w:rFonts w:ascii="Times New Roman" w:cs="Times New Roman" w:eastAsia="Times New Roman" w:hAnsi="Times New Roman"/>
          <w:sz w:val="20"/>
          <w:szCs w:val="20"/>
          <w:color w:val="010000"/>
        </w:rPr>
        <w:t>3.7</w:t>
      </w:r>
      <w:r>
        <w:rPr>
          <w:sz w:val="20"/>
          <w:szCs w:val="20"/>
          <w:color w:val="auto"/>
        </w:rPr>
        <w:tab/>
      </w:r>
      <w:r>
        <w:rPr>
          <w:rFonts w:ascii="Times New Roman" w:cs="Times New Roman" w:eastAsia="Times New Roman" w:hAnsi="Times New Roman"/>
          <w:sz w:val="20"/>
          <w:szCs w:val="20"/>
          <w:color w:val="auto"/>
        </w:rPr>
        <w:t>SBG shall be entitled at any time after the appointment of an Investor Director to the Board in accordance with this clause 3, by written notice to the Company, to remove such Investor Director from office and to nominate another person to be an Investor Director in his or her place and SBG shall procure, in so far as it is legally possible to do so, that the relevant Investor Director resigns as a director promptly upon the service of such notice on the Company or, if a date is specified in such notice for his or her removal, on the date so specified. A notice served by SBG on the Company under this clause 3.7 to remove an Investor Director shall constitute an offer by such Investor Director to resign immediately or, if a date for his or her removal is specified in such notice, on the date so specified.</w:t>
      </w:r>
    </w:p>
    <w:p>
      <w:pPr>
        <w:spacing w:after="0" w:line="193"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color w:val="010000"/>
        </w:rPr>
        <w:t>3.8</w:t>
      </w:r>
      <w:r>
        <w:rPr>
          <w:sz w:val="20"/>
          <w:szCs w:val="20"/>
          <w:color w:val="auto"/>
        </w:rPr>
        <w:tab/>
      </w:r>
      <w:r>
        <w:rPr>
          <w:rFonts w:ascii="Times New Roman" w:cs="Times New Roman" w:eastAsia="Times New Roman" w:hAnsi="Times New Roman"/>
          <w:sz w:val="20"/>
          <w:szCs w:val="20"/>
          <w:color w:val="auto"/>
        </w:rPr>
        <w:t>If, at any time after the appointment of an Investor Director to the Board in accordance with clause 3, a vacancy on the Board is created as a result of such Investor Director’s death or incapacity or the resignation of an Investor Director voluntarily or pursuant to clause 3.7, SBG shall be entitled to propose to the Company a replacement for such Investor Director in accordance with clause 3.7 and the provisions of clauses 3.5 and 3.6 shall apply in relation to the appointment of such replacement Investor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437" w:name="page438"/>
    <w:bookmarkEnd w:id="437"/>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010000"/>
        </w:rPr>
        <w:t>3.9</w:t>
      </w:r>
      <w:r>
        <w:rPr>
          <w:sz w:val="20"/>
          <w:szCs w:val="20"/>
          <w:color w:val="auto"/>
        </w:rPr>
        <w:tab/>
      </w:r>
      <w:r>
        <w:rPr>
          <w:rFonts w:ascii="Times New Roman" w:cs="Times New Roman" w:eastAsia="Times New Roman" w:hAnsi="Times New Roman"/>
          <w:sz w:val="20"/>
          <w:szCs w:val="20"/>
          <w:color w:val="auto"/>
        </w:rPr>
        <w:t>If: (i) SBG ceases to be entitled under clause 3.4 to appoint one (1) or more Investor Director(s) due to a reduction in the Equity Proportion; or (ii) SBG has appointed an additional Investor Director under clause 3.2 and it ceases to be entitled to appoint such additional Investor Director, the Company shall promptly give written notice to SBG of such fact.</w:t>
      </w:r>
    </w:p>
    <w:p>
      <w:pPr>
        <w:spacing w:after="0" w:line="181"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010000"/>
        </w:rPr>
        <w:t>3.10</w:t>
      </w:r>
      <w:r>
        <w:rPr>
          <w:rFonts w:ascii="Times New Roman" w:cs="Times New Roman" w:eastAsia="Times New Roman" w:hAnsi="Times New Roman"/>
          <w:sz w:val="20"/>
          <w:szCs w:val="20"/>
          <w:color w:val="auto"/>
        </w:rPr>
        <w:tab/>
        <w:t>As soon as reasonably practicable following receipt of a notice under clause 3.9, SBG shall (i) give written notice to the Company to remove the relevant Investor Director(s) and (ii) procure, in so far as it is legally possible to do so, that the relevant Investor Director(s) resigns promptly upon service of such notice on the Company. A notice served by SBG on the Company under this clause 3.10 to remove an Investor Director shall constitute an offer by such Investor Director to resign immediately. If SBG fails to give written notice to the Company to remove the relevant Investor Director(s) and/or fails to procure the resignation of the relevant Investor Director(s), the Company may, by notice in writing to SBG, immediately terminate the appointment of such number of Investor Director(s) as may be required to ensure that the number of Investor Directors remaining on the Board equals the number of Investor Directors that SBG is entitled to appoint under clause 3.4.</w:t>
      </w:r>
    </w:p>
    <w:p>
      <w:pPr>
        <w:spacing w:after="0" w:line="19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3.11</w:t>
      </w:r>
      <w:r>
        <w:rPr>
          <w:sz w:val="20"/>
          <w:szCs w:val="20"/>
          <w:color w:val="auto"/>
        </w:rPr>
        <w:tab/>
      </w:r>
      <w:r>
        <w:rPr>
          <w:rFonts w:ascii="Times New Roman" w:cs="Times New Roman" w:eastAsia="Times New Roman" w:hAnsi="Times New Roman"/>
          <w:sz w:val="19"/>
          <w:szCs w:val="19"/>
          <w:color w:val="auto"/>
        </w:rPr>
        <w:t>The parties agree that, subject to applicable law:</w:t>
      </w:r>
    </w:p>
    <w:p>
      <w:pPr>
        <w:spacing w:after="0" w:line="216" w:lineRule="exact"/>
        <w:rPr>
          <w:sz w:val="20"/>
          <w:szCs w:val="20"/>
          <w:color w:val="auto"/>
        </w:rPr>
      </w:pPr>
    </w:p>
    <w:p>
      <w:pPr>
        <w:jc w:val="both"/>
        <w:ind w:left="1300" w:hanging="644"/>
        <w:spacing w:after="0" w:line="261" w:lineRule="auto"/>
        <w:tabs>
          <w:tab w:leader="none" w:pos="129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Non-Independent Investor Director shall be under any obligation to disclose any information or opportunities to the Company except to the extent that the information or opportunity was passed to him expressly in his capacity as a director of the Company; and</w:t>
      </w:r>
    </w:p>
    <w:p>
      <w:pPr>
        <w:spacing w:after="0" w:line="181" w:lineRule="exact"/>
        <w:rPr>
          <w:rFonts w:ascii="Times New Roman" w:cs="Times New Roman" w:eastAsia="Times New Roman" w:hAnsi="Times New Roman"/>
          <w:sz w:val="20"/>
          <w:szCs w:val="20"/>
          <w:color w:val="auto"/>
        </w:rPr>
      </w:pPr>
    </w:p>
    <w:p>
      <w:pPr>
        <w:jc w:val="both"/>
        <w:ind w:left="1300" w:hanging="644"/>
        <w:spacing w:after="0" w:line="253" w:lineRule="auto"/>
        <w:tabs>
          <w:tab w:leader="none" w:pos="1288"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Non-Independent Investor Director shall be at liberty from time to time to make full disclosure of any information relating to the Company to SBG, its Affiliates and to their respective directors, officers, employees and professional advisers, it being understood that any such information disclosed by it may be inside information and accordingly each Non-Independent Investor Director and any person that receives such inside information from the Non-Independent Investor Director shall agree not to deal, or permit or encourage any other person to deal, in any securities of the Company in breach of the requirements of any applicable laws, rules and regulations in relation to insider dealing or market abuse.</w:t>
      </w:r>
    </w:p>
    <w:p>
      <w:pPr>
        <w:spacing w:after="0" w:line="17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color w:val="010000"/>
        </w:rPr>
        <w:t>3.12</w:t>
      </w:r>
      <w:r>
        <w:rPr>
          <w:rFonts w:ascii="Times New Roman" w:cs="Times New Roman" w:eastAsia="Times New Roman" w:hAnsi="Times New Roman"/>
          <w:sz w:val="20"/>
          <w:szCs w:val="20"/>
          <w:color w:val="auto"/>
        </w:rPr>
        <w:tab/>
        <w:t>For the purposes of clause 3.4, the Board shall determine whether an Investor Director nominated by SBG as Independent qualifies as Independent. To the extent that any Investor Director is nominated by SBG as Independent and the Board, on the advice of external counsel, determines that such Investor Director does not qualify as Independent, SBG shall nominate another person to be an Independent Investor Director and the provisions of clauses 3.5 and 3.6 shall apply in relation to the appointment of such other Independent Investor Director.</w:t>
      </w:r>
    </w:p>
    <w:p>
      <w:pPr>
        <w:spacing w:after="0" w:line="17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color w:val="010000"/>
        </w:rPr>
        <w:t>3.13</w:t>
      </w:r>
      <w:r>
        <w:rPr>
          <w:rFonts w:ascii="Times New Roman" w:cs="Times New Roman" w:eastAsia="Times New Roman" w:hAnsi="Times New Roman"/>
          <w:sz w:val="20"/>
          <w:szCs w:val="20"/>
          <w:color w:val="auto"/>
        </w:rPr>
        <w:tab/>
        <w:t>If at any time the number of Investor Directors who qualify as Independent exceeds the applicable minimum number of Investor Directors required to qualify as Independent in accordance with clause 3.4 (the “</w:t>
      </w:r>
      <w:r>
        <w:rPr>
          <w:rFonts w:ascii="Times New Roman" w:cs="Times New Roman" w:eastAsia="Times New Roman" w:hAnsi="Times New Roman"/>
          <w:sz w:val="20"/>
          <w:szCs w:val="20"/>
          <w:b w:val="1"/>
          <w:bCs w:val="1"/>
          <w:color w:val="auto"/>
        </w:rPr>
        <w:t>Applicable Minimum</w:t>
      </w:r>
      <w:r>
        <w:rPr>
          <w:rFonts w:ascii="Times New Roman" w:cs="Times New Roman" w:eastAsia="Times New Roman" w:hAnsi="Times New Roman"/>
          <w:sz w:val="20"/>
          <w:szCs w:val="20"/>
          <w:color w:val="auto"/>
        </w:rPr>
        <w:t>”), SBG shall be entitled to designate (in its absolute discretion) by notice to the Company one of more Investor Directors who qualify as Independent above the Applicable Minimum to be Non-Independent Investor Directors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438" w:name="page439"/>
    <w:bookmarkEnd w:id="438"/>
    <w:p>
      <w:pPr>
        <w:ind w:left="660" w:hanging="652"/>
        <w:spacing w:after="0"/>
        <w:tabs>
          <w:tab w:leader="none" w:pos="660" w:val="left"/>
        </w:tabs>
        <w:numPr>
          <w:ilvl w:val="0"/>
          <w:numId w:val="3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Committee composition</w:t>
      </w:r>
    </w:p>
    <w:p>
      <w:pPr>
        <w:spacing w:after="0" w:line="2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4.1</w:t>
      </w:r>
      <w:r>
        <w:rPr>
          <w:sz w:val="20"/>
          <w:szCs w:val="20"/>
          <w:color w:val="auto"/>
        </w:rPr>
        <w:tab/>
      </w:r>
      <w:r>
        <w:rPr>
          <w:rFonts w:ascii="Times New Roman" w:cs="Times New Roman" w:eastAsia="Times New Roman" w:hAnsi="Times New Roman"/>
          <w:sz w:val="19"/>
          <w:szCs w:val="19"/>
          <w:color w:val="auto"/>
        </w:rPr>
        <w:t>The Board has and may constitute committees of directors from time to time, including:</w:t>
      </w:r>
    </w:p>
    <w:p>
      <w:pPr>
        <w:spacing w:after="0" w:line="216" w:lineRule="exact"/>
        <w:rPr>
          <w:sz w:val="20"/>
          <w:szCs w:val="20"/>
          <w:color w:val="auto"/>
        </w:rPr>
      </w:pPr>
    </w:p>
    <w:p>
      <w:pPr>
        <w:jc w:val="both"/>
        <w:ind w:left="1300" w:hanging="644"/>
        <w:spacing w:after="0" w:line="258" w:lineRule="auto"/>
        <w:tabs>
          <w:tab w:leader="none" w:pos="129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audit committee which shall consist of a minimum of three (3) members. As at the date of completion of the listing of the ADSs on Nasdaq, the parties intend that the audit committee will avail itself of limited phase-in rules applicable to new public companies under Rule 10A-3(b)(1)(iv)(A) under the Exchange Act, pursuant to which the Company will not be required to have a fully independent audit committee for one year following the Initial Public Offering.</w:t>
      </w:r>
    </w:p>
    <w:p>
      <w:pPr>
        <w:spacing w:after="0" w:line="18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remuneration committee which shall consist of a minimum of four (4) members. As at the date of completion of the listing of the ADSs on Nasdaq, the parties intend that the remuneration committee will consist of the following directors, subject to final confirmation by the Board:</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Masayoshi Son (who shall be appointed as chair);</w:t>
      </w:r>
    </w:p>
    <w:p>
      <w:pPr>
        <w:spacing w:after="0" w:line="229"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3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Ron Fisher;</w:t>
      </w:r>
    </w:p>
    <w:p>
      <w:pPr>
        <w:spacing w:after="0" w:line="229"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3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Jeff Sine; and</w:t>
      </w:r>
    </w:p>
    <w:p>
      <w:pPr>
        <w:spacing w:after="0" w:line="21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3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Rose Schooler.</w:t>
      </w:r>
    </w:p>
    <w:p>
      <w:pPr>
        <w:spacing w:after="0" w:line="229"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color w:val="010000"/>
        </w:rPr>
        <w:t>4.2</w:t>
      </w:r>
      <w:r>
        <w:rPr>
          <w:sz w:val="20"/>
          <w:szCs w:val="20"/>
          <w:color w:val="auto"/>
        </w:rPr>
        <w:tab/>
      </w:r>
      <w:r>
        <w:rPr>
          <w:rFonts w:ascii="Times New Roman" w:cs="Times New Roman" w:eastAsia="Times New Roman" w:hAnsi="Times New Roman"/>
          <w:sz w:val="20"/>
          <w:szCs w:val="20"/>
          <w:color w:val="auto"/>
        </w:rPr>
        <w:t>The Company shall cause to be appointed to any committee of the Board such number of directors nominated by SBG that is proportionate (rounding up to the next whole director) to the number of directors that SBG is entitled to nominate to the Board under this Agreement, to the extent such directors are permitted to serve on such committees under the applicable rules of the SEC and Nasdaq or by any other applicable stock exchange.</w:t>
      </w:r>
    </w:p>
    <w:p>
      <w:pPr>
        <w:spacing w:after="0" w:line="168" w:lineRule="exact"/>
        <w:rPr>
          <w:sz w:val="20"/>
          <w:szCs w:val="20"/>
          <w:color w:val="auto"/>
        </w:rPr>
      </w:pPr>
    </w:p>
    <w:p>
      <w:pPr>
        <w:ind w:left="660" w:hanging="652"/>
        <w:spacing w:after="0"/>
        <w:tabs>
          <w:tab w:leader="none" w:pos="660" w:val="left"/>
        </w:tabs>
        <w:numPr>
          <w:ilvl w:val="0"/>
          <w:numId w:val="3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Information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Accounting / financial reporting and disclosures</w:t>
      </w:r>
    </w:p>
    <w:p>
      <w:pPr>
        <w:spacing w:after="0" w:line="220"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010000"/>
        </w:rPr>
        <w:t>5.1</w:t>
      </w:r>
      <w:r>
        <w:rPr>
          <w:sz w:val="20"/>
          <w:szCs w:val="20"/>
          <w:color w:val="auto"/>
        </w:rPr>
        <w:tab/>
      </w:r>
      <w:r>
        <w:rPr>
          <w:rFonts w:ascii="Times New Roman" w:cs="Times New Roman" w:eastAsia="Times New Roman" w:hAnsi="Times New Roman"/>
          <w:sz w:val="20"/>
          <w:szCs w:val="20"/>
          <w:color w:val="auto"/>
        </w:rPr>
        <w:t>Until such time as SBG no longer consolidates the Company for the purposes of its consolidated financial statements or accounts for its investment in the Company under the equity method of accounting, and in any case for all financial periods commencing prior to the date of this Agreement, the Company shall (and shall procure that each of its Subsidiaries where applicable shall):</w:t>
      </w:r>
    </w:p>
    <w:p>
      <w:pPr>
        <w:spacing w:after="0" w:line="181" w:lineRule="exact"/>
        <w:rPr>
          <w:sz w:val="20"/>
          <w:szCs w:val="20"/>
          <w:color w:val="auto"/>
        </w:rPr>
      </w:pPr>
    </w:p>
    <w:p>
      <w:pPr>
        <w:jc w:val="both"/>
        <w:ind w:left="1300" w:hanging="644"/>
        <w:spacing w:after="0" w:line="261" w:lineRule="auto"/>
        <w:tabs>
          <w:tab w:leader="none" w:pos="129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in a timely manner provide SBG with information and data relating to the business and financial results of the Company and its Subsidiaries so as to enable SBG and its Affiliates to satisfy their respective ongoing financial reporting, audit and other legal and regulatory requirements;</w:t>
      </w:r>
    </w:p>
    <w:p>
      <w:pPr>
        <w:spacing w:after="0" w:line="181"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in a timely manner provide SBG with access to its auditors, personnel, data, information and systems, in each case in the same manner as it does immediately prior to the date of this Agreement and on or prior to any reasonable deadline set by SBG for receipt of such information, data or access;</w:t>
      </w:r>
    </w:p>
    <w:p>
      <w:pPr>
        <w:spacing w:after="0" w:line="181"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accounting systems and reporting formats with respect to its IFRS financial statements that are consistent with SBG’s financial accounting practices in effect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439" w:name="page440"/>
    <w:bookmarkEnd w:id="439"/>
    <w:p>
      <w:pPr>
        <w:ind w:left="1300"/>
        <w:spacing w:after="0" w:line="283" w:lineRule="auto"/>
        <w:rPr>
          <w:sz w:val="20"/>
          <w:szCs w:val="20"/>
          <w:color w:val="auto"/>
        </w:rPr>
      </w:pPr>
      <w:r>
        <w:rPr>
          <w:rFonts w:ascii="Times New Roman" w:cs="Times New Roman" w:eastAsia="Times New Roman" w:hAnsi="Times New Roman"/>
          <w:sz w:val="20"/>
          <w:szCs w:val="20"/>
          <w:color w:val="auto"/>
        </w:rPr>
        <w:t>of the date of this Agreement, and shall thereafter in good faith consider any changes to such systems or reporting formats requested by SBG;</w:t>
      </w:r>
    </w:p>
    <w:p>
      <w:pPr>
        <w:spacing w:after="0" w:line="146" w:lineRule="exact"/>
        <w:rPr>
          <w:sz w:val="20"/>
          <w:szCs w:val="20"/>
          <w:color w:val="auto"/>
        </w:rPr>
      </w:pPr>
    </w:p>
    <w:p>
      <w:pPr>
        <w:ind w:left="1300" w:hanging="644"/>
        <w:spacing w:after="0"/>
        <w:tabs>
          <w:tab w:leader="none" w:pos="130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Disclosure Controls and Procedures;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Internal Control Over Financial Reporting;</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95"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timely manner provide quarterly certifications from its relevant officers and employees regarding Disclosure Controls and Procedures and Internal Control Over Financial Reporting, as reasonably requested by SBG for compliance by SBG with any applicable law, regulation or exchange rules, including the Japan Financial Instruments and Exchange Law; and</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Sign Off Procedures;</w:t>
      </w:r>
    </w:p>
    <w:p>
      <w:pPr>
        <w:spacing w:after="0" w:line="22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8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inform SBG promptly of any events or developments that might reasonably be expected to materially affect the Company’s financial results; and</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8" w:lineRule="auto"/>
        <w:tabs>
          <w:tab w:leader="none" w:pos="129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consult with SBG in a timely manner (i) prior to the disclosure and filing of the Company’s annual and quarterly earnings information and related periodic reports and (ii) prior to the disclosure of any information that may reasonably be considered material to SBG or in which SBG is named, in each case taking into account all of SBG’s reasonable comments or advice prior to the filing thereof.</w:t>
      </w:r>
    </w:p>
    <w:p>
      <w:pPr>
        <w:spacing w:after="0" w:line="172" w:lineRule="exact"/>
        <w:rPr>
          <w:sz w:val="20"/>
          <w:szCs w:val="20"/>
          <w:color w:val="auto"/>
        </w:rPr>
      </w:pPr>
    </w:p>
    <w:p>
      <w:pPr>
        <w:jc w:val="both"/>
        <w:ind w:left="640" w:hanging="647"/>
        <w:spacing w:after="0" w:line="310" w:lineRule="auto"/>
        <w:tabs>
          <w:tab w:leader="none" w:pos="620" w:val="left"/>
        </w:tabs>
        <w:rPr>
          <w:sz w:val="20"/>
          <w:szCs w:val="20"/>
          <w:color w:val="auto"/>
        </w:rPr>
      </w:pPr>
      <w:r>
        <w:rPr>
          <w:rFonts w:ascii="Times New Roman" w:cs="Times New Roman" w:eastAsia="Times New Roman" w:hAnsi="Times New Roman"/>
          <w:sz w:val="20"/>
          <w:szCs w:val="20"/>
          <w:color w:val="010000"/>
        </w:rPr>
        <w:t>5.2</w:t>
      </w:r>
      <w:r>
        <w:rPr>
          <w:sz w:val="20"/>
          <w:szCs w:val="20"/>
          <w:color w:val="auto"/>
        </w:rPr>
        <w:tab/>
      </w:r>
      <w:r>
        <w:rPr>
          <w:rFonts w:ascii="Times New Roman" w:cs="Times New Roman" w:eastAsia="Times New Roman" w:hAnsi="Times New Roman"/>
          <w:sz w:val="19"/>
          <w:szCs w:val="19"/>
          <w:color w:val="auto"/>
        </w:rPr>
        <w:t>In connection with its provision of information to SBG pursuant to this clause 5, the Company may implement reasonable procedures to restrict access to such information to only those persons who SBG reasonably determines have a need to access such information.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reporting</w:t>
      </w:r>
    </w:p>
    <w:p>
      <w:pPr>
        <w:spacing w:after="0" w:line="220"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color w:val="010000"/>
        </w:rPr>
        <w:t>5.3</w:t>
      </w:r>
      <w:r>
        <w:rPr>
          <w:sz w:val="20"/>
          <w:szCs w:val="20"/>
          <w:color w:val="auto"/>
        </w:rPr>
        <w:tab/>
      </w:r>
      <w:r>
        <w:rPr>
          <w:rFonts w:ascii="Times New Roman" w:cs="Times New Roman" w:eastAsia="Times New Roman" w:hAnsi="Times New Roman"/>
          <w:sz w:val="20"/>
          <w:szCs w:val="20"/>
          <w:color w:val="auto"/>
        </w:rPr>
        <w:t>The Company shall provide SBG in a timely manner with all such information as SBG may reasonably require to facilitate the compliance by SBG and its Affiliates with their respective global legal, regulatory and Tax obligations (including, without limitation, the requirements of the Japanese controlled foreign company regime and the Global Anti-Base Erosion rules published by the Organisation for Economic Co-operation and Development on 20 December 2021 as amended or expanded in guidance and any domestic or supranational rules implementing those rules).</w:t>
      </w:r>
    </w:p>
    <w:p>
      <w:pPr>
        <w:spacing w:after="0" w:line="188" w:lineRule="exact"/>
        <w:rPr>
          <w:sz w:val="20"/>
          <w:szCs w:val="20"/>
          <w:color w:val="auto"/>
        </w:rPr>
      </w:pPr>
    </w:p>
    <w:p>
      <w:pPr>
        <w:ind w:left="660" w:hanging="652"/>
        <w:spacing w:after="0"/>
        <w:tabs>
          <w:tab w:leader="none" w:pos="660" w:val="left"/>
        </w:tabs>
        <w:numPr>
          <w:ilvl w:val="0"/>
          <w:numId w:val="3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Matters requiring SBG consent and consultation</w:t>
      </w:r>
    </w:p>
    <w:p>
      <w:pPr>
        <w:spacing w:after="0" w:line="233"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color w:val="010000"/>
        </w:rPr>
        <w:t>6.1</w:t>
      </w:r>
      <w:r>
        <w:rPr>
          <w:sz w:val="20"/>
          <w:szCs w:val="20"/>
          <w:color w:val="auto"/>
        </w:rPr>
        <w:tab/>
      </w:r>
      <w:r>
        <w:rPr>
          <w:rFonts w:ascii="Times New Roman" w:cs="Times New Roman" w:eastAsia="Times New Roman" w:hAnsi="Times New Roman"/>
          <w:sz w:val="20"/>
          <w:szCs w:val="20"/>
          <w:color w:val="auto"/>
        </w:rPr>
        <w:t>The rights granted to SBG under this Agreement shall be without prejudice to and in addition to the rights granted to Shareholders under English law (including under the Act) and the Articles of Association.</w:t>
      </w:r>
    </w:p>
    <w:p>
      <w:pPr>
        <w:spacing w:after="0" w:line="17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color w:val="010000"/>
        </w:rPr>
        <w:t>6.2</w:t>
      </w:r>
      <w:r>
        <w:rPr>
          <w:sz w:val="20"/>
          <w:szCs w:val="20"/>
          <w:color w:val="auto"/>
        </w:rPr>
        <w:tab/>
      </w:r>
      <w:r>
        <w:rPr>
          <w:rFonts w:ascii="Times New Roman" w:cs="Times New Roman" w:eastAsia="Times New Roman" w:hAnsi="Times New Roman"/>
          <w:sz w:val="20"/>
          <w:szCs w:val="20"/>
          <w:color w:val="auto"/>
        </w:rPr>
        <w:t>At any time (i) the Equity Proportion exceeds 50 per cent. or (ii) SBG consolidates the Company for the purposes of its consolidated financial statements, the Company shall not, and shall procure that its Subsidiaries shall not, take any action or pass any resolution in relation to the establishment of any new employee incentive plan or share scheme or expansion of any existing plan or scheme (including any share option, employee share ownership, employees’ trust or other similar equity-related incentive scheme) in each case, unless the maximum number of Shares over which rights may be issued does not exceed five (5) per cent. of the issued share capital of the Company at the time of adoption or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440" w:name="page441"/>
    <w:bookmarkEnd w:id="440"/>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of such plan or scheme without the prior written consent of SBG, provided that such requirement for the prior written consent of SBG shall not apply to any employee incentive plan or share scheme in place at the time of completion of the listing of the ADSs on Nasdaq.</w:t>
      </w:r>
    </w:p>
    <w:p>
      <w:pPr>
        <w:spacing w:after="0" w:line="18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20"/>
          <w:szCs w:val="20"/>
          <w:color w:val="010000"/>
        </w:rPr>
        <w:t>6.3</w:t>
      </w:r>
      <w:r>
        <w:rPr>
          <w:sz w:val="20"/>
          <w:szCs w:val="20"/>
          <w:color w:val="auto"/>
        </w:rPr>
        <w:tab/>
      </w:r>
      <w:r>
        <w:rPr>
          <w:rFonts w:ascii="Times New Roman" w:cs="Times New Roman" w:eastAsia="Times New Roman" w:hAnsi="Times New Roman"/>
          <w:sz w:val="20"/>
          <w:szCs w:val="20"/>
          <w:color w:val="auto"/>
        </w:rPr>
        <w:t>At any time SBG consolidates the Company for the purposes of its consolidated financial statements, in the event that the Company proposes to: (a) change its independent auditor to a firm that is outside of the professional services network commonly referred to as the “Big Four auditing firms”; or (b) make any material changes to its accounting policies applicable to its financial statements prepared in accordance with IFRS, the Company shall provide SBG with prior written notice of such proposed changes, consult with SBG in good faith regarding the rationale for such proposed changes and shall use its reasonable endeavours to resolve any disagreement and obtain SBG’s consent to such proposed changes.</w:t>
      </w:r>
    </w:p>
    <w:p>
      <w:pPr>
        <w:spacing w:after="0" w:line="179"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color w:val="010000"/>
        </w:rPr>
        <w:t>6.4</w:t>
      </w:r>
      <w:r>
        <w:rPr>
          <w:sz w:val="20"/>
          <w:szCs w:val="20"/>
          <w:color w:val="auto"/>
        </w:rPr>
        <w:tab/>
      </w:r>
      <w:r>
        <w:rPr>
          <w:rFonts w:ascii="Times New Roman" w:cs="Times New Roman" w:eastAsia="Times New Roman" w:hAnsi="Times New Roman"/>
          <w:sz w:val="20"/>
          <w:szCs w:val="20"/>
          <w:color w:val="auto"/>
        </w:rPr>
        <w:t>Notwithstanding the above, in the event that SBG has not provided its consent to such proposed changes within 30 calendar days of receipt of written notice of such proposed changes and after good faith consultation by the Company, the Company may adopt such changes upon a determination by the Board that such changes are in the best interests of the Company and its shareholders as a whole.</w:t>
      </w:r>
    </w:p>
    <w:p>
      <w:pPr>
        <w:spacing w:after="0" w:line="186"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20"/>
          <w:szCs w:val="20"/>
          <w:color w:val="010000"/>
        </w:rPr>
        <w:t>6.5</w:t>
      </w:r>
      <w:r>
        <w:rPr>
          <w:sz w:val="20"/>
          <w:szCs w:val="20"/>
          <w:color w:val="auto"/>
        </w:rPr>
        <w:tab/>
      </w:r>
      <w:r>
        <w:rPr>
          <w:rFonts w:ascii="Times New Roman" w:cs="Times New Roman" w:eastAsia="Times New Roman" w:hAnsi="Times New Roman"/>
          <w:sz w:val="20"/>
          <w:szCs w:val="20"/>
          <w:color w:val="auto"/>
        </w:rPr>
        <w:t>At any time SBG consolidates the Company for the purposes of its consolidated financial statements, the entry by the Company into any contracts or arrangements that would bind SBG or its Affiliates where SBG or such Affiliates are not party to such contracts or arrangements or involve the use or license of the SoftBank brand name will be subject to SBG's prior written consent in compliance with the SBG Group Company Management Regulations.</w:t>
      </w:r>
    </w:p>
    <w:p>
      <w:pPr>
        <w:spacing w:after="0" w:line="172"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010000"/>
        </w:rPr>
        <w:t>6.6</w:t>
      </w:r>
      <w:r>
        <w:rPr>
          <w:sz w:val="20"/>
          <w:szCs w:val="20"/>
          <w:color w:val="auto"/>
        </w:rPr>
        <w:tab/>
      </w:r>
      <w:r>
        <w:rPr>
          <w:rFonts w:ascii="Times New Roman" w:cs="Times New Roman" w:eastAsia="Times New Roman" w:hAnsi="Times New Roman"/>
          <w:sz w:val="20"/>
          <w:szCs w:val="20"/>
          <w:color w:val="auto"/>
        </w:rPr>
        <w:t>The Chairman, or such other Investor Director as SBG may nominate from time to time (by giving notice in writing to the Company), shall be authorised to communicate in writing the consent of SBG to any of the matters referred to in this clause 6.</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010000"/>
        </w:rPr>
        <w:t>6.7</w:t>
      </w:r>
      <w:r>
        <w:rPr>
          <w:sz w:val="20"/>
          <w:szCs w:val="20"/>
          <w:color w:val="auto"/>
        </w:rPr>
        <w:tab/>
      </w:r>
      <w:r>
        <w:rPr>
          <w:rFonts w:ascii="Times New Roman" w:cs="Times New Roman" w:eastAsia="Times New Roman" w:hAnsi="Times New Roman"/>
          <w:sz w:val="19"/>
          <w:szCs w:val="19"/>
          <w:color w:val="auto"/>
        </w:rPr>
        <w:t>Without prejudice to clause 6.6, SBG may provide its consent to any of the matters referred to in this clause 6 in the following ways:</w:t>
      </w:r>
    </w:p>
    <w:p>
      <w:pPr>
        <w:spacing w:after="0" w:line="229" w:lineRule="exact"/>
        <w:rPr>
          <w:sz w:val="20"/>
          <w:szCs w:val="20"/>
          <w:color w:val="auto"/>
        </w:rPr>
      </w:pPr>
    </w:p>
    <w:p>
      <w:pPr>
        <w:ind w:left="1300" w:hanging="644"/>
        <w:spacing w:after="0"/>
        <w:tabs>
          <w:tab w:leader="none" w:pos="130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document signed (including by electronic means) by SBG or by an authorised representative of SBG; or</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email from a designated authorised officer, specifying the title and authority of such officer, of SBG expressly giving such consent on behalf of SBG.</w:t>
      </w:r>
    </w:p>
    <w:p>
      <w:pPr>
        <w:spacing w:after="0" w:line="156" w:lineRule="exact"/>
        <w:rPr>
          <w:sz w:val="20"/>
          <w:szCs w:val="20"/>
          <w:color w:val="auto"/>
        </w:rPr>
      </w:pPr>
    </w:p>
    <w:p>
      <w:pPr>
        <w:ind w:left="660" w:hanging="652"/>
        <w:spacing w:after="0"/>
        <w:tabs>
          <w:tab w:leader="none" w:pos="660" w:val="left"/>
        </w:tabs>
        <w:numPr>
          <w:ilvl w:val="0"/>
          <w:numId w:val="3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Pre-emption rights</w:t>
      </w:r>
    </w:p>
    <w:p>
      <w:pPr>
        <w:spacing w:after="0" w:line="220"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20"/>
          <w:szCs w:val="20"/>
          <w:color w:val="010000"/>
        </w:rPr>
        <w:t>7.1</w:t>
      </w:r>
      <w:r>
        <w:rPr>
          <w:sz w:val="20"/>
          <w:szCs w:val="20"/>
          <w:color w:val="auto"/>
        </w:rPr>
        <w:tab/>
      </w:r>
      <w:r>
        <w:rPr>
          <w:rFonts w:ascii="Times New Roman" w:cs="Times New Roman" w:eastAsia="Times New Roman" w:hAnsi="Times New Roman"/>
          <w:sz w:val="20"/>
          <w:szCs w:val="20"/>
          <w:color w:val="auto"/>
        </w:rPr>
        <w:t>Without prejudice to any rights that SBG and/or its Affiliates may have under applicable law, and for so long as the Equity Proportion is 20% or more, if the Company proposes to allot or issue any Shares, options, warrants or other securities convertible into or exercisable for Shares, other than (i) pursuant to an offer made to all holders of Ordinary Shares on the same terms; or (ii) in connection with any employee incentive plan or share option scheme otherwise approved by SBG in accordance with clause 6.2 hereof, it must first give written notice to SBG (an “</w:t>
      </w:r>
      <w:r>
        <w:rPr>
          <w:rFonts w:ascii="Times New Roman" w:cs="Times New Roman" w:eastAsia="Times New Roman" w:hAnsi="Times New Roman"/>
          <w:sz w:val="20"/>
          <w:szCs w:val="20"/>
          <w:b w:val="1"/>
          <w:bCs w:val="1"/>
          <w:color w:val="auto"/>
        </w:rPr>
        <w:t>Offer Notice</w:t>
      </w:r>
      <w:r>
        <w:rPr>
          <w:rFonts w:ascii="Times New Roman" w:cs="Times New Roman" w:eastAsia="Times New Roman" w:hAnsi="Times New Roman"/>
          <w:sz w:val="20"/>
          <w:szCs w:val="20"/>
          <w:color w:val="auto"/>
        </w:rPr>
        <w:t>”) as soon as reasonably practicable (after consent for that allotment and issue is granted by SBG in accordance with clause 6 if applicable) inviting SBG and/or its Affiliates to subscribe for such number of Shares, options, warrants or other securities convertible into or exercisable for Shares as shall enable SBG and its Affiliates to maintain the proportion of their legal and economic rights in the share capital or, as the case may be, relevant class of share capital of the Company held immediately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441" w:name="page442"/>
    <w:bookmarkEnd w:id="441"/>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allotment and issue (an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and for these purposes, in relation to an allotment or issue for the first time of any class of Share other than Ordinary Shares (“</w:t>
      </w:r>
      <w:r>
        <w:rPr>
          <w:rFonts w:ascii="Times New Roman" w:cs="Times New Roman" w:eastAsia="Times New Roman" w:hAnsi="Times New Roman"/>
          <w:sz w:val="20"/>
          <w:szCs w:val="20"/>
          <w:b w:val="1"/>
          <w:bCs w:val="1"/>
          <w:color w:val="auto"/>
        </w:rPr>
        <w:t>New Shares</w:t>
      </w:r>
      <w:r>
        <w:rPr>
          <w:rFonts w:ascii="Times New Roman" w:cs="Times New Roman" w:eastAsia="Times New Roman" w:hAnsi="Times New Roman"/>
          <w:sz w:val="20"/>
          <w:szCs w:val="20"/>
          <w:color w:val="auto"/>
        </w:rPr>
        <w:t>”) or of options, warrants or other securities convertible into or exerciseable for a previously unissued class of New Shares, the proportion of SBG and/or its Affiliates’ legal and economic rights to such New Shares shall be deemed to be the percentage of the Equity Share Capital held by SBG and its Affiliates. SBG and/or its Affiliates may accept an Offer in whole or in part. An Offer Notice shall be sent to SBG and must specify:</w:t>
      </w:r>
    </w:p>
    <w:p>
      <w:pPr>
        <w:spacing w:after="0" w:line="191" w:lineRule="exact"/>
        <w:rPr>
          <w:sz w:val="20"/>
          <w:szCs w:val="20"/>
          <w:color w:val="auto"/>
        </w:rPr>
      </w:pPr>
    </w:p>
    <w:p>
      <w:pPr>
        <w:ind w:left="1300" w:right="20" w:hanging="644"/>
        <w:spacing w:after="0" w:line="283" w:lineRule="auto"/>
        <w:tabs>
          <w:tab w:leader="none" w:pos="129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 number and price of the Shares proposed to be issued, the price of which will be determined by the Board, acting reasonably and in good faith, taking into account the market value of the existing Shares at the time;</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(being not less than 15 Business Days) within which the Offer (if not accepted) will be deemed to have been rejected;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attaching to the Offer; and</w:t>
      </w:r>
    </w:p>
    <w:p>
      <w:pPr>
        <w:spacing w:after="0" w:line="229"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subscription or transfer mechanics applicable to SBG should it accept the Offer (including the account details into which any subscription price should be paid).</w:t>
      </w:r>
    </w:p>
    <w:p>
      <w:pPr>
        <w:spacing w:after="0" w:line="14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010000"/>
        </w:rPr>
        <w:t>7.2</w:t>
      </w:r>
      <w:r>
        <w:rPr>
          <w:sz w:val="20"/>
          <w:szCs w:val="20"/>
          <w:color w:val="auto"/>
        </w:rPr>
        <w:tab/>
      </w:r>
      <w:r>
        <w:rPr>
          <w:rFonts w:ascii="Times New Roman" w:cs="Times New Roman" w:eastAsia="Times New Roman" w:hAnsi="Times New Roman"/>
          <w:sz w:val="20"/>
          <w:szCs w:val="20"/>
          <w:color w:val="auto"/>
        </w:rPr>
        <w:t>After the expiration of the Offer Period referred to in clause 7.1(b), to the extent that an Offer has not been accepted by SBG and/or its Affiliates, as the case may be, the Board shall be entitled to dispose of any Shares so offered and which are not accepted in such manner as the Board may determine.</w:t>
      </w:r>
    </w:p>
    <w:p>
      <w:pPr>
        <w:spacing w:after="0" w:line="177" w:lineRule="exact"/>
        <w:rPr>
          <w:sz w:val="20"/>
          <w:szCs w:val="20"/>
          <w:color w:val="auto"/>
        </w:rPr>
      </w:pPr>
    </w:p>
    <w:p>
      <w:pPr>
        <w:ind w:left="660" w:hanging="652"/>
        <w:spacing w:after="0"/>
        <w:tabs>
          <w:tab w:leader="none" w:pos="660" w:val="left"/>
        </w:tabs>
        <w:numPr>
          <w:ilvl w:val="0"/>
          <w:numId w:val="3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33"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010000"/>
        </w:rPr>
        <w:t>8.1</w:t>
      </w:r>
      <w:r>
        <w:rPr>
          <w:sz w:val="20"/>
          <w:szCs w:val="20"/>
          <w:color w:val="auto"/>
        </w:rPr>
        <w:tab/>
      </w:r>
      <w:r>
        <w:rPr>
          <w:rFonts w:ascii="Times New Roman" w:cs="Times New Roman" w:eastAsia="Times New Roman" w:hAnsi="Times New Roman"/>
          <w:sz w:val="20"/>
          <w:szCs w:val="20"/>
          <w:color w:val="auto"/>
        </w:rPr>
        <w:t>Notwithstanding the provisions of any policy, procedure or other internal document of the Company and/or its Subsidiaries, including the Company’s related party transaction policy to be implemented prior to the completion of the listing of the ADSs on Nasdaq, and for so long as SBG is a “related party” under such related party transaction policy, all Related Party Transactions shall be presented to the Company’s audit committee and the following process shall apply:</w:t>
      </w:r>
    </w:p>
    <w:p>
      <w:pPr>
        <w:spacing w:after="0" w:line="187" w:lineRule="exact"/>
        <w:rPr>
          <w:sz w:val="20"/>
          <w:szCs w:val="20"/>
          <w:color w:val="auto"/>
        </w:rPr>
      </w:pPr>
    </w:p>
    <w:p>
      <w:pPr>
        <w:jc w:val="both"/>
        <w:ind w:left="1300" w:hanging="644"/>
        <w:spacing w:after="0" w:line="253" w:lineRule="auto"/>
        <w:tabs>
          <w:tab w:leader="none" w:pos="129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or arrangements existing on or before the date of this Agreement (as disclosed in the Company’s registration statement on Form-1 as filed with the SEC) and including immaterial amendments of such transactions or arrangements will be exempt from the review and/or approval or ratification requirements of the Company’s related party transaction policy, provided that any extensions or material amendments to any such transactions or arrangements shall be subject to the review and/or approval or ratification of the Company’s audit committee;</w:t>
      </w:r>
    </w:p>
    <w:p>
      <w:pPr>
        <w:spacing w:after="0" w:line="191" w:lineRule="exact"/>
        <w:rPr>
          <w:rFonts w:ascii="Times New Roman" w:cs="Times New Roman" w:eastAsia="Times New Roman" w:hAnsi="Times New Roman"/>
          <w:sz w:val="20"/>
          <w:szCs w:val="20"/>
          <w:color w:val="auto"/>
        </w:rPr>
      </w:pPr>
    </w:p>
    <w:p>
      <w:pPr>
        <w:jc w:val="both"/>
        <w:ind w:left="1300" w:hanging="644"/>
        <w:spacing w:after="0" w:line="253" w:lineRule="auto"/>
        <w:tabs>
          <w:tab w:leader="none" w:pos="1288"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or arrangements in the ordinary course of the Company’s or its Subsidiaries’ business and carried out upon terms generally available to third parties will be exempt from the review and/or approval or ratification requirements of the Company’s related party transaction policy, provided that any determination required as to whether such transaction or arrangement is deemed to be in the ordinary course of the Company’s or its Subsidiaries’ business shall be made by the Company’s audit committee and provided further that any such transaction or series of transactions with a value of in excess of US$20 million must be presented to the Board for review and approval or ratification; and</w:t>
      </w:r>
    </w:p>
    <w:p>
      <w:pPr>
        <w:spacing w:after="0" w:line="178"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or arrangements proposed to be carried out at arm’s length or upon terms generally available to third parties will be exempt from the review and/or approval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442" w:name="page443"/>
    <w:bookmarkEnd w:id="442"/>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ratification requirements of the Company’s related party transaction policy, provided that any determination required as to whether such transaction or arrangement is deemed to be on arm’s length terms shall be subject to the review of the Company’s audit committee and provided further that such transaction or arrangement must be presented to the Board for review and approval or ratification.</w:t>
      </w:r>
    </w:p>
    <w:p>
      <w:pPr>
        <w:spacing w:after="0" w:line="172" w:lineRule="exact"/>
        <w:rPr>
          <w:sz w:val="20"/>
          <w:szCs w:val="20"/>
          <w:color w:val="auto"/>
        </w:rPr>
      </w:pPr>
    </w:p>
    <w:p>
      <w:pPr>
        <w:jc w:val="both"/>
        <w:ind w:left="640" w:right="2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010000"/>
        </w:rPr>
        <w:t>8.2</w:t>
      </w:r>
      <w:r>
        <w:rPr>
          <w:sz w:val="20"/>
          <w:szCs w:val="20"/>
          <w:color w:val="auto"/>
        </w:rPr>
        <w:tab/>
      </w:r>
      <w:r>
        <w:rPr>
          <w:rFonts w:ascii="Times New Roman" w:cs="Times New Roman" w:eastAsia="Times New Roman" w:hAnsi="Times New Roman"/>
          <w:sz w:val="20"/>
          <w:szCs w:val="20"/>
          <w:color w:val="auto"/>
        </w:rPr>
        <w:t>If one or more directors on the audit committee do not qualify as Independent; all determinations required to be made by the audit committee in accordance with this clause 8 shall be made by those directors on the audit committee which qualify as Independent.</w:t>
      </w:r>
    </w:p>
    <w:p>
      <w:pPr>
        <w:spacing w:after="0" w:line="160" w:lineRule="exact"/>
        <w:rPr>
          <w:sz w:val="20"/>
          <w:szCs w:val="20"/>
          <w:color w:val="auto"/>
        </w:rPr>
      </w:pPr>
    </w:p>
    <w:p>
      <w:pPr>
        <w:jc w:val="both"/>
        <w:ind w:left="640" w:hanging="647"/>
        <w:spacing w:after="0" w:line="251" w:lineRule="auto"/>
        <w:tabs>
          <w:tab w:leader="none" w:pos="620" w:val="left"/>
        </w:tabs>
        <w:rPr>
          <w:sz w:val="20"/>
          <w:szCs w:val="20"/>
          <w:color w:val="auto"/>
        </w:rPr>
      </w:pPr>
      <w:r>
        <w:rPr>
          <w:rFonts w:ascii="Times New Roman" w:cs="Times New Roman" w:eastAsia="Times New Roman" w:hAnsi="Times New Roman"/>
          <w:sz w:val="20"/>
          <w:szCs w:val="20"/>
          <w:color w:val="010000"/>
        </w:rPr>
        <w:t>8.3</w:t>
      </w:r>
      <w:r>
        <w:rPr>
          <w:sz w:val="20"/>
          <w:szCs w:val="20"/>
          <w:color w:val="auto"/>
        </w:rPr>
        <w:tab/>
      </w:r>
      <w:r>
        <w:rPr>
          <w:rFonts w:ascii="Times New Roman" w:cs="Times New Roman" w:eastAsia="Times New Roman" w:hAnsi="Times New Roman"/>
          <w:sz w:val="20"/>
          <w:szCs w:val="20"/>
          <w:color w:val="auto"/>
        </w:rPr>
        <w:t xml:space="preserve">The Company agrees that it will at all times establish and maintain standing approvals of certain customary matters that might otherwise qualify as Related Party Transactions, including those relating to (i) employment arrangements, (ii) the compensation and indemnification of directors of the Board, (iii) matters or relationships that are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in the context of the Company’s business,</w:t>
      </w:r>
    </w:p>
    <w:p>
      <w:pPr>
        <w:spacing w:after="0" w:line="2" w:lineRule="exact"/>
        <w:rPr>
          <w:sz w:val="20"/>
          <w:szCs w:val="20"/>
          <w:color w:val="auto"/>
        </w:rPr>
      </w:pPr>
    </w:p>
    <w:p>
      <w:pPr>
        <w:ind w:left="1000" w:hanging="344"/>
        <w:spacing w:after="0"/>
        <w:tabs>
          <w:tab w:leader="none" w:pos="10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charitable contributions or (v) transactions or arrangements where all Shareholders receive proportional benefits.</w:t>
      </w:r>
    </w:p>
    <w:p>
      <w:pPr>
        <w:spacing w:after="0" w:line="20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Registration rights</w:t>
      </w:r>
    </w:p>
    <w:p>
      <w:pPr>
        <w:spacing w:after="0" w:line="233"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agreed that SBG shall be entitled to registration rights on the terms set out in Schedule 1.</w:t>
      </w:r>
    </w:p>
    <w:p>
      <w:pPr>
        <w:spacing w:after="0" w:line="211"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3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listing</w:t>
      </w:r>
    </w:p>
    <w:p>
      <w:pPr>
        <w:spacing w:after="0" w:line="233"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Company seeks a subsequent listing on the London Stock Exchange, the parties shall agree in good faith any modifications required by the relevant listing rules to the rights of SBG pursuant to this Agreement, and any such modifications will be documented by an amendment and restatement of the terms hereto and in the Articles of Association.</w:t>
      </w:r>
    </w:p>
    <w:p>
      <w:pPr>
        <w:spacing w:after="0" w:line="177"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3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 and waivers</w:t>
      </w:r>
    </w:p>
    <w:p>
      <w:pPr>
        <w:spacing w:after="0" w:line="220"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color w:val="010000"/>
        </w:rPr>
        <w:t>11.1</w:t>
      </w:r>
      <w:r>
        <w:rPr>
          <w:sz w:val="20"/>
          <w:szCs w:val="20"/>
          <w:color w:val="auto"/>
        </w:rPr>
        <w:tab/>
      </w:r>
      <w:r>
        <w:rPr>
          <w:rFonts w:ascii="Times New Roman" w:cs="Times New Roman" w:eastAsia="Times New Roman" w:hAnsi="Times New Roman"/>
          <w:sz w:val="19"/>
          <w:szCs w:val="19"/>
          <w:color w:val="auto"/>
        </w:rPr>
        <w:t>Each of the Company and SBG acknowledges and agrees that damages alone may not be an adequate remedy for the breach of any of the undertakings or obligations as set out in this Agreement. Accordingly, each of the Company and SBG agrees that notwithstanding any express remedies provided under this Agreement and without prejudice to any other rights and remedies which the parties may have, the remedies of injunction, order for specific performance and/or other equitable relief shall be available for any anticipated, threatened or actual breach of the terms of this Agreement. In addition, each of the Company and SBG acknowledges and agrees that it will not raise any objection to the application by or on behalf of the other party for any such remedies.</w:t>
      </w:r>
    </w:p>
    <w:p>
      <w:pPr>
        <w:spacing w:after="0" w:line="178"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010000"/>
        </w:rPr>
        <w:t>11.2</w:t>
      </w:r>
      <w:r>
        <w:rPr>
          <w:rFonts w:ascii="Times New Roman" w:cs="Times New Roman" w:eastAsia="Times New Roman" w:hAnsi="Times New Roman"/>
          <w:sz w:val="20"/>
          <w:szCs w:val="20"/>
          <w:color w:val="auto"/>
        </w:rPr>
        <w:tab/>
        <w:t>No failure on the part of a party to exercise, and no delay in exercising and no course of dealing with respect to, any right or remedy or power provided by law or under this Agreement or any other documents referred to in it shall affect that right, power or remedy or operate as a waiver thereof.</w:t>
      </w:r>
    </w:p>
    <w:p>
      <w:pPr>
        <w:spacing w:after="0" w:line="168" w:lineRule="exact"/>
        <w:rPr>
          <w:sz w:val="20"/>
          <w:szCs w:val="20"/>
          <w:color w:val="auto"/>
        </w:rPr>
      </w:pPr>
    </w:p>
    <w:p>
      <w:pPr>
        <w:jc w:val="both"/>
        <w:ind w:left="64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010000"/>
        </w:rPr>
        <w:t>11.3</w:t>
      </w:r>
      <w:r>
        <w:rPr>
          <w:rFonts w:ascii="Times New Roman" w:cs="Times New Roman" w:eastAsia="Times New Roman" w:hAnsi="Times New Roman"/>
          <w:sz w:val="20"/>
          <w:szCs w:val="20"/>
          <w:color w:val="auto"/>
        </w:rPr>
        <w:tab/>
        <w:t>The single or partial exercise of any right, power or remedy provided by law or under this Agreement shall not preclude any other or further exercise of it or the exercise of any other right, power or remedy.</w:t>
      </w:r>
    </w:p>
    <w:p>
      <w:pPr>
        <w:spacing w:after="0" w:line="160"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Times New Roman" w:cs="Times New Roman" w:eastAsia="Times New Roman" w:hAnsi="Times New Roman"/>
          <w:sz w:val="20"/>
          <w:szCs w:val="20"/>
          <w:color w:val="010000"/>
        </w:rPr>
        <w:t>11.4</w:t>
      </w:r>
      <w:r>
        <w:rPr>
          <w:rFonts w:ascii="Times New Roman" w:cs="Times New Roman" w:eastAsia="Times New Roman" w:hAnsi="Times New Roman"/>
          <w:sz w:val="20"/>
          <w:szCs w:val="20"/>
          <w:color w:val="auto"/>
        </w:rPr>
        <w:tab/>
        <w:t>The rights, powers and remedies provided in this Agreement are cumulative and not exclusive of any rights, powers and remedies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443" w:name="page444"/>
    <w:bookmarkEnd w:id="443"/>
    <w:p>
      <w:pPr>
        <w:ind w:left="640" w:hanging="632"/>
        <w:spacing w:after="0"/>
        <w:tabs>
          <w:tab w:leader="none" w:pos="640" w:val="left"/>
        </w:tabs>
        <w:numPr>
          <w:ilvl w:val="0"/>
          <w:numId w:val="3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Variation</w:t>
      </w:r>
    </w:p>
    <w:p>
      <w:pPr>
        <w:spacing w:after="0" w:line="233"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variation of this Agreement shall be effective unless in writing and signed by or on behalf of each of the parties to this Agreement.</w:t>
      </w:r>
    </w:p>
    <w:p>
      <w:pPr>
        <w:spacing w:after="0" w:line="168"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3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20"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010000"/>
        </w:rPr>
        <w:t>13.1</w:t>
      </w:r>
      <w:r>
        <w:rPr>
          <w:rFonts w:ascii="Times New Roman" w:cs="Times New Roman" w:eastAsia="Times New Roman" w:hAnsi="Times New Roman"/>
          <w:sz w:val="20"/>
          <w:szCs w:val="20"/>
          <w:color w:val="auto"/>
        </w:rPr>
        <w:tab/>
        <w:t>This Agreement may be terminated with the prior written consent of all of the parties hereto, save that nothing in this clause shall release any party from liability for breaches of this Agreement which occurred prior to its termination.</w:t>
      </w:r>
    </w:p>
    <w:p>
      <w:pPr>
        <w:spacing w:after="0" w:line="16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13.2</w:t>
      </w:r>
      <w:r>
        <w:rPr>
          <w:rFonts w:ascii="Times New Roman" w:cs="Times New Roman" w:eastAsia="Times New Roman" w:hAnsi="Times New Roman"/>
          <w:sz w:val="20"/>
          <w:szCs w:val="20"/>
          <w:color w:val="auto"/>
        </w:rPr>
        <w:tab/>
        <w:t>SBG shall cease to be a party to this Agreement for the purpose of receiving benefits and enforcing its rights with effect from the date SBG and/or its Affiliates cease to hold or beneficially own less than five per cent of the outstanding Shares (but without prejudice to any benefits and rights accrued prior to such cessation).</w:t>
      </w:r>
    </w:p>
    <w:p>
      <w:pPr>
        <w:spacing w:after="0" w:line="164" w:lineRule="exact"/>
        <w:rPr>
          <w:sz w:val="20"/>
          <w:szCs w:val="20"/>
          <w:color w:val="auto"/>
        </w:rPr>
      </w:pPr>
    </w:p>
    <w:p>
      <w:pPr>
        <w:ind w:left="640" w:hanging="632"/>
        <w:spacing w:after="0"/>
        <w:tabs>
          <w:tab w:leader="none" w:pos="640" w:val="left"/>
        </w:tabs>
        <w:numPr>
          <w:ilvl w:val="0"/>
          <w:numId w:val="3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transfer</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010000"/>
        </w:rPr>
        <w:t>14.1</w:t>
      </w:r>
      <w:r>
        <w:rPr>
          <w:sz w:val="20"/>
          <w:szCs w:val="20"/>
          <w:color w:val="auto"/>
        </w:rPr>
        <w:tab/>
      </w:r>
      <w:r>
        <w:rPr>
          <w:rFonts w:ascii="Times New Roman" w:cs="Times New Roman" w:eastAsia="Times New Roman" w:hAnsi="Times New Roman"/>
          <w:sz w:val="19"/>
          <w:szCs w:val="19"/>
          <w:color w:val="auto"/>
        </w:rPr>
        <w:t>Subject to clause 14.3, this Agreement is personal to the parties and no party shall:</w:t>
      </w:r>
    </w:p>
    <w:p>
      <w:pPr>
        <w:spacing w:after="0" w:line="229" w:lineRule="exact"/>
        <w:rPr>
          <w:sz w:val="20"/>
          <w:szCs w:val="20"/>
          <w:color w:val="auto"/>
        </w:rPr>
      </w:pPr>
    </w:p>
    <w:p>
      <w:pPr>
        <w:ind w:left="1300" w:hanging="644"/>
        <w:spacing w:after="0"/>
        <w:tabs>
          <w:tab w:leader="none" w:pos="130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 any of its rights under this Agreement;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any of its obligations under this Agreement;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sub-contract or delegate any of its obligations under this Agreement;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 or deal in any other manner with this Agreement or any of its rights or obligations.</w:t>
      </w:r>
    </w:p>
    <w:p>
      <w:pPr>
        <w:spacing w:after="0" w:line="229"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010000"/>
        </w:rPr>
        <w:t>14.2</w:t>
      </w:r>
      <w:r>
        <w:rPr>
          <w:rFonts w:ascii="Times New Roman" w:cs="Times New Roman" w:eastAsia="Times New Roman" w:hAnsi="Times New Roman"/>
          <w:sz w:val="20"/>
          <w:szCs w:val="20"/>
          <w:color w:val="auto"/>
        </w:rPr>
        <w:tab/>
        <w:t>Any purported assignment, transfer, sub-contracting, delegation, charging or dealing in contravention of clause 14.1 shall be ineffective.</w:t>
      </w:r>
    </w:p>
    <w:p>
      <w:pPr>
        <w:spacing w:after="0" w:line="14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color w:val="010000"/>
        </w:rPr>
        <w:t>14.3</w:t>
      </w:r>
      <w:r>
        <w:rPr>
          <w:rFonts w:ascii="Times New Roman" w:cs="Times New Roman" w:eastAsia="Times New Roman" w:hAnsi="Times New Roman"/>
          <w:sz w:val="20"/>
          <w:szCs w:val="20"/>
          <w:color w:val="auto"/>
        </w:rPr>
        <w:tab/>
        <w:t>Subject to clause 14.4, the parties acknowledge that SBG may at all times elect to transfer its Shares to an Affiliate and SBG may, subject to applicable law, assign the whole or any part of its rights under this Agreement to any such transferee; provided, however, that SBG’s rights under this Agreement may not be transferred, in whole or in part, to any Affiliate which is engaged in business or activities that reasonably could be expected to compete with the Company, provided further, however, that this will not apply to any transfer by SBG to any Existing Fund or a successor fund to an Existing Fund.</w:t>
      </w:r>
    </w:p>
    <w:p>
      <w:pPr>
        <w:spacing w:after="0" w:line="19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color w:val="010000"/>
        </w:rPr>
        <w:t>14.4</w:t>
      </w:r>
      <w:r>
        <w:rPr>
          <w:rFonts w:ascii="Times New Roman" w:cs="Times New Roman" w:eastAsia="Times New Roman" w:hAnsi="Times New Roman"/>
          <w:sz w:val="20"/>
          <w:szCs w:val="20"/>
          <w:color w:val="auto"/>
        </w:rPr>
        <w:tab/>
        <w:t>SBG agrees that, where it proposes pursuant to clause 14.3 to transfer its Shares and/or to assign the whole or any part of its rights under this Agreement to an Affiliate that is a fund and such fund is not either (i) an Existing Fund; or (ii) a successor fund to an Existing Fund, prior to any such transfer, SBG will notify the proposed transfer to, and consult in good faith with, the Board. If the Board determines, having received a written opinion of counsel from a reputable law firm that provides reasonable grounds for the Board so to determine that the identity of the investors, and their respective interests in such fund, would be reasonably expected to cause a material adverse legal or regulatory issue to the Company and its Subsidiaries, taken as a whole, SBG may not effect such transfer without the prior written consent of the Company.</w:t>
      </w:r>
    </w:p>
    <w:p>
      <w:pPr>
        <w:spacing w:after="0" w:line="179"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010000"/>
        </w:rPr>
        <w:t>14.5</w:t>
      </w:r>
      <w:r>
        <w:rPr>
          <w:rFonts w:ascii="Times New Roman" w:cs="Times New Roman" w:eastAsia="Times New Roman" w:hAnsi="Times New Roman"/>
          <w:sz w:val="20"/>
          <w:szCs w:val="20"/>
          <w:color w:val="auto"/>
        </w:rPr>
        <w:tab/>
        <w:t>For the avoidance of doubt, the restrictions on transfer of Shares and assignment of rights set out in clause 14.4 shall not apply to any change in control of SBG.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444" w:name="page445"/>
    <w:bookmarkEnd w:id="444"/>
    <w:p>
      <w:pPr>
        <w:ind w:left="640" w:hanging="632"/>
        <w:spacing w:after="0"/>
        <w:tabs>
          <w:tab w:leader="none" w:pos="640" w:val="left"/>
        </w:tabs>
        <w:numPr>
          <w:ilvl w:val="0"/>
          <w:numId w:val="3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rights</w:t>
      </w:r>
    </w:p>
    <w:p>
      <w:pPr>
        <w:spacing w:after="0" w:line="233"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person who is not a party to this Agreement shall have no right under the Contracts (Rights of Third Parties) Act 1999 to enforce any of its terms.</w:t>
      </w:r>
    </w:p>
    <w:p>
      <w:pPr>
        <w:spacing w:after="0" w:line="168"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3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010000"/>
        </w:rPr>
        <w:t>16.1</w:t>
      </w:r>
      <w:r>
        <w:rPr>
          <w:sz w:val="20"/>
          <w:szCs w:val="20"/>
          <w:color w:val="auto"/>
        </w:rPr>
        <w:tab/>
      </w:r>
      <w:r>
        <w:rPr>
          <w:rFonts w:ascii="Times New Roman" w:cs="Times New Roman" w:eastAsia="Times New Roman" w:hAnsi="Times New Roman"/>
          <w:sz w:val="19"/>
          <w:szCs w:val="19"/>
          <w:color w:val="auto"/>
        </w:rPr>
        <w:t>A notice or other communication (a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under this Agreement shall only be effective if it is in writing.</w:t>
      </w:r>
    </w:p>
    <w:p>
      <w:pPr>
        <w:spacing w:after="0" w:line="233" w:lineRule="exact"/>
        <w:rPr>
          <w:sz w:val="20"/>
          <w:szCs w:val="20"/>
          <w:color w:val="auto"/>
        </w:rPr>
      </w:pPr>
    </w:p>
    <w:p>
      <w:pPr>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010000"/>
        </w:rPr>
        <w:t>16.2</w:t>
      </w:r>
      <w:r>
        <w:rPr>
          <w:rFonts w:ascii="Times New Roman" w:cs="Times New Roman" w:eastAsia="Times New Roman" w:hAnsi="Times New Roman"/>
          <w:sz w:val="20"/>
          <w:szCs w:val="20"/>
          <w:color w:val="auto"/>
        </w:rPr>
        <w:tab/>
        <w:t>Notices under this Agreement shall be sent to a party at its address or email address and for the attention of the individual set out below:</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The Company</w:t>
      </w:r>
    </w:p>
    <w:p>
      <w:pPr>
        <w:sectPr>
          <w:pgSz w:w="11900" w:h="16838" w:orient="portrait"/>
          <w:cols w:equalWidth="0" w:num="1">
            <w:col w:w="11240"/>
          </w:cols>
          <w:pgMar w:left="320" w:top="1409" w:right="339" w:bottom="1440" w:gutter="0" w:footer="0" w:header="0"/>
        </w:sect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Address: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9"/>
          <w:szCs w:val="19"/>
          <w:color w:val="auto"/>
        </w:rPr>
        <w:t>110 Fulbourn Road, Cambridge, Cambridgeshire CB1 9NJ, United Kingdom</w:t>
      </w:r>
    </w:p>
    <w:p>
      <w:pPr>
        <w:spacing w:after="0" w:line="65" w:lineRule="exact"/>
        <w:rPr>
          <w:sz w:val="20"/>
          <w:szCs w:val="20"/>
          <w:color w:val="auto"/>
        </w:rPr>
      </w:pPr>
    </w:p>
    <w:p>
      <w:pPr>
        <w:sectPr>
          <w:pgSz w:w="11900" w:h="16838" w:orient="portrait"/>
          <w:cols w:equalWidth="0" w:num="2">
            <w:col w:w="2560" w:space="720"/>
            <w:col w:w="7960"/>
          </w:cols>
          <w:pgMar w:left="320" w:top="1409"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20"/>
          <w:szCs w:val="20"/>
          <w:color w:val="auto"/>
        </w:rPr>
        <w:t>E-mail address: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For the attention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Spencer Collins, Company Secretary</w:t>
      </w:r>
    </w:p>
    <w:p>
      <w:pPr>
        <w:spacing w:after="0" w:line="200" w:lineRule="exact"/>
        <w:rPr>
          <w:sz w:val="20"/>
          <w:szCs w:val="20"/>
          <w:color w:val="auto"/>
        </w:rPr>
      </w:pPr>
    </w:p>
    <w:p>
      <w:pPr>
        <w:sectPr>
          <w:pgSz w:w="11900" w:h="16838" w:orient="portrait"/>
          <w:cols w:equalWidth="0" w:num="2">
            <w:col w:w="2560" w:space="720"/>
            <w:col w:w="7960"/>
          </w:cols>
          <w:pgMar w:left="320" w:top="1409" w:right="339" w:bottom="1440" w:gutter="0" w:footer="0" w:header="0"/>
          <w:type w:val="continuous"/>
        </w:sectPr>
      </w:pP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SBG</w:t>
      </w:r>
    </w:p>
    <w:p>
      <w:pPr>
        <w:sectPr>
          <w:pgSz w:w="11900" w:h="16838" w:orient="portrait"/>
          <w:cols w:equalWidth="0" w:num="1">
            <w:col w:w="11240"/>
          </w:cols>
          <w:pgMar w:left="320" w:top="1409" w:right="339" w:bottom="1440" w:gutter="0" w:footer="0" w:header="0"/>
          <w:type w:val="continuous"/>
        </w:sectPr>
      </w:pPr>
    </w:p>
    <w:p>
      <w:pPr>
        <w:spacing w:after="0" w:line="2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Address: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E-mail address:</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For the attention of:</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1-7-1 Kaigan, Minato-ku, Tokyo 105-7537, Japan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Timothy Mackey</w:t>
      </w:r>
    </w:p>
    <w:p>
      <w:pPr>
        <w:spacing w:after="0" w:line="200" w:lineRule="exact"/>
        <w:rPr>
          <w:sz w:val="20"/>
          <w:szCs w:val="20"/>
          <w:color w:val="auto"/>
        </w:rPr>
      </w:pPr>
    </w:p>
    <w:p>
      <w:pPr>
        <w:sectPr>
          <w:pgSz w:w="11900" w:h="16838" w:orient="portrait"/>
          <w:cols w:equalWidth="0" w:num="2">
            <w:col w:w="2560" w:space="720"/>
            <w:col w:w="7960"/>
          </w:cols>
          <w:pgMar w:left="320" w:top="1409" w:right="339" w:bottom="1440" w:gutter="0" w:footer="0" w:header="0"/>
          <w:type w:val="continuous"/>
        </w:sectPr>
      </w:pPr>
    </w:p>
    <w:p>
      <w:pPr>
        <w:spacing w:after="0" w:line="122"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provided that a party may change its notice details on giving notice to the other party of the change in accordance with this clause 16.2.</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010000"/>
        </w:rPr>
        <w:t>16.3</w:t>
      </w:r>
      <w:r>
        <w:rPr>
          <w:sz w:val="20"/>
          <w:szCs w:val="20"/>
          <w:color w:val="auto"/>
        </w:rPr>
        <w:tab/>
      </w:r>
      <w:r>
        <w:rPr>
          <w:rFonts w:ascii="Times New Roman" w:cs="Times New Roman" w:eastAsia="Times New Roman" w:hAnsi="Times New Roman"/>
          <w:sz w:val="19"/>
          <w:szCs w:val="19"/>
          <w:color w:val="auto"/>
        </w:rPr>
        <w:t>Any Notice given under this Agreement shall, in the absence of earlier receipt, be deemed to have been duly given as follows:</w:t>
      </w:r>
    </w:p>
    <w:p>
      <w:pPr>
        <w:spacing w:after="0" w:line="216" w:lineRule="exact"/>
        <w:rPr>
          <w:sz w:val="20"/>
          <w:szCs w:val="20"/>
          <w:color w:val="auto"/>
        </w:rPr>
      </w:pPr>
    </w:p>
    <w:p>
      <w:pPr>
        <w:ind w:left="1300" w:hanging="644"/>
        <w:spacing w:after="0"/>
        <w:tabs>
          <w:tab w:leader="none" w:pos="1300"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personally, on delivery;</w:t>
      </w:r>
    </w:p>
    <w:p>
      <w:pPr>
        <w:spacing w:after="0" w:line="229"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by e-mail, at the time of transmission, provided that no automated notification of delivery failure or non-receipt has been received by the sender;</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first class post, recorded delivery or registered post, two clear Business Days after the date of posting;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registered airmail, five Business Days from the date of posting.</w:t>
      </w:r>
    </w:p>
    <w:p>
      <w:pPr>
        <w:spacing w:after="0" w:line="21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Announcements</w:t>
      </w:r>
    </w:p>
    <w:p>
      <w:pPr>
        <w:spacing w:after="0" w:line="23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17.1</w:t>
      </w:r>
      <w:r>
        <w:rPr>
          <w:rFonts w:ascii="Times New Roman" w:cs="Times New Roman" w:eastAsia="Times New Roman" w:hAnsi="Times New Roman"/>
          <w:sz w:val="20"/>
          <w:szCs w:val="20"/>
          <w:color w:val="auto"/>
        </w:rPr>
        <w:tab/>
        <w:t>Except in accordance with the remainder of this clause 17 or clause 18.2, the Company shall not make any public announcement or issue a press release or respond to any enquiry from the press or other media concerning or relating to this Agreement or its subject matter or any ancillary matter, without the prior written approval of SBG (to the extent permissible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type w:val="continuous"/>
        </w:sectPr>
      </w:pPr>
    </w:p>
    <w:bookmarkStart w:id="445" w:name="page446"/>
    <w:bookmarkEnd w:id="445"/>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010000"/>
        </w:rPr>
        <w:t>17.2</w:t>
      </w:r>
      <w:r>
        <w:rPr>
          <w:rFonts w:ascii="Times New Roman" w:cs="Times New Roman" w:eastAsia="Times New Roman" w:hAnsi="Times New Roman"/>
          <w:sz w:val="20"/>
          <w:szCs w:val="20"/>
          <w:color w:val="auto"/>
        </w:rPr>
        <w:tab/>
        <w:t>Notwithstanding clause 17.1, any party may make or permit to be made an announcement concerning or relating to this Agreement or its subject matter or any ancillary matter with the prior written approval of SBG and the Board or if and to the extent required by:</w:t>
      </w:r>
    </w:p>
    <w:p>
      <w:pPr>
        <w:spacing w:after="0" w:line="146" w:lineRule="exact"/>
        <w:rPr>
          <w:sz w:val="20"/>
          <w:szCs w:val="20"/>
          <w:color w:val="auto"/>
        </w:rPr>
      </w:pPr>
    </w:p>
    <w:p>
      <w:pPr>
        <w:ind w:left="1300" w:hanging="644"/>
        <w:spacing w:after="0"/>
        <w:tabs>
          <w:tab w:leader="none" w:pos="130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securities exchange on which such party’s securities are listed or traded;</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regulatory or governmental or other authority with relevant powers to which such party is subject or submits, whether or not the requirement has the force of law; or</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court order.</w:t>
      </w:r>
    </w:p>
    <w:p>
      <w:pPr>
        <w:spacing w:after="0" w:line="21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0"/>
          <w:szCs w:val="20"/>
          <w:color w:val="010000"/>
        </w:rPr>
        <w:t>17.3</w:t>
      </w:r>
      <w:r>
        <w:rPr>
          <w:rFonts w:ascii="Times New Roman" w:cs="Times New Roman" w:eastAsia="Times New Roman" w:hAnsi="Times New Roman"/>
          <w:sz w:val="20"/>
          <w:szCs w:val="20"/>
          <w:color w:val="auto"/>
        </w:rPr>
        <w:tab/>
        <w:t>Notwithstanding clause 17.1, any party may make or permit to be made an announcement concerning or relating to this Agreement or its subject matter or any ancillary matter if a party or an Affiliate of a party whose securities are listed on a stock exchange reasonably determines that such announcement, in connection with an earnings presentation or other investor relations briefing, is prudent and consistent with such entity’s past disclosure practices.</w:t>
      </w:r>
    </w:p>
    <w:p>
      <w:pPr>
        <w:spacing w:after="0" w:line="182" w:lineRule="exact"/>
        <w:rPr>
          <w:sz w:val="20"/>
          <w:szCs w:val="20"/>
          <w:color w:val="auto"/>
        </w:rPr>
      </w:pPr>
    </w:p>
    <w:p>
      <w:pPr>
        <w:ind w:left="640" w:hanging="632"/>
        <w:spacing w:after="0"/>
        <w:tabs>
          <w:tab w:leader="none" w:pos="640" w:val="left"/>
        </w:tabs>
        <w:numPr>
          <w:ilvl w:val="0"/>
          <w:numId w:val="3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18.1</w:t>
      </w:r>
      <w:r>
        <w:rPr>
          <w:rFonts w:ascii="Times New Roman" w:cs="Times New Roman" w:eastAsia="Times New Roman" w:hAnsi="Times New Roman"/>
          <w:sz w:val="20"/>
          <w:szCs w:val="20"/>
          <w:color w:val="auto"/>
        </w:rPr>
        <w:tab/>
        <w:t>Subject to clause 18.2, each of the parties agrees to keep secret and confidential and not to use, disclose or divulge to any third party or to enable or cause any person to become aware of (except for the purposes of the Company’s business) any Confidential Information of the other party.</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010000"/>
        </w:rPr>
        <w:t>18.2</w:t>
      </w:r>
      <w:r>
        <w:rPr>
          <w:sz w:val="20"/>
          <w:szCs w:val="20"/>
          <w:color w:val="auto"/>
        </w:rPr>
        <w:tab/>
      </w:r>
      <w:r>
        <w:rPr>
          <w:rFonts w:ascii="Times New Roman" w:cs="Times New Roman" w:eastAsia="Times New Roman" w:hAnsi="Times New Roman"/>
          <w:sz w:val="19"/>
          <w:szCs w:val="19"/>
          <w:color w:val="auto"/>
        </w:rPr>
        <w:t>Each party shall be at liberty from time to time to make such disclosure, as applicable:</w:t>
      </w:r>
    </w:p>
    <w:p>
      <w:pPr>
        <w:spacing w:after="0" w:line="229" w:lineRule="exact"/>
        <w:rPr>
          <w:sz w:val="20"/>
          <w:szCs w:val="20"/>
          <w:color w:val="auto"/>
        </w:rPr>
      </w:pPr>
    </w:p>
    <w:p>
      <w:pPr>
        <w:ind w:left="1300" w:hanging="644"/>
        <w:spacing w:after="0"/>
        <w:tabs>
          <w:tab w:leader="none" w:pos="130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SBG’s Affiliates (other than, in the case of SBG, to the Subsidiaries of the Company) from time to time;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by any tax authority in connection with its Tax affairs;</w:t>
      </w:r>
    </w:p>
    <w:p>
      <w:pPr>
        <w:spacing w:after="0" w:line="229" w:lineRule="exact"/>
        <w:rPr>
          <w:rFonts w:ascii="Times New Roman" w:cs="Times New Roman" w:eastAsia="Times New Roman" w:hAnsi="Times New Roman"/>
          <w:sz w:val="20"/>
          <w:szCs w:val="20"/>
          <w:color w:val="auto"/>
        </w:rPr>
      </w:pPr>
    </w:p>
    <w:p>
      <w:pPr>
        <w:jc w:val="both"/>
        <w:ind w:left="1300" w:hanging="644"/>
        <w:spacing w:after="0" w:line="253" w:lineRule="auto"/>
        <w:tabs>
          <w:tab w:leader="none" w:pos="129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shall be required by law or by any regulatory authority to which SBG is subject or by the rules of any stock exchange upon which SBG’s securities are listed or traded, or (ii) if a party or an Affiliate of a party whose securities are listed on a stock exchange reasonably determines that disclosure of the existence or content of any of the Confidential Information in connection with an earnings presentation or other investor relations briefing is prudent and consistent with such entity’s past disclosure practices;</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auditors and/or any other professional advisers of the Company;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SBG’s professional advisers and the professional advisers of SBG’s Affiliates,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in relation to the business affairs and financial position of the Company as it may in its reasonable discretion think necessary for the management of its affairs, provided that the recipient is subject to an obligation to keep the disclosed Confidential Information confidential on the same basis as is required by SBG pursuant to this Agreement.</w:t>
      </w:r>
    </w:p>
    <w:p>
      <w:pPr>
        <w:spacing w:after="0" w:line="18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18.3</w:t>
      </w:r>
      <w:r>
        <w:rPr>
          <w:rFonts w:ascii="Times New Roman" w:cs="Times New Roman" w:eastAsia="Times New Roman" w:hAnsi="Times New Roman"/>
          <w:sz w:val="20"/>
          <w:szCs w:val="20"/>
          <w:color w:val="auto"/>
        </w:rPr>
        <w:tab/>
        <w:t>SBG shall procure that its Investor Director(s) shall comply with this clause 18 save that a Non-Independent Investor Director shall be at liberty from time to time to make full disclosure to SBG and its Affiliates of any information relating to the Company (provided that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413" w:right="339" w:bottom="1440" w:gutter="0" w:footer="0" w:header="0"/>
          <w:type w:val="continuous"/>
        </w:sectPr>
      </w:pPr>
    </w:p>
    <w:bookmarkStart w:id="446" w:name="page447"/>
    <w:bookmarkEnd w:id="446"/>
    <w:p>
      <w:pPr>
        <w:ind w:left="660"/>
        <w:spacing w:after="0" w:line="283" w:lineRule="auto"/>
        <w:rPr>
          <w:sz w:val="20"/>
          <w:szCs w:val="20"/>
          <w:color w:val="auto"/>
        </w:rPr>
      </w:pPr>
      <w:r>
        <w:rPr>
          <w:rFonts w:ascii="Times New Roman" w:cs="Times New Roman" w:eastAsia="Times New Roman" w:hAnsi="Times New Roman"/>
          <w:sz w:val="20"/>
          <w:szCs w:val="20"/>
          <w:color w:val="auto"/>
        </w:rPr>
        <w:t>the recipient is subject to an obligation to keep the disclosed Confidential Information confidential on the same basis as is required pursuant to this Agreement).</w:t>
      </w:r>
    </w:p>
    <w:p>
      <w:pPr>
        <w:spacing w:after="0" w:line="142" w:lineRule="exact"/>
        <w:rPr>
          <w:sz w:val="20"/>
          <w:szCs w:val="20"/>
          <w:color w:val="auto"/>
        </w:rPr>
      </w:pPr>
    </w:p>
    <w:p>
      <w:pPr>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010000"/>
        </w:rPr>
        <w:t>18.4</w:t>
      </w:r>
      <w:r>
        <w:rPr>
          <w:rFonts w:ascii="Times New Roman" w:cs="Times New Roman" w:eastAsia="Times New Roman" w:hAnsi="Times New Roman"/>
          <w:sz w:val="20"/>
          <w:szCs w:val="20"/>
          <w:color w:val="auto"/>
        </w:rPr>
        <w:tab/>
        <w:t>For the purposes of this clause 18,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any information or know-how of a secret or confidential nature relating to the Company or to SBG, including:</w:t>
      </w:r>
    </w:p>
    <w:p>
      <w:pPr>
        <w:spacing w:after="0" w:line="142" w:lineRule="exact"/>
        <w:rPr>
          <w:sz w:val="20"/>
          <w:szCs w:val="20"/>
          <w:color w:val="auto"/>
        </w:rPr>
      </w:pPr>
    </w:p>
    <w:p>
      <w:pPr>
        <w:ind w:left="1300" w:hanging="644"/>
        <w:spacing w:after="0" w:line="283" w:lineRule="auto"/>
        <w:tabs>
          <w:tab w:leader="none" w:pos="129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information or trading information relating to the Company or SBG which a party may receive or obtain as a result of entering into this Agreement;</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Company, information concerning:</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finances and financial data, business transactions, dealings and affairs, and prospective business transactions;</w:t>
      </w:r>
    </w:p>
    <w:p>
      <w:pPr>
        <w:spacing w:after="0" w:line="229"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operational model, its business plans and sales and marketing information, plans and strategies;</w:t>
      </w:r>
    </w:p>
    <w:p>
      <w:pPr>
        <w:spacing w:after="0" w:line="215"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customers, including customer lists, customer identities and contact details, and customer requirements;</w:t>
      </w:r>
    </w:p>
    <w:p>
      <w:pPr>
        <w:spacing w:after="0" w:line="229" w:lineRule="exact"/>
        <w:rPr>
          <w:rFonts w:ascii="Times New Roman" w:cs="Times New Roman" w:eastAsia="Times New Roman" w:hAnsi="Times New Roman"/>
          <w:sz w:val="20"/>
          <w:szCs w:val="20"/>
          <w:color w:val="010000"/>
        </w:rPr>
      </w:pPr>
    </w:p>
    <w:p>
      <w:pPr>
        <w:ind w:left="1960" w:hanging="656"/>
        <w:spacing w:after="0" w:line="283" w:lineRule="auto"/>
        <w:tabs>
          <w:tab w:leader="none" w:pos="1949"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existing or planned product lines, services, price lists and pricing structures (including discounts, special prices or special contract terms offered to or agreed with customers);</w:t>
      </w:r>
    </w:p>
    <w:p>
      <w:pPr>
        <w:spacing w:after="0" w:line="146" w:lineRule="exact"/>
        <w:rPr>
          <w:rFonts w:ascii="Times New Roman" w:cs="Times New Roman" w:eastAsia="Times New Roman" w:hAnsi="Times New Roman"/>
          <w:sz w:val="20"/>
          <w:szCs w:val="20"/>
          <w:color w:val="010000"/>
        </w:rPr>
      </w:pPr>
    </w:p>
    <w:p>
      <w:pPr>
        <w:ind w:left="1960" w:right="20" w:hanging="656"/>
        <w:spacing w:after="0" w:line="283" w:lineRule="auto"/>
        <w:tabs>
          <w:tab w:leader="none" w:pos="1948"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technology or methodology associated with concepts, products and services including research activities and the techniques and processes used for development of concepts, products and services;</w:t>
      </w:r>
    </w:p>
    <w:p>
      <w:pPr>
        <w:spacing w:after="0" w:line="146" w:lineRule="exact"/>
        <w:rPr>
          <w:rFonts w:ascii="Times New Roman" w:cs="Times New Roman" w:eastAsia="Times New Roman" w:hAnsi="Times New Roman"/>
          <w:sz w:val="20"/>
          <w:szCs w:val="20"/>
          <w:color w:val="010000"/>
        </w:rPr>
      </w:pPr>
    </w:p>
    <w:p>
      <w:pPr>
        <w:ind w:left="1960" w:hanging="656"/>
        <w:spacing w:after="0" w:line="283" w:lineRule="auto"/>
        <w:tabs>
          <w:tab w:leader="none" w:pos="1949"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computer systems, source codes and software, including software and technical information necessary for the development, maintenance or operation of websites;</w:t>
      </w:r>
    </w:p>
    <w:p>
      <w:pPr>
        <w:spacing w:after="0" w:line="15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current and prospective Intellectual Property;</w:t>
      </w:r>
    </w:p>
    <w:p>
      <w:pPr>
        <w:spacing w:after="0" w:line="215" w:lineRule="exact"/>
        <w:rPr>
          <w:rFonts w:ascii="Times New Roman" w:cs="Times New Roman" w:eastAsia="Times New Roman" w:hAnsi="Times New Roman"/>
          <w:sz w:val="20"/>
          <w:szCs w:val="20"/>
          <w:color w:val="010000"/>
        </w:rPr>
      </w:pPr>
    </w:p>
    <w:p>
      <w:pPr>
        <w:ind w:left="1960" w:hanging="656"/>
        <w:spacing w:after="0" w:line="283" w:lineRule="auto"/>
        <w:tabs>
          <w:tab w:leader="none" w:pos="1951"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directors, officers, employees and shareholders (including salaries, bonuses, commissions and the terms on which such individuals are employed or engaged, and decisions or contents of board meetings);</w:t>
      </w:r>
    </w:p>
    <w:p>
      <w:pPr>
        <w:spacing w:after="0" w:line="146" w:lineRule="exact"/>
        <w:rPr>
          <w:rFonts w:ascii="Times New Roman" w:cs="Times New Roman" w:eastAsia="Times New Roman" w:hAnsi="Times New Roman"/>
          <w:sz w:val="20"/>
          <w:szCs w:val="20"/>
          <w:color w:val="010000"/>
        </w:rPr>
      </w:pPr>
    </w:p>
    <w:p>
      <w:pPr>
        <w:jc w:val="both"/>
        <w:ind w:left="1960" w:hanging="656"/>
        <w:spacing w:after="0" w:line="261" w:lineRule="auto"/>
        <w:tabs>
          <w:tab w:leader="none" w:pos="1949"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its suppliers, licensors, licensees, agents, distributors, or contractors, or any collaboration agreements with third parties, including the identity of such parties and the terms on which they do business, or participate in any form of commercial co-operation with the Company;</w:t>
      </w:r>
    </w:p>
    <w:p>
      <w:pPr>
        <w:spacing w:after="0" w:line="181" w:lineRule="exact"/>
        <w:rPr>
          <w:rFonts w:ascii="Times New Roman" w:cs="Times New Roman" w:eastAsia="Times New Roman" w:hAnsi="Times New Roman"/>
          <w:sz w:val="20"/>
          <w:szCs w:val="20"/>
          <w:color w:val="010000"/>
        </w:rPr>
      </w:pPr>
    </w:p>
    <w:p>
      <w:pPr>
        <w:jc w:val="both"/>
        <w:ind w:left="1960" w:hanging="656"/>
        <w:spacing w:after="0" w:line="261" w:lineRule="auto"/>
        <w:tabs>
          <w:tab w:leader="none" w:pos="1948" w:val="left"/>
        </w:tabs>
        <w:numPr>
          <w:ilvl w:val="1"/>
          <w:numId w:val="3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information concerning or provided to third parties, in respect of which the Company owes a duty of confidence (in particular but without limitation, the content of discussions or communications with any prospective customer or prospective business partner);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447" w:name="page448"/>
    <w:bookmarkEnd w:id="447"/>
    <w:p>
      <w:pPr>
        <w:ind w:left="1960" w:hanging="656"/>
        <w:spacing w:after="0" w:line="283" w:lineRule="auto"/>
        <w:tabs>
          <w:tab w:leader="none" w:pos="1949" w:val="left"/>
        </w:tabs>
        <w:numPr>
          <w:ilvl w:val="1"/>
          <w:numId w:val="3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information which it may reasonably be expected would be regarded by a company as confidential or commercially sensitive, but shall not include any information which:</w:t>
      </w:r>
    </w:p>
    <w:p>
      <w:pPr>
        <w:spacing w:after="0" w:line="146" w:lineRule="exact"/>
        <w:rPr>
          <w:rFonts w:ascii="Times New Roman" w:cs="Times New Roman" w:eastAsia="Times New Roman" w:hAnsi="Times New Roman"/>
          <w:sz w:val="20"/>
          <w:szCs w:val="20"/>
          <w:color w:val="010000"/>
        </w:rPr>
      </w:pPr>
    </w:p>
    <w:p>
      <w:pPr>
        <w:ind w:left="2600" w:hanging="648"/>
        <w:spacing w:after="0" w:line="283" w:lineRule="auto"/>
        <w:tabs>
          <w:tab w:leader="none" w:pos="2591" w:val="left"/>
        </w:tabs>
        <w:numPr>
          <w:ilvl w:val="2"/>
          <w:numId w:val="3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or which becomes (other than through a breach of this Agreement), available in the public domain or otherwise available to the public generally;</w:t>
      </w:r>
    </w:p>
    <w:p>
      <w:pPr>
        <w:spacing w:after="0" w:line="146"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2"/>
          <w:numId w:val="3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at the time of disclosure, already known to the receiving party without restriction on disclosure;</w:t>
      </w:r>
    </w:p>
    <w:p>
      <w:pPr>
        <w:spacing w:after="0" w:line="229" w:lineRule="exact"/>
        <w:rPr>
          <w:rFonts w:ascii="Times New Roman" w:cs="Times New Roman" w:eastAsia="Times New Roman" w:hAnsi="Times New Roman"/>
          <w:sz w:val="20"/>
          <w:szCs w:val="20"/>
          <w:color w:val="010000"/>
        </w:rPr>
      </w:pPr>
    </w:p>
    <w:p>
      <w:pPr>
        <w:ind w:left="2600" w:hanging="648"/>
        <w:spacing w:after="0" w:line="283" w:lineRule="auto"/>
        <w:tabs>
          <w:tab w:leader="none" w:pos="2594" w:val="left"/>
        </w:tabs>
        <w:numPr>
          <w:ilvl w:val="2"/>
          <w:numId w:val="3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or subsequently comes, into the possession of the receiving party without violation of any obligation of confidentiality;</w:t>
      </w:r>
    </w:p>
    <w:p>
      <w:pPr>
        <w:spacing w:after="0" w:line="146"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2"/>
          <w:numId w:val="3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independently developed by the receiving party without breach of this Agreement;</w:t>
      </w:r>
    </w:p>
    <w:p>
      <w:pPr>
        <w:spacing w:after="0" w:line="229" w:lineRule="exact"/>
        <w:rPr>
          <w:rFonts w:ascii="Times New Roman" w:cs="Times New Roman" w:eastAsia="Times New Roman" w:hAnsi="Times New Roman"/>
          <w:sz w:val="20"/>
          <w:szCs w:val="20"/>
          <w:color w:val="010000"/>
        </w:rPr>
      </w:pPr>
    </w:p>
    <w:p>
      <w:pPr>
        <w:ind w:left="2600" w:hanging="648"/>
        <w:spacing w:after="0" w:line="269" w:lineRule="auto"/>
        <w:tabs>
          <w:tab w:leader="none" w:pos="2596" w:val="left"/>
        </w:tabs>
        <w:numPr>
          <w:ilvl w:val="2"/>
          <w:numId w:val="3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explicitly approved for release by the written consent of an authorised representative of the disclosing party; or</w:t>
      </w:r>
    </w:p>
    <w:p>
      <w:pPr>
        <w:spacing w:after="0" w:line="172" w:lineRule="exact"/>
        <w:rPr>
          <w:rFonts w:ascii="Times New Roman" w:cs="Times New Roman" w:eastAsia="Times New Roman" w:hAnsi="Times New Roman"/>
          <w:sz w:val="20"/>
          <w:szCs w:val="20"/>
          <w:color w:val="010000"/>
        </w:rPr>
      </w:pPr>
    </w:p>
    <w:p>
      <w:pPr>
        <w:jc w:val="both"/>
        <w:ind w:left="2600" w:hanging="648"/>
        <w:spacing w:after="0" w:line="261" w:lineRule="auto"/>
        <w:tabs>
          <w:tab w:leader="none" w:pos="2599" w:val="left"/>
        </w:tabs>
        <w:numPr>
          <w:ilvl w:val="2"/>
          <w:numId w:val="3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party is required to disclose by law, by any securities exchange on which such party’s securities are listed or traded, by any regulatory or governmental or other authority with relevant powers to which such party is subject or submits, whether or not the requirement has the force of law, or by any court order.</w:t>
      </w:r>
    </w:p>
    <w:p>
      <w:pPr>
        <w:spacing w:after="0" w:line="177" w:lineRule="exact"/>
        <w:rPr>
          <w:rFonts w:ascii="Times New Roman" w:cs="Times New Roman" w:eastAsia="Times New Roman" w:hAnsi="Times New Roman"/>
          <w:sz w:val="20"/>
          <w:szCs w:val="20"/>
          <w:color w:val="010000"/>
        </w:rPr>
      </w:pPr>
    </w:p>
    <w:p>
      <w:pPr>
        <w:ind w:left="640" w:hanging="632"/>
        <w:spacing w:after="0"/>
        <w:tabs>
          <w:tab w:leader="none" w:pos="640"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Costs and expenses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provided below and as otherwise stated in this Agreement, each party shall pay its own costs, expenses, Taxes and fees in relation to the negotiation, preparation, execution and carrying into effect of this Agreement and the transactions contemplated thereby.</w:t>
      </w:r>
    </w:p>
    <w:p>
      <w:pPr>
        <w:spacing w:after="0" w:line="157"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3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20.1</w:t>
      </w:r>
      <w:r>
        <w:rPr>
          <w:rFonts w:ascii="Times New Roman" w:cs="Times New Roman" w:eastAsia="Times New Roman" w:hAnsi="Times New Roman"/>
          <w:sz w:val="20"/>
          <w:szCs w:val="20"/>
          <w:color w:val="auto"/>
        </w:rPr>
        <w:tab/>
        <w:t>This Agreement may be executed in any number of counterparts, and by the parties on separate counterparts, but shall not be effective until each party has executed at least one counterpart. Each counterpart shall constitute an original of this Agreement, but all the counterparts shall together constitute but one and the same instrument.</w:t>
      </w:r>
    </w:p>
    <w:p>
      <w:pPr>
        <w:spacing w:after="0" w:line="16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20"/>
          <w:szCs w:val="20"/>
          <w:color w:val="010000"/>
        </w:rPr>
        <w:t>20.2</w:t>
      </w:r>
      <w:r>
        <w:rPr>
          <w:rFonts w:ascii="Times New Roman" w:cs="Times New Roman" w:eastAsia="Times New Roman" w:hAnsi="Times New Roman"/>
          <w:sz w:val="20"/>
          <w:szCs w:val="20"/>
          <w:color w:val="auto"/>
        </w:rPr>
        <w:tab/>
        <w:t>The exchange of a fully executed version of this Agreement (in counterparts or otherwise) by electronic transmission including DocuSign in PDF format shall be sufficient to bind the parties to the terms and conditions of this Agreement and no exchange of originals is necessary.</w:t>
      </w:r>
    </w:p>
    <w:p>
      <w:pPr>
        <w:spacing w:after="0" w:line="157" w:lineRule="exact"/>
        <w:rPr>
          <w:sz w:val="20"/>
          <w:szCs w:val="20"/>
          <w:color w:val="auto"/>
        </w:rPr>
      </w:pPr>
    </w:p>
    <w:p>
      <w:pPr>
        <w:ind w:left="640" w:hanging="632"/>
        <w:spacing w:after="0"/>
        <w:tabs>
          <w:tab w:leader="none" w:pos="640" w:val="left"/>
        </w:tabs>
        <w:numPr>
          <w:ilvl w:val="0"/>
          <w:numId w:val="3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assurances</w:t>
      </w:r>
    </w:p>
    <w:p>
      <w:pPr>
        <w:spacing w:after="0" w:line="23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color w:val="010000"/>
        </w:rPr>
        <w:t>21.1</w:t>
      </w:r>
      <w:r>
        <w:rPr>
          <w:rFonts w:ascii="Times New Roman" w:cs="Times New Roman" w:eastAsia="Times New Roman" w:hAnsi="Times New Roman"/>
          <w:sz w:val="20"/>
          <w:szCs w:val="20"/>
          <w:color w:val="auto"/>
        </w:rPr>
        <w:tab/>
        <w:t>The Company: (i) shall from time to time at its own cost do or procure the doing of all such acts and/or execute or procure the execution of all documents which SBG may reasonably consider necessary for giving full effect to this Agreement and securing to SBG the full benefit of the rights, powers and remedies conferred upon SBG in this Agreement; (ii) shall procure that its Subsidiaries comply with all obligations under this Agreement which are expressed to apply in relation to such Subsidiaries; (iii) shall not propose any amendment to the Articles of Association which would be inconsistent with the provisions of this Agreement without the prior written consent of SBG; and (iv) agrees and undertakes that it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448" w:name="page449"/>
    <w:bookmarkEnd w:id="448"/>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propose any resolution to its shareholders or adopt and/or amend its policies and procedures for the purpose of removing, restricting, reducing or impeding the implementation or exercise of the rights of SBG set out in this Agreement (including, without limitation, any resolution to remove an Investor Director otherwise than pursuant to the express terms of this Agreement)</w:t>
      </w:r>
    </w:p>
    <w:p>
      <w:pPr>
        <w:spacing w:after="0" w:line="177" w:lineRule="exact"/>
        <w:rPr>
          <w:sz w:val="20"/>
          <w:szCs w:val="20"/>
          <w:color w:val="auto"/>
        </w:rPr>
      </w:pPr>
    </w:p>
    <w:p>
      <w:pPr>
        <w:ind w:left="640" w:hanging="632"/>
        <w:spacing w:after="0"/>
        <w:tabs>
          <w:tab w:leader="none" w:pos="640"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Invalidity</w:t>
      </w:r>
    </w:p>
    <w:p>
      <w:pPr>
        <w:spacing w:after="0" w:line="220"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010000"/>
        </w:rPr>
        <w:t>22.1</w:t>
      </w:r>
      <w:r>
        <w:rPr>
          <w:rFonts w:ascii="Times New Roman" w:cs="Times New Roman" w:eastAsia="Times New Roman" w:hAnsi="Times New Roman"/>
          <w:sz w:val="20"/>
          <w:szCs w:val="20"/>
          <w:color w:val="auto"/>
        </w:rPr>
        <w:tab/>
        <w:t>If any provision of this Agreement is or becomes illegal, invalid or unenforceable in any respect under the law of any jurisdiction, that shall not affect or impair the legality, validity or enforceability in that jurisdiction of any other provision of this Agreement.</w:t>
      </w:r>
    </w:p>
    <w:p>
      <w:pPr>
        <w:spacing w:after="0" w:line="160"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22.2</w:t>
      </w:r>
      <w:r>
        <w:rPr>
          <w:rFonts w:ascii="Times New Roman" w:cs="Times New Roman" w:eastAsia="Times New Roman" w:hAnsi="Times New Roman"/>
          <w:sz w:val="20"/>
          <w:szCs w:val="20"/>
          <w:color w:val="auto"/>
        </w:rPr>
        <w:tab/>
        <w:t>If any provision of this Agreement is held to be illegal, invalid or unenforceable but would be legal, valid or enforceable if some part of the provision were deleted, the provision in question will apply with the minimum modifications necessary to make it legal, valid and enforceable.</w:t>
      </w:r>
    </w:p>
    <w:p>
      <w:pPr>
        <w:spacing w:after="0" w:line="164" w:lineRule="exact"/>
        <w:rPr>
          <w:sz w:val="20"/>
          <w:szCs w:val="20"/>
          <w:color w:val="auto"/>
        </w:rPr>
      </w:pPr>
    </w:p>
    <w:p>
      <w:pPr>
        <w:ind w:left="640" w:hanging="632"/>
        <w:spacing w:after="0"/>
        <w:tabs>
          <w:tab w:leader="none" w:pos="640"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partnership</w:t>
      </w:r>
    </w:p>
    <w:p>
      <w:pPr>
        <w:spacing w:after="0" w:line="233" w:lineRule="exact"/>
        <w:rPr>
          <w:rFonts w:ascii="Times New Roman" w:cs="Times New Roman" w:eastAsia="Times New Roman" w:hAnsi="Times New Roman"/>
          <w:sz w:val="20"/>
          <w:szCs w:val="20"/>
          <w:b w:val="1"/>
          <w:bCs w:val="1"/>
          <w:color w:val="auto"/>
        </w:rPr>
      </w:pPr>
    </w:p>
    <w:p>
      <w:pPr>
        <w:ind w:left="66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in this Agreement is intended to or shall be construed as establishing or implying any partnership of any kind between the parties.</w:t>
      </w:r>
    </w:p>
    <w:p>
      <w:pPr>
        <w:spacing w:after="0" w:line="142"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 between agreements</w:t>
      </w:r>
    </w:p>
    <w:p>
      <w:pPr>
        <w:spacing w:after="0" w:line="23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24.1</w:t>
      </w:r>
      <w:r>
        <w:rPr>
          <w:rFonts w:ascii="Times New Roman" w:cs="Times New Roman" w:eastAsia="Times New Roman" w:hAnsi="Times New Roman"/>
          <w:sz w:val="20"/>
          <w:szCs w:val="20"/>
          <w:color w:val="auto"/>
        </w:rPr>
        <w:tab/>
        <w:t>Subject to any applicable law, in the event of any ambiguity or conflict between this Agreement and the Articles of Association, the terms of this Agreement shall prevail as between SBG and the Company, and in such event the Company and SBG shall procure such modification to the Articles of Association as shall be necessary.</w:t>
      </w:r>
    </w:p>
    <w:p>
      <w:pPr>
        <w:spacing w:after="0" w:line="181"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010000"/>
        </w:rPr>
        <w:t>24.2</w:t>
      </w:r>
      <w:r>
        <w:rPr>
          <w:rFonts w:ascii="Times New Roman" w:cs="Times New Roman" w:eastAsia="Times New Roman" w:hAnsi="Times New Roman"/>
          <w:sz w:val="20"/>
          <w:szCs w:val="20"/>
          <w:color w:val="auto"/>
        </w:rPr>
        <w:tab/>
        <w:t>The Board shall not propose an amendment to the Articles of Association of the Company which would be inconsistent with the provisions of this Agreement without the prior written consent of SBG.</w:t>
      </w:r>
    </w:p>
    <w:p>
      <w:pPr>
        <w:spacing w:after="0" w:line="169" w:lineRule="exact"/>
        <w:rPr>
          <w:sz w:val="20"/>
          <w:szCs w:val="20"/>
          <w:color w:val="auto"/>
        </w:rPr>
      </w:pPr>
    </w:p>
    <w:p>
      <w:pPr>
        <w:ind w:left="640" w:hanging="632"/>
        <w:spacing w:after="0"/>
        <w:tabs>
          <w:tab w:leader="none" w:pos="640" w:val="left"/>
        </w:tabs>
        <w:numPr>
          <w:ilvl w:val="0"/>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jurisdiction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010000"/>
        </w:rPr>
        <w:t>25.1</w:t>
      </w:r>
      <w:r>
        <w:rPr>
          <w:sz w:val="20"/>
          <w:szCs w:val="20"/>
          <w:color w:val="auto"/>
        </w:rPr>
        <w:tab/>
      </w:r>
      <w:r>
        <w:rPr>
          <w:rFonts w:ascii="Times New Roman" w:cs="Times New Roman" w:eastAsia="Times New Roman" w:hAnsi="Times New Roman"/>
          <w:sz w:val="19"/>
          <w:szCs w:val="19"/>
          <w:color w:val="auto"/>
        </w:rPr>
        <w:t>This Agreement shall be governed by and construed in accordance with English law.</w:t>
      </w:r>
    </w:p>
    <w:p>
      <w:pPr>
        <w:spacing w:after="0" w:line="22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color w:val="010000"/>
        </w:rPr>
        <w:t>25.2</w:t>
      </w:r>
      <w:r>
        <w:rPr>
          <w:rFonts w:ascii="Times New Roman" w:cs="Times New Roman" w:eastAsia="Times New Roman" w:hAnsi="Times New Roman"/>
          <w:sz w:val="20"/>
          <w:szCs w:val="20"/>
          <w:color w:val="auto"/>
        </w:rPr>
        <w:tab/>
        <w:t>The courts of England have exclusive jurisdiction to hear and decide any suit, action, proceedings, or dispute, which may arise out of or in connection with this agreement (respectively, “</w:t>
      </w:r>
      <w:r>
        <w:rPr>
          <w:rFonts w:ascii="Times New Roman" w:cs="Times New Roman" w:eastAsia="Times New Roman" w:hAnsi="Times New Roman"/>
          <w:sz w:val="20"/>
          <w:szCs w:val="20"/>
          <w:b w:val="1"/>
          <w:bCs w:val="1"/>
          <w:color w:val="auto"/>
        </w:rPr>
        <w:t>Proceedings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Disputes</w:t>
      </w:r>
      <w:r>
        <w:rPr>
          <w:rFonts w:ascii="Times New Roman" w:cs="Times New Roman" w:eastAsia="Times New Roman" w:hAnsi="Times New Roman"/>
          <w:sz w:val="20"/>
          <w:szCs w:val="20"/>
          <w:color w:val="auto"/>
        </w:rPr>
        <w:t>”) and for these purposes, each party irrevocably submits to the jurisdiction of the courts of England. Each party irrevocably waives any objection which it might at any time have to the courts of England being nominated as the forum to hear and decide any Proceedings and to settle any Disputes and agrees not to claim that the courts of England are not a convenient or appropriate forum.</w:t>
      </w:r>
    </w:p>
    <w:p>
      <w:pPr>
        <w:spacing w:after="0" w:line="19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25.3</w:t>
      </w:r>
      <w:r>
        <w:rPr>
          <w:rFonts w:ascii="Times New Roman" w:cs="Times New Roman" w:eastAsia="Times New Roman" w:hAnsi="Times New Roman"/>
          <w:sz w:val="20"/>
          <w:szCs w:val="20"/>
          <w:color w:val="auto"/>
        </w:rPr>
        <w:tab/>
        <w:t>Each party agrees that a final judgment against it in any action, suit or proceeding taken in the courts of England in accordance with clause 25.1 shall be conclusive and may be enforced in any jurisdiction by suit on the judgment, a certified copy of which judgment shall be conclusive evidence thereof, or by any other means provided by applicable law.</w:t>
      </w:r>
    </w:p>
    <w:p>
      <w:pPr>
        <w:spacing w:after="0" w:line="177" w:lineRule="exact"/>
        <w:rPr>
          <w:sz w:val="20"/>
          <w:szCs w:val="20"/>
          <w:color w:val="auto"/>
        </w:rPr>
      </w:pPr>
    </w:p>
    <w:p>
      <w:pPr>
        <w:ind w:left="640" w:hanging="632"/>
        <w:spacing w:after="0"/>
        <w:tabs>
          <w:tab w:leader="none" w:pos="640" w:val="left"/>
        </w:tabs>
        <w:numPr>
          <w:ilvl w:val="0"/>
          <w:numId w:val="3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Agent for Service</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010000"/>
        </w:rPr>
        <w:t>26.1</w:t>
      </w:r>
      <w:r>
        <w:rPr>
          <w:rFonts w:ascii="Times New Roman" w:cs="Times New Roman" w:eastAsia="Times New Roman" w:hAnsi="Times New Roman"/>
          <w:sz w:val="20"/>
          <w:szCs w:val="20"/>
          <w:color w:val="auto"/>
        </w:rPr>
        <w:tab/>
        <w:t>SBG appoints SoftBank Group Capital Limited at 69 Grosvenor Street, London W1K 3TP, United Kingdom, to act as its agent for the receipt of Service Documents. SBG agrees that any Service Document may be effectively served on either of them in connection with</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413" w:right="339" w:bottom="1440" w:gutter="0" w:footer="0" w:header="0"/>
          <w:type w:val="continuous"/>
        </w:sectPr>
      </w:pPr>
    </w:p>
    <w:bookmarkStart w:id="449" w:name="page450"/>
    <w:bookmarkEnd w:id="449"/>
    <w:p>
      <w:pPr>
        <w:ind w:left="660"/>
        <w:spacing w:after="0"/>
        <w:rPr>
          <w:sz w:val="20"/>
          <w:szCs w:val="20"/>
          <w:color w:val="auto"/>
        </w:rPr>
      </w:pPr>
      <w:r>
        <w:rPr>
          <w:rFonts w:ascii="Times New Roman" w:cs="Times New Roman" w:eastAsia="Times New Roman" w:hAnsi="Times New Roman"/>
          <w:sz w:val="20"/>
          <w:szCs w:val="20"/>
          <w:color w:val="auto"/>
        </w:rPr>
        <w:t>Proceedings in England and Wales by service on its agent effected in any manner permitted by the Civil Procedure Rules.</w:t>
      </w:r>
    </w:p>
    <w:p>
      <w:pPr>
        <w:spacing w:after="0" w:line="229"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Times New Roman" w:cs="Times New Roman" w:eastAsia="Times New Roman" w:hAnsi="Times New Roman"/>
          <w:sz w:val="20"/>
          <w:szCs w:val="20"/>
          <w:color w:val="010000"/>
        </w:rPr>
        <w:t>26.2</w:t>
      </w:r>
      <w:r>
        <w:rPr>
          <w:sz w:val="20"/>
          <w:szCs w:val="20"/>
          <w:color w:val="auto"/>
        </w:rPr>
        <w:tab/>
      </w:r>
      <w:r>
        <w:rPr>
          <w:rFonts w:ascii="Times New Roman" w:cs="Times New Roman" w:eastAsia="Times New Roman" w:hAnsi="Times New Roman"/>
          <w:sz w:val="19"/>
          <w:szCs w:val="19"/>
          <w:color w:val="auto"/>
        </w:rPr>
        <w:t>If the agent at any time ceases for any reason to act as such, SBG shall appoint a replacement agent having an address for service in England or Wales and shall notify the Company of the name and address of the replacement agent. Failing such appointment and notification, the Company shall be entitled by notice to SBG to appoint a replacement agent to act on behalf of SBG, provided that SBG shall be entitled, by notice to the Company, to replace its agent with a replacement agent having an address for service in England or Wales. The provisions of this clause 26.1 applying to service on an agent apply equally to service on a replacement agent.</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010000"/>
        </w:rPr>
        <w:t>26.3</w:t>
      </w:r>
      <w:r>
        <w:rPr>
          <w:sz w:val="20"/>
          <w:szCs w:val="20"/>
          <w:color w:val="auto"/>
        </w:rPr>
        <w:tab/>
      </w:r>
      <w:r>
        <w:rPr>
          <w:rFonts w:ascii="Times New Roman" w:cs="Times New Roman" w:eastAsia="Times New Roman" w:hAnsi="Times New Roman"/>
          <w:sz w:val="19"/>
          <w:szCs w:val="19"/>
          <w:color w:val="auto"/>
        </w:rPr>
        <w:t>A copy of any Service Document served on an agent appointed in accordance with clauses 26.1 or 26.2 shall be sent by post to SBG.</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Failure or delay in so doing shall not prejudice the effectiveness of service of the Service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450" w:name="page451"/>
    <w:bookmarkEnd w:id="450"/>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Rights</w:t>
      </w:r>
    </w:p>
    <w:p>
      <w:pPr>
        <w:spacing w:after="0" w:line="54" w:lineRule="exact"/>
        <w:rPr>
          <w:sz w:val="20"/>
          <w:szCs w:val="20"/>
          <w:color w:val="auto"/>
        </w:rPr>
      </w:pPr>
    </w:p>
    <w:p>
      <w:pPr>
        <w:ind w:left="660" w:hanging="652"/>
        <w:spacing w:after="0"/>
        <w:tabs>
          <w:tab w:leader="none" w:pos="66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p>
    <w:p>
      <w:pPr>
        <w:spacing w:after="0" w:line="233"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Schedule 1:</w:t>
      </w:r>
    </w:p>
    <w:p>
      <w:pPr>
        <w:spacing w:after="0" w:line="211" w:lineRule="exact"/>
        <w:rPr>
          <w:rFonts w:ascii="Times New Roman" w:cs="Times New Roman" w:eastAsia="Times New Roman" w:hAnsi="Times New Roman"/>
          <w:sz w:val="20"/>
          <w:szCs w:val="20"/>
          <w:color w:val="auto"/>
        </w:rPr>
      </w:pPr>
    </w:p>
    <w:p>
      <w:pPr>
        <w:jc w:val="both"/>
        <w:ind w:left="66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Damages</w:t>
      </w:r>
      <w:r>
        <w:rPr>
          <w:rFonts w:ascii="Times New Roman" w:cs="Times New Roman" w:eastAsia="Times New Roman" w:hAnsi="Times New Roman"/>
          <w:sz w:val="20"/>
          <w:szCs w:val="20"/>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Company (or any of its agents or Affiliates) of the Securities Act, the Exchange Act, any state securities law, or any rule or regulation promulgated under the Securities Act, the Exchange Act, or any state securities law;</w:t>
      </w:r>
    </w:p>
    <w:p>
      <w:pPr>
        <w:spacing w:after="0" w:line="187"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229" w:lineRule="exact"/>
        <w:rPr>
          <w:rFonts w:ascii="Times New Roman" w:cs="Times New Roman" w:eastAsia="Times New Roman" w:hAnsi="Times New Roman"/>
          <w:sz w:val="20"/>
          <w:szCs w:val="20"/>
          <w:color w:val="auto"/>
        </w:rPr>
      </w:pPr>
    </w:p>
    <w:p>
      <w:pPr>
        <w:jc w:val="both"/>
        <w:ind w:left="660"/>
        <w:spacing w:after="0" w:line="26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Form F-1</w:t>
      </w:r>
      <w:r>
        <w:rPr>
          <w:rFonts w:ascii="Times New Roman" w:cs="Times New Roman" w:eastAsia="Times New Roman" w:hAnsi="Times New Roman"/>
          <w:sz w:val="20"/>
          <w:szCs w:val="20"/>
          <w:color w:val="auto"/>
        </w:rPr>
        <w:t>” means such form under the Securities Act as in effect on the date hereof or any successor registration form under the Securities Act subsequently adopted by the SEC, or any other form under the Securities Act which the Company is then eligible or otherwise required to use, including Form S-1;</w:t>
      </w:r>
    </w:p>
    <w:p>
      <w:pPr>
        <w:spacing w:after="0" w:line="161" w:lineRule="exact"/>
        <w:rPr>
          <w:rFonts w:ascii="Times New Roman" w:cs="Times New Roman" w:eastAsia="Times New Roman" w:hAnsi="Times New Roman"/>
          <w:sz w:val="20"/>
          <w:szCs w:val="20"/>
          <w:color w:val="auto"/>
        </w:rPr>
      </w:pPr>
    </w:p>
    <w:p>
      <w:pPr>
        <w:jc w:val="both"/>
        <w:ind w:left="66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Form F-3</w:t>
      </w:r>
      <w:r>
        <w:rPr>
          <w:rFonts w:ascii="Times New Roman" w:cs="Times New Roman" w:eastAsia="Times New Roman" w:hAnsi="Times New Roman"/>
          <w:sz w:val="20"/>
          <w:szCs w:val="20"/>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 or any other such form under the Securities Act which the Company is then eligible or otherwise required to use, including Form S-3;</w:t>
      </w:r>
    </w:p>
    <w:p>
      <w:pPr>
        <w:spacing w:after="0" w:line="177" w:lineRule="exact"/>
        <w:rPr>
          <w:rFonts w:ascii="Times New Roman" w:cs="Times New Roman" w:eastAsia="Times New Roman" w:hAnsi="Times New Roman"/>
          <w:sz w:val="20"/>
          <w:szCs w:val="20"/>
          <w:color w:val="auto"/>
        </w:rPr>
      </w:pPr>
    </w:p>
    <w:p>
      <w:pPr>
        <w:ind w:left="66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means the initial public offering of ADSs pursuant to an effective Registration Statement under the Securities Act consummated on 18 September 2023;</w:t>
      </w:r>
    </w:p>
    <w:p>
      <w:pPr>
        <w:spacing w:after="0" w:line="165" w:lineRule="exact"/>
        <w:rPr>
          <w:rFonts w:ascii="Times New Roman" w:cs="Times New Roman" w:eastAsia="Times New Roman" w:hAnsi="Times New Roman"/>
          <w:sz w:val="20"/>
          <w:szCs w:val="20"/>
          <w:color w:val="auto"/>
        </w:rPr>
      </w:pPr>
    </w:p>
    <w:p>
      <w:pPr>
        <w:ind w:left="660"/>
        <w:spacing w:after="0" w:line="28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Assigns</w:t>
      </w:r>
      <w:r>
        <w:rPr>
          <w:rFonts w:ascii="Times New Roman" w:cs="Times New Roman" w:eastAsia="Times New Roman" w:hAnsi="Times New Roman"/>
          <w:sz w:val="20"/>
          <w:szCs w:val="20"/>
          <w:color w:val="auto"/>
        </w:rPr>
        <w:t>” means any controlled Affiliate of SoftBank Group Corp. holding Registrable Securities other than the Company and its controlled Affiliates;</w:t>
      </w:r>
    </w:p>
    <w:p>
      <w:pPr>
        <w:spacing w:after="0" w:line="138" w:lineRule="exact"/>
        <w:rPr>
          <w:rFonts w:ascii="Times New Roman" w:cs="Times New Roman" w:eastAsia="Times New Roman" w:hAnsi="Times New Roman"/>
          <w:sz w:val="20"/>
          <w:szCs w:val="20"/>
          <w:color w:val="auto"/>
        </w:rPr>
      </w:pPr>
    </w:p>
    <w:p>
      <w:pPr>
        <w:jc w:val="both"/>
        <w:ind w:left="66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Registrable Securities</w:t>
      </w:r>
      <w:r>
        <w:rPr>
          <w:rFonts w:ascii="Times New Roman" w:cs="Times New Roman" w:eastAsia="Times New Roman" w:hAnsi="Times New Roman"/>
          <w:sz w:val="20"/>
          <w:szCs w:val="20"/>
          <w:color w:val="auto"/>
        </w:rPr>
        <w:t>” means (i) the Ordinary Shares issuable or issued; (ii) any Ordinary Shares or any Ordinary Shares issued or issuable (directly or indirectly) upon conversion and/or exercise of any other securities of the Company held by SBG; and (iii) any Ordinary Shares issued as (or issuable upon the conversion or exercise of any warrant, right, or other security that is issued as) a dividend or other distribution with respect to, or in exchange for or in replacement of, the shares referenced in clauses (i) through (iii) above; including in all cases securities representing such Ordinary Shares (including depositary interests, American depositary receipts, American depositary shares and/or other instruments); but excluding in all cases, any Registrable Securities sold by a person in a transaction in which the applicable rights under this Schedule 1 are not assigned pursuant to this Agreement; provided that, any such securities shall cease to be Registrable Securities at the time the securities may be sold pursuant to Rule 144 under the Securities Act without regard to volume or manner of sale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451" w:name="page452"/>
    <w:bookmarkEnd w:id="45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SBG</w:t>
      </w:r>
      <w:r>
        <w:rPr>
          <w:rFonts w:ascii="Times New Roman" w:cs="Times New Roman" w:eastAsia="Times New Roman" w:hAnsi="Times New Roman"/>
          <w:sz w:val="20"/>
          <w:szCs w:val="20"/>
          <w:color w:val="auto"/>
        </w:rPr>
        <w:t>” means SoftBank Group Corp., Kronos II LLC or any of their respective successors or Permitted Assigns; and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Underwritten Offering</w:t>
      </w:r>
      <w:r>
        <w:rPr>
          <w:rFonts w:ascii="Times New Roman" w:cs="Times New Roman" w:eastAsia="Times New Roman" w:hAnsi="Times New Roman"/>
          <w:sz w:val="20"/>
          <w:szCs w:val="20"/>
          <w:color w:val="auto"/>
        </w:rPr>
        <w:t>” means a sale of securities of the Company to an underwriter or underwriters for reoffering to the public.</w:t>
      </w:r>
    </w:p>
    <w:p>
      <w:pPr>
        <w:spacing w:after="0" w:line="216" w:lineRule="exact"/>
        <w:rPr>
          <w:sz w:val="20"/>
          <w:szCs w:val="20"/>
          <w:color w:val="auto"/>
        </w:rPr>
      </w:pPr>
    </w:p>
    <w:p>
      <w:pPr>
        <w:ind w:left="660" w:hanging="652"/>
        <w:spacing w:after="0"/>
        <w:tabs>
          <w:tab w:leader="none" w:pos="66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Registration Rights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covenants and agrees as follows:</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i w:val="1"/>
          <w:iCs w:val="1"/>
          <w:color w:val="auto"/>
        </w:rPr>
        <w:t>Demand Registration</w:t>
      </w:r>
    </w:p>
    <w:p>
      <w:pPr>
        <w:spacing w:after="0" w:line="233" w:lineRule="exact"/>
        <w:rPr>
          <w:sz w:val="20"/>
          <w:szCs w:val="20"/>
          <w:color w:val="auto"/>
        </w:rPr>
      </w:pPr>
    </w:p>
    <w:p>
      <w:pPr>
        <w:jc w:val="both"/>
        <w:ind w:left="1300" w:hanging="644"/>
        <w:spacing w:after="0" w:line="250" w:lineRule="auto"/>
        <w:tabs>
          <w:tab w:leader="none" w:pos="129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the date of the this Agreement (or such later date as is required by the terms of an applicable lock-up agreement entered into with the underwriters in connection with the IPO, provided that such later date shall not exceed 180 days after the date of pricing of the IPO, or 60 days after the date of pricing of any other public offering), if SBG makes a Demand (as hereinafter defined) (a “</w:t>
      </w:r>
      <w:r>
        <w:rPr>
          <w:rFonts w:ascii="Times New Roman" w:cs="Times New Roman" w:eastAsia="Times New Roman" w:hAnsi="Times New Roman"/>
          <w:sz w:val="20"/>
          <w:szCs w:val="20"/>
          <w:b w:val="1"/>
          <w:bCs w:val="1"/>
          <w:color w:val="auto"/>
        </w:rPr>
        <w:t>Requesting Shareholder</w:t>
      </w:r>
      <w:r>
        <w:rPr>
          <w:rFonts w:ascii="Times New Roman" w:cs="Times New Roman" w:eastAsia="Times New Roman" w:hAnsi="Times New Roman"/>
          <w:sz w:val="20"/>
          <w:szCs w:val="20"/>
          <w:color w:val="auto"/>
        </w:rPr>
        <w:t>”), it shall be entitled to make a written request of the Company (a “</w:t>
      </w:r>
      <w:r>
        <w:rPr>
          <w:rFonts w:ascii="Times New Roman" w:cs="Times New Roman" w:eastAsia="Times New Roman" w:hAnsi="Times New Roman"/>
          <w:sz w:val="20"/>
          <w:szCs w:val="20"/>
          <w:b w:val="1"/>
          <w:bCs w:val="1"/>
          <w:color w:val="auto"/>
        </w:rPr>
        <w:t>Demand</w:t>
      </w:r>
      <w:r>
        <w:rPr>
          <w:rFonts w:ascii="Times New Roman" w:cs="Times New Roman" w:eastAsia="Times New Roman" w:hAnsi="Times New Roman"/>
          <w:sz w:val="20"/>
          <w:szCs w:val="20"/>
          <w:color w:val="auto"/>
        </w:rPr>
        <w:t>”) for registration under the Securities Act of any number of Registrable Securities (a “</w:t>
      </w:r>
      <w:r>
        <w:rPr>
          <w:rFonts w:ascii="Times New Roman" w:cs="Times New Roman" w:eastAsia="Times New Roman" w:hAnsi="Times New Roman"/>
          <w:sz w:val="20"/>
          <w:szCs w:val="20"/>
          <w:b w:val="1"/>
          <w:bCs w:val="1"/>
          <w:color w:val="auto"/>
        </w:rPr>
        <w:t>Demand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Registration</w:t>
      </w:r>
      <w:r>
        <w:rPr>
          <w:rFonts w:ascii="Times New Roman" w:cs="Times New Roman" w:eastAsia="Times New Roman" w:hAnsi="Times New Roman"/>
          <w:sz w:val="20"/>
          <w:szCs w:val="20"/>
          <w:color w:val="auto"/>
        </w:rPr>
        <w:t>”) and thereupon the Company will, subject to the terms of this Agreement, use its best efforts to effect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 as promptly as practicable under the Securities Act of the Registrable Securities which the Company has been so requested to register by the Requesting Shareholder for disposition in accordance with the intended method of disposition stated in such Demand, which may be an Underwritten Offering, and to keep the registration continuously effective until the date on which all Registrable Securities subject to the Demand Registration have been sold in accordance with the plan and method of distribution disclosed in the prospectus included in the related registration statement.</w:t>
      </w:r>
    </w:p>
    <w:p>
      <w:pPr>
        <w:spacing w:after="0" w:line="199" w:lineRule="exact"/>
        <w:rPr>
          <w:rFonts w:ascii="Times New Roman" w:cs="Times New Roman" w:eastAsia="Times New Roman" w:hAnsi="Times New Roman"/>
          <w:sz w:val="20"/>
          <w:szCs w:val="20"/>
          <w:color w:val="auto"/>
        </w:rPr>
      </w:pPr>
    </w:p>
    <w:p>
      <w:pPr>
        <w:jc w:val="both"/>
        <w:ind w:left="1300" w:right="20" w:hanging="644"/>
        <w:spacing w:after="0" w:line="261" w:lineRule="auto"/>
        <w:tabs>
          <w:tab w:leader="none" w:pos="1288"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shall specify: (i) the aggregate number of Registrable Securities requested to be registered in such Demand Registration, (ii) the intended method of disposition in connection with such Demand Registration, to the extent then known and (iii) the identity of the Requesting Shareholder.</w:t>
      </w:r>
    </w:p>
    <w:p>
      <w:pPr>
        <w:spacing w:after="0" w:line="167"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SBG shall be entitled to any number of Demand Registrations, provided that the Company shall not be required to effect such registrations more than three (3) times in any twelve (12) month period.</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Registrations shall be on SEC registration forms of either Form F-1 or Form F-3 (if available) (or any successor forms thereto).</w:t>
      </w:r>
    </w:p>
    <w:p>
      <w:pPr>
        <w:spacing w:after="0" w:line="159"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29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to postpone (upon written notice to the Requesting Shareholder) the filing or the effectiveness of a registration statement for any Demand Registration or suspend the use of such registration statement for a reasonable period of time not to exceed sixty (60) days in succession (but no more than twice in any period of twelve (12) consecutive months) if the Board determines in good faith (including such determination by all directors of the Board who qualify as Independent) and in its reasonable judgment based on advice of external counsel that the filing or effectiveness of the registration statement relating to such Demand Registration would cause the disclosure of material, non-public information that the Company has a bona fide business purpose for preserving as confidential. In the event of a postponement by the Company of the filing or effectiveness of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09" w:right="339" w:bottom="1440" w:gutter="0" w:footer="0" w:header="0"/>
        </w:sectPr>
      </w:pPr>
    </w:p>
    <w:bookmarkStart w:id="452" w:name="page453"/>
    <w:bookmarkEnd w:id="452"/>
    <w:p>
      <w:pPr>
        <w:ind w:left="1300"/>
        <w:spacing w:after="0" w:line="283" w:lineRule="auto"/>
        <w:rPr>
          <w:sz w:val="20"/>
          <w:szCs w:val="20"/>
          <w:color w:val="auto"/>
        </w:rPr>
      </w:pPr>
      <w:r>
        <w:rPr>
          <w:rFonts w:ascii="Times New Roman" w:cs="Times New Roman" w:eastAsia="Times New Roman" w:hAnsi="Times New Roman"/>
          <w:sz w:val="20"/>
          <w:szCs w:val="20"/>
          <w:color w:val="auto"/>
        </w:rPr>
        <w:t>statement for a Demand Registration, the Requesting Shareholder shall have the right to withdraw such Demand in accordance with paragraph 2.4.</w:t>
      </w:r>
    </w:p>
    <w:p>
      <w:pPr>
        <w:spacing w:after="0" w:line="146" w:lineRule="exact"/>
        <w:rPr>
          <w:sz w:val="20"/>
          <w:szCs w:val="20"/>
          <w:color w:val="auto"/>
        </w:rPr>
      </w:pPr>
    </w:p>
    <w:p>
      <w:pPr>
        <w:jc w:val="both"/>
        <w:ind w:left="1300" w:hanging="644"/>
        <w:spacing w:after="0" w:line="251" w:lineRule="auto"/>
        <w:tabs>
          <w:tab w:leader="none" w:pos="1295"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include any securities other than Registrable Securities in a Demand Registration, except with the written consent of the Requesting Shareholder. If, in connection with a Demand Registration involving an Underwritten Offering, the lead managing underwriter reasonably advises the Company, in writing, that, in its reasonable opinion, the inclusion of all of the securities, including securities of the Company that are not Registrable Securities, sought to be registered in connection with such Demand Registration would adversely affect the marketability of the Registrable Securities sought to be sold pursuant thereto, then the Company shall include in such registration statement only such securities as the Company is advised by such underwriter can be sold without such adverse effect as follows and in the following order of priority: (i) first, up to the number of Registrable Securities requested to be included in such Demand Registration by the Requesting Shareholder, which, in the reasonable opinion of the underwriter can be sold without adversely affecting the marketability of the offering; (ii) second, securities the Company proposes to sell; and (iii) third, all other securities of the Company duly requested to be included in such registration statement, pro rata on the basis of the number of such other securities requested to be included or such other method determined by the Company.</w:t>
      </w:r>
    </w:p>
    <w:p>
      <w:pPr>
        <w:spacing w:after="0" w:line="178"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88"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bank(s) that will serve as an underwriter with respect to such Demand Registration or, if such Demand Registration is not an Underwritten Offering, any investment bank(s) engaged in connection therewith, shall be selected by the Requesting Shareholder.</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i w:val="1"/>
          <w:iCs w:val="1"/>
          <w:color w:val="auto"/>
        </w:rPr>
        <w:t>Piggyback Registration</w:t>
      </w:r>
    </w:p>
    <w:p>
      <w:pPr>
        <w:spacing w:after="0" w:line="233" w:lineRule="exact"/>
        <w:rPr>
          <w:sz w:val="20"/>
          <w:szCs w:val="20"/>
          <w:color w:val="auto"/>
        </w:rPr>
      </w:pPr>
    </w:p>
    <w:p>
      <w:pPr>
        <w:jc w:val="both"/>
        <w:ind w:left="1300" w:hanging="644"/>
        <w:spacing w:after="0" w:line="249" w:lineRule="auto"/>
        <w:tabs>
          <w:tab w:leader="none" w:pos="129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whenever the Company proposes to register any of its equity securities under the Securities Act (other than a registration by the Company (x) on a registration statement on Form S-4 or (y) on a registration statement on Form S-8 (or in any of the cases of (x) or (y) on any successor forms thereto))(each a “</w:t>
      </w:r>
      <w:r>
        <w:rPr>
          <w:rFonts w:ascii="Times New Roman" w:cs="Times New Roman" w:eastAsia="Times New Roman" w:hAnsi="Times New Roman"/>
          <w:sz w:val="20"/>
          <w:szCs w:val="20"/>
          <w:b w:val="1"/>
          <w:bCs w:val="1"/>
          <w:color w:val="auto"/>
        </w:rPr>
        <w:t>Piggyback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Registration</w:t>
      </w:r>
      <w:r>
        <w:rPr>
          <w:rFonts w:ascii="Times New Roman" w:cs="Times New Roman" w:eastAsia="Times New Roman" w:hAnsi="Times New Roman"/>
          <w:sz w:val="20"/>
          <w:szCs w:val="20"/>
          <w:color w:val="auto"/>
        </w:rPr>
        <w:t>”), whether for its own account or for the account of others, the Company shall give SoftBank Group Corp.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prompt written notice thereof (but not less than ten (10) Business Days prior to the filing by the Company with the SEC of any registration statement with respect thereto or, in the case of an offering of equity securities from an existing registration statement, prior to the anticipated pricing date). Such notice (a “</w:t>
      </w:r>
      <w:r>
        <w:rPr>
          <w:rFonts w:ascii="Times New Roman" w:cs="Times New Roman" w:eastAsia="Times New Roman" w:hAnsi="Times New Roman"/>
          <w:sz w:val="20"/>
          <w:szCs w:val="20"/>
          <w:b w:val="1"/>
          <w:bCs w:val="1"/>
          <w:color w:val="auto"/>
        </w:rPr>
        <w:t>Piggyback Notice</w:t>
      </w:r>
      <w:r>
        <w:rPr>
          <w:rFonts w:ascii="Times New Roman" w:cs="Times New Roman" w:eastAsia="Times New Roman" w:hAnsi="Times New Roman"/>
          <w:sz w:val="20"/>
          <w:szCs w:val="20"/>
          <w:color w:val="auto"/>
        </w:rPr>
        <w:t>”) shall specify, at a minimum, the number of equity securities proposed to be registered, the proposed date of filing of such registration statement with the SEC (or anticipated date of pricing, as applicable), the proposed means of distribution, the proposed managing underwriter or underwriters (if any and if known) and a good faith estimate by the Company of the proposed minimum offering price of such equity securities. Upon the written request of SBG (who shall now be deemed a “</w:t>
      </w:r>
      <w:r>
        <w:rPr>
          <w:rFonts w:ascii="Times New Roman" w:cs="Times New Roman" w:eastAsia="Times New Roman" w:hAnsi="Times New Roman"/>
          <w:sz w:val="20"/>
          <w:szCs w:val="20"/>
          <w:b w:val="1"/>
          <w:bCs w:val="1"/>
          <w:color w:val="auto"/>
        </w:rPr>
        <w:t>Piggyback Seller</w:t>
      </w:r>
      <w:r>
        <w:rPr>
          <w:rFonts w:ascii="Times New Roman" w:cs="Times New Roman" w:eastAsia="Times New Roman" w:hAnsi="Times New Roman"/>
          <w:sz w:val="20"/>
          <w:szCs w:val="20"/>
          <w:color w:val="auto"/>
        </w:rPr>
        <w:t>”) (which such written request shall specify the number of Registrable Securities then presently intended to be disposed of by the Piggyback Seller), given within five (5) Business Days after such Piggyback Notice is received by SoftBank Group Corp., the Company, subject to the terms and conditions of this Agreement, shall use its best efforts to cause all such Registrable Securities held by the Piggyback Seller with respect to which the Company has received such written requests for inclusion to be included in such Piggyback Registration on the same terms and conditions as the Company’s equity securities being sold in such Piggyback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453" w:name="page454"/>
    <w:bookmarkEnd w:id="453"/>
    <w:p>
      <w:pPr>
        <w:jc w:val="both"/>
        <w:ind w:left="1300" w:hanging="644"/>
        <w:spacing w:after="0" w:line="253" w:lineRule="auto"/>
        <w:tabs>
          <w:tab w:leader="none" w:pos="1288"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a Piggyback Registration that is an Underwritten Offering, the lead managing underwriter reasonably advises the Company in writing that, in its reasonable opinion, the inclusion of all the equity securities sought to be included in such Piggyback Registration by (i) the Company, (ii) the Piggyback Seller and (iii) any other proposed sellers of equity securities of the Company (such persons being “</w:t>
      </w:r>
      <w:r>
        <w:rPr>
          <w:rFonts w:ascii="Times New Roman" w:cs="Times New Roman" w:eastAsia="Times New Roman" w:hAnsi="Times New Roman"/>
          <w:sz w:val="20"/>
          <w:szCs w:val="20"/>
          <w:b w:val="1"/>
          <w:bCs w:val="1"/>
          <w:color w:val="auto"/>
        </w:rPr>
        <w:t>Other Proposed Sellers</w:t>
      </w:r>
      <w:r>
        <w:rPr>
          <w:rFonts w:ascii="Times New Roman" w:cs="Times New Roman" w:eastAsia="Times New Roman" w:hAnsi="Times New Roman"/>
          <w:sz w:val="20"/>
          <w:szCs w:val="20"/>
          <w:color w:val="auto"/>
        </w:rPr>
        <w:t>”), as the case may be, would adversely affect the marketability of the equity securities sought to be sold pursuant thereto, then the Company shall include in the registration statement applicable to such Piggyback Registration only such equity securities as the Company is so advised by such underwriter can be sold without such an effect, as follows and in the following order of priority:</w:t>
      </w:r>
    </w:p>
    <w:p>
      <w:pPr>
        <w:spacing w:after="0" w:line="179" w:lineRule="exact"/>
        <w:rPr>
          <w:rFonts w:ascii="Times New Roman" w:cs="Times New Roman" w:eastAsia="Times New Roman" w:hAnsi="Times New Roman"/>
          <w:sz w:val="20"/>
          <w:szCs w:val="20"/>
          <w:color w:val="auto"/>
        </w:rPr>
      </w:pPr>
    </w:p>
    <w:p>
      <w:pPr>
        <w:jc w:val="both"/>
        <w:ind w:left="1920" w:hanging="646"/>
        <w:spacing w:after="0" w:line="257" w:lineRule="auto"/>
        <w:tabs>
          <w:tab w:leader="none" w:pos="1918" w:val="left"/>
        </w:tabs>
        <w:numPr>
          <w:ilvl w:val="1"/>
          <w:numId w:val="3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Piggyback Registration relates to an offering for the Company’s own account, then (A) first, such number of equity securities to be sold by the Company as the Company, in its reasonable judgment based on advice of external counsel and acting in good faith and in accordance with sound financial practice, shall have determined, (B) second, Registrable Securities of the Piggyback Seller, and (C) third, other equity securities held by any Other Proposed Sellers; or</w:t>
      </w:r>
    </w:p>
    <w:p>
      <w:pPr>
        <w:spacing w:after="0" w:line="172" w:lineRule="exact"/>
        <w:rPr>
          <w:rFonts w:ascii="Times New Roman" w:cs="Times New Roman" w:eastAsia="Times New Roman" w:hAnsi="Times New Roman"/>
          <w:sz w:val="20"/>
          <w:szCs w:val="20"/>
          <w:color w:val="010000"/>
        </w:rPr>
      </w:pPr>
    </w:p>
    <w:p>
      <w:pPr>
        <w:jc w:val="both"/>
        <w:ind w:left="1920" w:hanging="646"/>
        <w:spacing w:after="0" w:line="258" w:lineRule="auto"/>
        <w:tabs>
          <w:tab w:leader="none" w:pos="1919" w:val="left"/>
        </w:tabs>
        <w:numPr>
          <w:ilvl w:val="1"/>
          <w:numId w:val="3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Piggyback Registration relates to an offering other than for the Company’s own account, then (A) first, such number of equity securities sought to be registered by the Piggyback Seller, and (B) second, other equity securities proposed to be sold by any Other Proposed Sellers or to be sold by the Company as determined by the Company and with such priorities among them as may from time to time be determined or agreed to by the Company.</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i w:val="1"/>
          <w:iCs w:val="1"/>
          <w:color w:val="auto"/>
        </w:rPr>
        <w:t>Shelf Registration</w:t>
      </w:r>
    </w:p>
    <w:p>
      <w:pPr>
        <w:spacing w:after="0" w:line="220" w:lineRule="exact"/>
        <w:rPr>
          <w:sz w:val="20"/>
          <w:szCs w:val="20"/>
          <w:color w:val="auto"/>
        </w:rPr>
      </w:pPr>
    </w:p>
    <w:p>
      <w:pPr>
        <w:jc w:val="both"/>
        <w:ind w:left="1300" w:hanging="644"/>
        <w:spacing w:after="0" w:line="250" w:lineRule="auto"/>
        <w:tabs>
          <w:tab w:leader="none" w:pos="129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2.3(d), and further subject to the availability of a registration statement on Form F-3 or a successor form, which may be an automatically effective registration statement at any time the Company is eligible, to the Company, SBG may by written notice delivered to the Company (the “</w:t>
      </w:r>
      <w:r>
        <w:rPr>
          <w:rFonts w:ascii="Times New Roman" w:cs="Times New Roman" w:eastAsia="Times New Roman" w:hAnsi="Times New Roman"/>
          <w:sz w:val="20"/>
          <w:szCs w:val="20"/>
          <w:b w:val="1"/>
          <w:bCs w:val="1"/>
          <w:color w:val="auto"/>
        </w:rPr>
        <w:t>Shelf Notice</w:t>
      </w:r>
      <w:r>
        <w:rPr>
          <w:rFonts w:ascii="Times New Roman" w:cs="Times New Roman" w:eastAsia="Times New Roman" w:hAnsi="Times New Roman"/>
          <w:sz w:val="20"/>
          <w:szCs w:val="20"/>
          <w:color w:val="auto"/>
        </w:rPr>
        <w:t>”) require the Company to (i) file as promptly as practicable (but no later than 30 days after the date the Shelf Notice is delivered), and to use best efforts to cause to be declared effective by the SEC at the earliest possible date permitted under the rules and regulations of the SEC (but no later than 90 days after such filing date), a Form F-3 (which, if the Company is eligible, shall be an automatic shelf registration statement (as defined in Rule 405 under the Securities Act)), or (ii) use an existing Form F-3 filed with the SEC, in each case providing for an offering to be made on a continuous basis pursuant to Rule 415 under the Securities Act relating to the offer and sale, from time to time, of the Ordinary Shares (including any securities representing such Ordinary Shares (including depositary interests, American depositary receipts, American depositary shares and/or other interests) owned by SBG (the “</w:t>
      </w:r>
      <w:r>
        <w:rPr>
          <w:rFonts w:ascii="Times New Roman" w:cs="Times New Roman" w:eastAsia="Times New Roman" w:hAnsi="Times New Roman"/>
          <w:sz w:val="20"/>
          <w:szCs w:val="20"/>
          <w:b w:val="1"/>
          <w:bCs w:val="1"/>
          <w:color w:val="auto"/>
        </w:rPr>
        <w:t>Shelf Registration Statement</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SBG shall be entitled to require the Company to file an unlimited number of Shelf Registration Statements.</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9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2.3(d), the Company will use best efforts to keep the Shelf Registration Statement continuously effective until the date on which all Registrable Securities covered by the Shelf Registration Statement have been sold thereunder in accordance with the plan and method of distribution disclosed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454" w:name="page455"/>
    <w:bookmarkEnd w:id="454"/>
    <w:p>
      <w:pPr>
        <w:ind w:left="644"/>
        <w:spacing w:after="0"/>
        <w:rPr>
          <w:sz w:val="20"/>
          <w:szCs w:val="20"/>
          <w:color w:val="auto"/>
        </w:rPr>
      </w:pPr>
      <w:r>
        <w:rPr>
          <w:rFonts w:ascii="Times New Roman" w:cs="Times New Roman" w:eastAsia="Times New Roman" w:hAnsi="Times New Roman"/>
          <w:sz w:val="20"/>
          <w:szCs w:val="20"/>
          <w:color w:val="auto"/>
        </w:rPr>
        <w:t>included in the Shelf Registration Statement, or otherwise (the “</w:t>
      </w:r>
      <w:r>
        <w:rPr>
          <w:rFonts w:ascii="Times New Roman" w:cs="Times New Roman" w:eastAsia="Times New Roman" w:hAnsi="Times New Roman"/>
          <w:sz w:val="20"/>
          <w:szCs w:val="20"/>
          <w:b w:val="1"/>
          <w:bCs w:val="1"/>
          <w:color w:val="auto"/>
        </w:rPr>
        <w:t>Shelf Registration Effectiveness Period</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644" w:hanging="644"/>
        <w:spacing w:after="0" w:line="249" w:lineRule="auto"/>
        <w:tabs>
          <w:tab w:leader="none" w:pos="632"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the Company shall be entitled, from time to time, by providing written notice to SBG if it has elected to participate in the Shelf Registration Statement, to delay the filing of a Shelf Registration Statement or require SBG to suspend the use of any existing prospectus that forms part of an existing Shelf Registration Statement for sales of Registrable Securities under the Shelf Registration Statement for a reasonable period of time not to exceed 60 days in succession and no more than twice in any 12 month period (a “</w:t>
      </w:r>
      <w:r>
        <w:rPr>
          <w:rFonts w:ascii="Times New Roman" w:cs="Times New Roman" w:eastAsia="Times New Roman" w:hAnsi="Times New Roman"/>
          <w:sz w:val="20"/>
          <w:szCs w:val="20"/>
          <w:b w:val="1"/>
          <w:bCs w:val="1"/>
          <w:color w:val="auto"/>
        </w:rPr>
        <w:t>Suspension Period</w:t>
      </w:r>
      <w:r>
        <w:rPr>
          <w:rFonts w:ascii="Times New Roman" w:cs="Times New Roman" w:eastAsia="Times New Roman" w:hAnsi="Times New Roman"/>
          <w:sz w:val="20"/>
          <w:szCs w:val="20"/>
          <w:color w:val="auto"/>
        </w:rPr>
        <w:t>”) if the Board determines in good faith (including such determination by all directors of the Board who qualify as Independent) and in its reasonable judgment based on advice of external counsel that it is required to disclose in the Shelf Registration Statement material, non-public information that the Company has a bona fide business purpose for preserving as confidential. Immediately upon receipt of such notice, SBG shall suspend the use of the prospectus until the requisite changes to the prospectus have been made as required below. Any Suspension Period shall terminate at such time as the public disclosure of such information is made. After the expiration of any Suspension Period and without any further request from a Shareholder, the Company shall as promptly as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20"/>
          <w:szCs w:val="20"/>
          <w:color w:val="auto"/>
        </w:rPr>
      </w:pPr>
    </w:p>
    <w:p>
      <w:pPr>
        <w:jc w:val="both"/>
        <w:ind w:left="644" w:hanging="644"/>
        <w:spacing w:after="0" w:line="250" w:lineRule="auto"/>
        <w:tabs>
          <w:tab w:leader="none" w:pos="634"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and from time-to-time, during the Shelf Registration Effectiveness Period (except during a Suspension Period), SBG may notify the Company of its intent to sell Registrable Securities covered by the Shelf Registration Statement (in whole or in part) in an Underwritten Offering (a “</w:t>
      </w:r>
      <w:r>
        <w:rPr>
          <w:rFonts w:ascii="Times New Roman" w:cs="Times New Roman" w:eastAsia="Times New Roman" w:hAnsi="Times New Roman"/>
          <w:sz w:val="20"/>
          <w:szCs w:val="20"/>
          <w:b w:val="1"/>
          <w:bCs w:val="1"/>
          <w:color w:val="auto"/>
        </w:rPr>
        <w:t>Shelf Underwritten Offering</w:t>
      </w:r>
      <w:r>
        <w:rPr>
          <w:rFonts w:ascii="Times New Roman" w:cs="Times New Roman" w:eastAsia="Times New Roman" w:hAnsi="Times New Roman"/>
          <w:sz w:val="20"/>
          <w:szCs w:val="20"/>
          <w:color w:val="auto"/>
        </w:rPr>
        <w:t>”). Such notice shall specify (x) the aggregate number of Registrable Securities requested to be registered in such Shelf Underwritten Offering and (y) the identity of the Shareholder(s) requesting such Shelf Underwritten Offering. Upon receipt by the Company of such notice, the Company shall promptly comply with the applicable provisions of this Agreement, (including without limitation paragraph 2.5 of this Schedule 1) assist in the preparation and filing with the SEC of prospectus supplements and amendments to the Shelf Registration Statement and take such other actions as necessary or appropriate to permit the consummation of such Shelf Underwritten Offering as promptly as practicable. In any Shelf Underwritten Offering, the investment bank(s) and managers that will serve as lead or co-managing underwriters with respect to the offering of such Registrable Securities shall be selected by SBG.</w:t>
      </w:r>
    </w:p>
    <w:p>
      <w:pPr>
        <w:spacing w:after="0" w:line="199"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39"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SBG wishes to engage in an underwritten block trade off a Shelf Registration Statement (either through filing an automatic shelf registration statement or through a take-down from an already existing Shelf Registration Statement), then notwithstanding the time periods set forth above, SBG shall notify the Company of the block trade Shelf Underwritten Offering not less than two (2) Business Days prior to the day such offering is planned to commence.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584"/>
          </w:cols>
          <w:pgMar w:left="976" w:top="1409" w:right="339" w:bottom="1440" w:gutter="0" w:footer="0" w:header="0"/>
        </w:sectPr>
      </w:pPr>
    </w:p>
    <w:bookmarkStart w:id="455" w:name="page456"/>
    <w:bookmarkEnd w:id="455"/>
    <w:p>
      <w:pPr>
        <w:spacing w:after="0"/>
        <w:tabs>
          <w:tab w:leader="none" w:pos="6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i w:val="1"/>
          <w:iCs w:val="1"/>
          <w:color w:val="auto"/>
        </w:rPr>
        <w:t>Withdrawal Rights</w:t>
      </w:r>
    </w:p>
    <w:p>
      <w:pPr>
        <w:spacing w:after="0" w:line="233" w:lineRule="exact"/>
        <w:rPr>
          <w:sz w:val="20"/>
          <w:szCs w:val="20"/>
          <w:color w:val="auto"/>
        </w:rPr>
      </w:pPr>
    </w:p>
    <w:p>
      <w:pPr>
        <w:jc w:val="both"/>
        <w:ind w:left="1300" w:hanging="644"/>
        <w:spacing w:after="0" w:line="251" w:lineRule="auto"/>
        <w:tabs>
          <w:tab w:leader="none" w:pos="1290"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SBG, having notified or directed the Company to include any or all of its Registrable Securities in a registration statement under the Securities Act, shall have the right to withdraw any such notice or direction with respect to any or all of the Registrable Securities designated by it for registration by giving written notice to such effect to the Company prior to the effective date of such registration statement. In the event of any such withdrawal, the Company shall not include such Registrable Securities in the applicable registration and such Registrable Securities shall continue to be Registrable Securities for all purposes of this Agreement. No such withdrawal shall affect the obligations of the Company with respect to the Registrable Securities not so withdrawn.</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i w:val="1"/>
          <w:iCs w:val="1"/>
          <w:color w:val="auto"/>
        </w:rPr>
        <w:t>Obligations of the Company</w:t>
      </w:r>
    </w:p>
    <w:p>
      <w:pPr>
        <w:spacing w:after="0" w:line="220"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Whenever required under this paragraph 2 to effect the registration of any Registrable Securities, the Company shall, as expeditiously as reasonably possible:</w:t>
      </w:r>
    </w:p>
    <w:p>
      <w:pPr>
        <w:spacing w:after="0" w:line="160" w:lineRule="exact"/>
        <w:rPr>
          <w:sz w:val="20"/>
          <w:szCs w:val="20"/>
          <w:color w:val="auto"/>
        </w:rPr>
      </w:pPr>
    </w:p>
    <w:p>
      <w:pPr>
        <w:jc w:val="both"/>
        <w:ind w:left="1300" w:hanging="644"/>
        <w:spacing w:after="0" w:line="261" w:lineRule="auto"/>
        <w:tabs>
          <w:tab w:leader="none" w:pos="129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67" w:lineRule="exact"/>
        <w:rPr>
          <w:rFonts w:ascii="Times New Roman" w:cs="Times New Roman" w:eastAsia="Times New Roman" w:hAnsi="Times New Roman"/>
          <w:sz w:val="20"/>
          <w:szCs w:val="20"/>
          <w:color w:val="auto"/>
        </w:rPr>
      </w:pPr>
    </w:p>
    <w:p>
      <w:pPr>
        <w:ind w:left="1300" w:hanging="644"/>
        <w:spacing w:after="0" w:line="310" w:lineRule="auto"/>
        <w:tabs>
          <w:tab w:leader="none" w:pos="1288" w:val="left"/>
        </w:tabs>
        <w:numPr>
          <w:ilvl w:val="0"/>
          <w:numId w:val="3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 to SBG such numbers of copies of a prospectus, including a preliminary prospectus, as required by the Securities Act, and such other documents as SBG may reasonably request in order to facilitate its disposition of its Registrable Securities;</w:t>
      </w:r>
    </w:p>
    <w:p>
      <w:pPr>
        <w:spacing w:after="0" w:line="137" w:lineRule="exact"/>
        <w:rPr>
          <w:rFonts w:ascii="Times New Roman" w:cs="Times New Roman" w:eastAsia="Times New Roman" w:hAnsi="Times New Roman"/>
          <w:sz w:val="19"/>
          <w:szCs w:val="19"/>
          <w:color w:val="auto"/>
        </w:rPr>
      </w:pPr>
    </w:p>
    <w:p>
      <w:pPr>
        <w:jc w:val="both"/>
        <w:ind w:left="1300" w:hanging="644"/>
        <w:spacing w:after="0" w:line="254" w:lineRule="auto"/>
        <w:tabs>
          <w:tab w:leader="none" w:pos="129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best efforts to register and qualify the securities covered by such registration statement under such other securities or blue-sky laws of such jurisdictions as shall be reasonably requested by SBG;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7"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288"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such agreements (including an underwriting agreement in form, scope and substance as is customary in underwritten offerings) and take all such other actions reasonably requested by SBG (including those reasonably requested by the lead managing underwriter, if any and including the execution and delivery of a customary “lock-up” agreement) to expedite or facilitate the disposition of such Registrable Securities, and in connection therewith, whether or not an underwriting agreement is entered into and whether or not the registration is an underwritten registration, (i) make such representations and warranties to the holders of such Registrable Securities and the underwriters, if any, with respect to the business of the Company and its Subsidiaries, the Registration Statement, the prospectus and documents, if any, incorporated or deemed to be incorporated by reference therein, in each case, in form, substance and scope as are customarily made by issuers to underwriters in underwritten offerings, and, if true, confirm the same if and when requested, (ii) use its best efforts to furnish to the selling holders of such Registrable Securities opinions of counsel to the Company and updates thereof (which counsel and opinions (in form, scope and substance) shall be reasonably satisfactory to the managing underwriters, if any, and counsels to the selling holders of the Registrable Securities), addressed to each selling holder of Registrable Securities and each of the underwriters, if any, covering the matters customarily covered in opinions requested in underwritten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09" w:right="339" w:bottom="1440" w:gutter="0" w:footer="0" w:header="0"/>
        </w:sectPr>
      </w:pPr>
    </w:p>
    <w:bookmarkStart w:id="456" w:name="page457"/>
    <w:bookmarkEnd w:id="456"/>
    <w:p>
      <w:pPr>
        <w:jc w:val="both"/>
        <w:ind w:left="644"/>
        <w:spacing w:after="0" w:line="249" w:lineRule="auto"/>
        <w:rPr>
          <w:sz w:val="20"/>
          <w:szCs w:val="20"/>
          <w:color w:val="auto"/>
        </w:rPr>
      </w:pPr>
      <w:r>
        <w:rPr>
          <w:rFonts w:ascii="Times New Roman" w:cs="Times New Roman" w:eastAsia="Times New Roman" w:hAnsi="Times New Roman"/>
          <w:sz w:val="20"/>
          <w:szCs w:val="20"/>
          <w:color w:val="auto"/>
        </w:rPr>
        <w:t>offerings and such other matters as may be reasonably requested by such counsel and underwriters, (iii) use its best efforts to obtain comfort letters and updates thereof from the independent certified public accountants of the Company (and, if necessary, any other independent certified public accountants of any Subsidiary of the Company or of any business acquired or to be acquired by the Company for which financial statements and financial data are, or are required to be, included in the Registration Statement) who have certified the financial statements included in such Registration Statement, addressed to each selling holder of Registrable Securities (unless such accountants shall be prohibited from so addressing such letters by applicable standards of the accounting profession) and each of the underwriters, if any, such letters to be in customary form and covering matters of the type customarily covered in comfort letters in connection with underwritten offerings, (iv) if an underwriting agreement is entered into, the same shall contain indemnification provisions and procedures substantially to the effect set forth in paragraph 2.9 hereof with respect to all parties to be indemnified pursuant to this paragraph and (v) deliver such documents and certificates as may be reasonably requested by the holders of a majority of the Registrable Securities being sold pursuant to such Registration Statement, their counsel and the managing underwriters, if any, to evidence the continued validity of the representations and warranties made pursuant to paragraph 2.5(e)(i) above and to evidence compliance with any customary conditions contained in the underwriting agreement or other agreement entered into by the Company. The above shall be done at each closing under such underwriting or similar agreement, or as and to the extent required thereunder;</w:t>
      </w:r>
    </w:p>
    <w:p>
      <w:pPr>
        <w:spacing w:after="0" w:line="205" w:lineRule="exact"/>
        <w:rPr>
          <w:sz w:val="20"/>
          <w:szCs w:val="20"/>
          <w:color w:val="auto"/>
        </w:rPr>
      </w:pPr>
    </w:p>
    <w:p>
      <w:pPr>
        <w:jc w:val="both"/>
        <w:ind w:left="644" w:hanging="644"/>
        <w:spacing w:after="0" w:line="254" w:lineRule="auto"/>
        <w:tabs>
          <w:tab w:leader="none" w:pos="634"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best efforts to cause its directors, officers and senior executives to support marketing of the Registrable Securities covered by the Registration Statement (including participation in “road shows”) and to otherwise cooperate with such registration, including the issuance of such certificates or other documents which the underwriters may reasonably request and the execution and delivery of customary “lock-up” agreements;</w:t>
      </w:r>
    </w:p>
    <w:p>
      <w:pPr>
        <w:spacing w:after="0" w:line="187" w:lineRule="exact"/>
        <w:rPr>
          <w:rFonts w:ascii="Times New Roman" w:cs="Times New Roman" w:eastAsia="Times New Roman" w:hAnsi="Times New Roman"/>
          <w:sz w:val="20"/>
          <w:szCs w:val="20"/>
          <w:color w:val="auto"/>
        </w:rPr>
      </w:pPr>
    </w:p>
    <w:p>
      <w:pPr>
        <w:jc w:val="both"/>
        <w:ind w:left="644" w:hanging="644"/>
        <w:spacing w:after="0" w:line="261" w:lineRule="auto"/>
        <w:tabs>
          <w:tab w:leader="none" w:pos="639"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best efforts to ensure sufficient issuance capacity under any Form F-6 registration statement in respect of its ADSs and to procure the cooperation of the depositary bank as required to effect the offering or disposition of the Registrable Securities being sold;</w:t>
      </w:r>
    </w:p>
    <w:p>
      <w:pPr>
        <w:spacing w:after="0" w:line="181" w:lineRule="exact"/>
        <w:rPr>
          <w:rFonts w:ascii="Times New Roman" w:cs="Times New Roman" w:eastAsia="Times New Roman" w:hAnsi="Times New Roman"/>
          <w:sz w:val="20"/>
          <w:szCs w:val="20"/>
          <w:color w:val="auto"/>
        </w:rPr>
      </w:pPr>
    </w:p>
    <w:p>
      <w:pPr>
        <w:jc w:val="both"/>
        <w:ind w:left="644" w:hanging="644"/>
        <w:spacing w:after="0" w:line="261" w:lineRule="auto"/>
        <w:tabs>
          <w:tab w:leader="none" w:pos="632"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its best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67" w:lineRule="exact"/>
        <w:rPr>
          <w:rFonts w:ascii="Times New Roman" w:cs="Times New Roman" w:eastAsia="Times New Roman" w:hAnsi="Times New Roman"/>
          <w:sz w:val="20"/>
          <w:szCs w:val="20"/>
          <w:color w:val="auto"/>
        </w:rPr>
      </w:pPr>
    </w:p>
    <w:p>
      <w:pPr>
        <w:jc w:val="both"/>
        <w:ind w:left="644" w:hanging="644"/>
        <w:spacing w:after="0" w:line="268" w:lineRule="auto"/>
        <w:tabs>
          <w:tab w:leader="none" w:pos="632"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 transfer agent and registrar and depositary, if applicable, for all Registrable Securities registered pursuant to this Schedule 1 and provide a CUSIP number for all such Registrable Securities, in each case not later than the effective date of such registration;</w:t>
      </w:r>
    </w:p>
    <w:p>
      <w:pPr>
        <w:spacing w:after="0" w:line="161" w:lineRule="exact"/>
        <w:rPr>
          <w:rFonts w:ascii="Times New Roman" w:cs="Times New Roman" w:eastAsia="Times New Roman" w:hAnsi="Times New Roman"/>
          <w:sz w:val="20"/>
          <w:szCs w:val="20"/>
          <w:color w:val="auto"/>
        </w:rPr>
      </w:pPr>
    </w:p>
    <w:p>
      <w:pPr>
        <w:jc w:val="both"/>
        <w:ind w:left="644" w:hanging="644"/>
        <w:spacing w:after="0" w:line="257" w:lineRule="auto"/>
        <w:tabs>
          <w:tab w:leader="none" w:pos="642"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make available for inspection by SBG, any underwriter(s) participating in any disposition pursuant to such registration statement, and any attorney or accountant or other agent retained by any such underwriter or selected by SBG,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584"/>
          </w:cols>
          <w:pgMar w:left="976" w:top="1413" w:right="339" w:bottom="1440" w:gutter="0" w:footer="0" w:header="0"/>
        </w:sectPr>
      </w:pPr>
    </w:p>
    <w:bookmarkStart w:id="457" w:name="page458"/>
    <w:bookmarkEnd w:id="457"/>
    <w:p>
      <w:pPr>
        <w:ind w:left="1300"/>
        <w:spacing w:after="0" w:line="283" w:lineRule="auto"/>
        <w:rPr>
          <w:sz w:val="20"/>
          <w:szCs w:val="20"/>
          <w:color w:val="auto"/>
        </w:rPr>
      </w:pPr>
      <w:r>
        <w:rPr>
          <w:rFonts w:ascii="Times New Roman" w:cs="Times New Roman" w:eastAsia="Times New Roman" w:hAnsi="Times New Roman"/>
          <w:sz w:val="20"/>
          <w:szCs w:val="20"/>
          <w:color w:val="auto"/>
        </w:rPr>
        <w:t>verify the accuracy of the information in such registration statement and to conduct appropriate due diligence in connection therewith;</w:t>
      </w:r>
    </w:p>
    <w:p>
      <w:pPr>
        <w:spacing w:after="0" w:line="146" w:lineRule="exact"/>
        <w:rPr>
          <w:sz w:val="20"/>
          <w:szCs w:val="20"/>
          <w:color w:val="auto"/>
        </w:rPr>
      </w:pPr>
    </w:p>
    <w:p>
      <w:pPr>
        <w:ind w:left="1300" w:hanging="644"/>
        <w:spacing w:after="0" w:line="283" w:lineRule="auto"/>
        <w:tabs>
          <w:tab w:leader="none" w:pos="1298"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SBG,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such registration statement becomes effective, notify SBG of any request by the SEC that the Company amend or supplement such registration statement or prospectus.</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i w:val="1"/>
          <w:iCs w:val="1"/>
          <w:color w:val="auto"/>
        </w:rPr>
        <w:t>Furnish Information</w:t>
      </w:r>
    </w:p>
    <w:p>
      <w:pPr>
        <w:spacing w:after="0" w:line="22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It shall be a condition precedent to the obligations of the Company to take any action pursuant to this paragraph 2 with respect to the Registrable Securities of SBG that SBG shall furnish to the Company such information regarding itself, the Registrable Securities held by it, and the intended method of disposition of such securities as is reasonably required to effect the registration of SBG’s Registrable Securities.</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i w:val="1"/>
          <w:iCs w:val="1"/>
          <w:color w:val="auto"/>
        </w:rPr>
        <w:t>Expenses of Registration</w:t>
      </w:r>
    </w:p>
    <w:p>
      <w:pPr>
        <w:spacing w:after="0" w:line="220"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All expenses incurred in connection with registrations, filings, or qualifications pursuant to this paragraph 2, including all registration, filing, and qualification fees, printers’ and accounting fees and the fees and disbursements of counsel for the Company shall be borne and paid by the Company, except that SBG’s internal administrative and similar costs, the fees and disbursements of its counsel and any underwriting discounts and commissions applicable to the sale of Registrable Securities will be paid by SBG; provided that the Company shall not be required to pay for any expenses of any registration proceeding begun pursuant to paragraph 2.1 if the registration request is subsequently withdrawn at the request of SBG (in which case SBG shall bear such expenses); provided further that if, at the time of such withdrawal, SBG has learned of a material adverse change in the condition, business, or prospects of the Company from that known to SBG at the time of their request and have withdrawn the request with reasonable promptness after learning of such information then SBG shall not be required to pay any of such expenses and the Company shall bear and pay such expenses instead.</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i w:val="1"/>
          <w:iCs w:val="1"/>
          <w:color w:val="auto"/>
        </w:rPr>
        <w:t>Other financing and other transactions</w:t>
      </w:r>
    </w:p>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Company shall provide all information, access and support reasonably required or desired by SBG for any processes or documents in respect of other registered or unregistered financing or other transactions, including marketing, due diligence and transaction documents (including the execution of any agreements, certificates, opinions, comfort letters or other deliverables reasonably required by SBG).</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i w:val="1"/>
          <w:iCs w:val="1"/>
          <w:color w:val="auto"/>
        </w:rPr>
        <w:t>Indemnification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Registrable Securities are included in a registration statement under this paragraph 2:</w:t>
      </w:r>
    </w:p>
    <w:p>
      <w:pPr>
        <w:spacing w:after="0" w:line="216" w:lineRule="exact"/>
        <w:rPr>
          <w:sz w:val="20"/>
          <w:szCs w:val="20"/>
          <w:color w:val="auto"/>
        </w:rPr>
      </w:pPr>
    </w:p>
    <w:p>
      <w:pPr>
        <w:jc w:val="both"/>
        <w:ind w:left="1300" w:hanging="644"/>
        <w:spacing w:after="0" w:line="257" w:lineRule="auto"/>
        <w:tabs>
          <w:tab w:leader="none" w:pos="1290"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indemnify and hold harmless SBG, its partners, members, officers, directors, and shareholders, legal counsel and accountants for SBG; any underwriter (as defined in the Securities Act) for SBG; and each person, if any, who controls SBG, any underwriter within the meaning of the Securities Act or the Exchange Act (an “Indemnified Party”), against any Damages, and the Company will pay to SBG, underwriter, controlling person, or other aforementioned person any legal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458" w:name="page459"/>
    <w:bookmarkEnd w:id="458"/>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expenses reasonably incurred thereby in connection with investigating or defending any claim or proceeding from which Damages may result, as such expenses are incurred; provided that the indemnity agreement contained in this paragraph 2.9(a) shall not apply to amounts paid in settlement of any such claim or proceeding if such 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 of SBG.</w:t>
      </w:r>
    </w:p>
    <w:p>
      <w:pPr>
        <w:spacing w:after="0" w:line="192" w:lineRule="exact"/>
        <w:rPr>
          <w:sz w:val="20"/>
          <w:szCs w:val="20"/>
          <w:color w:val="auto"/>
        </w:rPr>
      </w:pPr>
    </w:p>
    <w:p>
      <w:pPr>
        <w:jc w:val="both"/>
        <w:ind w:left="1300" w:hanging="644"/>
        <w:spacing w:after="0" w:line="250" w:lineRule="auto"/>
        <w:tabs>
          <w:tab w:leader="none" w:pos="1315"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If the indemnification provided for in this paragraph 2.9 is unavailable to an indemnified party in respect of any Damages (other than in accordance with its terms), then the Company, in lieu of indemnifying such Indemnified Party, shall contribute to the amount paid or payable by such Indemnified Party as a result of such Damage, in such proportion as is appropriate to reflect the relative fault of the Company, on the one hand, and such Indemnified Party, on the other hand, in connection with the actions, statements or omissions that resulted in such Damage as well as any other relevant equitable considerations. The relative fault of the Company, on the one hand, and the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the Company or Indemnified Party and the parties’ relative intent, knowledge, access to information and opportunity to correct or prevent any such action, statement or omission.</w:t>
      </w:r>
    </w:p>
    <w:p>
      <w:pPr>
        <w:spacing w:after="0" w:line="196"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290"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it would not be just and equitable if contribution pursuant to this paragraph 2.9 were determined by pro rata allocation or by any other method of allocation that does not take account of the equitable considerations referred to in the immediately preceding paragraph. Notwithstanding the provisions of this paragraph 2.9, the Company shall not be required to contribute any amount in excess of the amount that the Company has otherwise been, or would otherwise be, required to pay pursuant to paragraph 2.9 by reason of such untrue or alleged untrue statement or omission or alleged omission. No Person guilty of fraudulent misrepresentation (within the meaning of Section 12(f) of the Securities Act) shall be entitled to contribution from any Person who was not guilty of such fraudulent misrepresentation.</w:t>
      </w:r>
    </w:p>
    <w:p>
      <w:pPr>
        <w:spacing w:after="0" w:line="192"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that the provisions on indemnification and contribution contained in the underwriting agreement entered into in connection with an Underwritten Public Offering are in conflict with the foregoing provisions, the provisions in the underwriting agreement shall prevail.</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90"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superseded by an underwriting agreement entered into in connection with an Underwritten Offering, the obligations of the Company and SBG under this paragraph 2.9 shall survive the completion of any offering of Registrable Securities in a registration under this paragraph 2, and otherwise shall survive the termination of this Agreement.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i w:val="1"/>
          <w:iCs w:val="1"/>
          <w:color w:val="auto"/>
        </w:rPr>
        <w:t>Limitations on Subsequent Registration Rights</w:t>
      </w:r>
    </w:p>
    <w:p>
      <w:pPr>
        <w:spacing w:after="0" w:line="233"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From and after the date of this Agreement, the Company shall not, without the prior written consent of SBG, enter into any agreement with any holder or prospective holder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459" w:name="page460"/>
    <w:bookmarkEnd w:id="459"/>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securities of the Company that would (i) provide to such holder the right to include securities in any registration on other than a subordinate basis after SBG has had the opportunity to include in the registration and offering all shares of Registrable Securities that it wishes to so include or (ii) allow such holder or prospective holder to initiate a demand for registration of any securities held by such holder or prospective holder.</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i w:val="1"/>
          <w:iCs w:val="1"/>
          <w:color w:val="auto"/>
        </w:rPr>
        <w:t>Rule 144</w:t>
      </w:r>
    </w:p>
    <w:p>
      <w:pPr>
        <w:spacing w:after="0" w:line="233" w:lineRule="exact"/>
        <w:rPr>
          <w:sz w:val="20"/>
          <w:szCs w:val="20"/>
          <w:color w:val="auto"/>
        </w:rPr>
      </w:pPr>
    </w:p>
    <w:p>
      <w:pPr>
        <w:jc w:val="both"/>
        <w:ind w:left="1300" w:hanging="644"/>
        <w:spacing w:after="0" w:line="250" w:lineRule="auto"/>
        <w:tabs>
          <w:tab w:leader="none" w:pos="129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after the Company has filed a Registration Statement with the SEC under the Securities Act or the Exchange Act, the Company shall (i) use best efforts to file the reports required to be filed by it under the Securities Act and the Exchange Act in a timely manner, (ii) take such further action as any holder of Registrable Securities may reasonably request and (iii) furnish to each holder of Registrable Securities forthwith upon written request (x) a written statement by the Company as to its compliance with the applicable reporting requirements of Rule 144, the Securities Act and the Exchange Act, (y) to the extent required by Rule 144, a copy of the most recent annual or quarterly report of the Company and (z) such other reports and documents so filed by the Company as such holder may reasonably request in availing itself of Rule 144, all to the extent required from time to time to enable such holder to sell Registrable Securities without registration under the Securities Act within the limitations of the exemption provided by Rule 144. Upon the request of any holder of Registrable Securities, the Company shall deliver to such holder a written statement as to whether it has complied with such requirements.</w:t>
      </w:r>
    </w:p>
    <w:p>
      <w:pPr>
        <w:spacing w:after="0" w:line="19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provisions of this paragraph 2.11 are not intended to modify or otherwise affect any restrictions on transfers of securities contained in any other contract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9"/>
          <w:szCs w:val="19"/>
          <w:color w:val="auto"/>
        </w:rPr>
        <w:t>In witness whereof, this document has been executed as a deed and is delivered and takes effect on the date written at the beginning of it.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SOFTBANK GROUP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Acting by</w:t>
      </w:r>
    </w:p>
    <w:p>
      <w:pPr>
        <w:spacing w:after="0" w:line="14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color w:val="auto"/>
        </w:rPr>
        <w:t>/s/ Yoshimitsu Goto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-10795</wp:posOffset>
            </wp:positionV>
            <wp:extent cx="18129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23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9"/>
          <w:szCs w:val="19"/>
          <w:i w:val="1"/>
          <w:iCs w:val="1"/>
          <w:color w:val="auto"/>
        </w:rPr>
        <w:t xml:space="preserve">Title: </w:t>
      </w:r>
      <w:r>
        <w:rPr>
          <w:rFonts w:ascii="Times New Roman" w:cs="Times New Roman" w:eastAsia="Times New Roman" w:hAnsi="Times New Roman"/>
          <w:sz w:val="19"/>
          <w:szCs w:val="19"/>
          <w:color w:val="auto"/>
        </w:rPr>
        <w:t>Board Director, Corporate Officer, Senior Vice</w:t>
      </w:r>
    </w:p>
    <w:p>
      <w:pPr>
        <w:spacing w:after="0" w:line="4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20"/>
          <w:szCs w:val="20"/>
          <w:color w:val="auto"/>
        </w:rPr>
        <w:t>President, CFO &amp; CISO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Shareholder Governance Agreement</w:t>
      </w:r>
      <w:r>
        <w:rPr>
          <w:rFonts w:ascii="Times New Roman" w:cs="Times New Roman" w:eastAsia="Times New Roman" w:hAnsi="Times New Roman"/>
          <w:sz w:val="18"/>
          <w:szCs w:val="18"/>
          <w:color w:val="auto"/>
        </w:rPr>
        <w:t>]</w:t>
      </w:r>
    </w:p>
    <w:p>
      <w:pPr>
        <w:sectPr>
          <w:pgSz w:w="11900" w:h="16838" w:orient="portrait"/>
          <w:cols w:equalWidth="0" w:num="1">
            <w:col w:w="10860"/>
          </w:cols>
          <w:pgMar w:left="400" w:top="1413" w:right="639" w:bottom="1440" w:gutter="0" w:footer="0" w:header="0"/>
        </w:sectPr>
      </w:pPr>
    </w:p>
    <w:bookmarkStart w:id="461" w:name="page462"/>
    <w:bookmarkEnd w:id="461"/>
    <w:p>
      <w:pPr>
        <w:spacing w:after="0" w:line="50" w:lineRule="exact"/>
        <w:rPr>
          <w:sz w:val="20"/>
          <w:szCs w:val="20"/>
          <w:color w:val="auto"/>
        </w:rPr>
      </w:pPr>
    </w:p>
    <w:p>
      <w:pPr>
        <w:ind w:right="1560"/>
        <w:spacing w:after="0" w:line="343" w:lineRule="auto"/>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DELIVERED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ARM HOLDINGS PLC</w:t>
      </w:r>
      <w:r>
        <w:rPr>
          <w:rFonts w:ascii="Times New Roman" w:cs="Times New Roman" w:eastAsia="Times New Roman" w:hAnsi="Times New Roman"/>
          <w:sz w:val="20"/>
          <w:szCs w:val="20"/>
          <w:color w:val="auto"/>
        </w:rPr>
        <w:t>, acting by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Rene Haas, its director in the presence of:</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Mandy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511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1130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Witness signature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Mandy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5182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Mandy King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120 Rose Orchard Way</w:t>
      </w:r>
    </w:p>
    <w:p>
      <w:pPr>
        <w:spacing w:after="0" w:line="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San Jose, CA 95134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6332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Signature of Director</w:t>
      </w:r>
    </w:p>
    <w:p>
      <w:pPr>
        <w:spacing w:after="0" w:line="3241" w:lineRule="exact"/>
        <w:rPr>
          <w:sz w:val="20"/>
          <w:szCs w:val="20"/>
          <w:color w:val="auto"/>
        </w:rPr>
      </w:pPr>
    </w:p>
    <w:p>
      <w:pPr>
        <w:sectPr>
          <w:pgSz w:w="11900" w:h="16838" w:orient="portrait"/>
          <w:cols w:equalWidth="0" w:num="2">
            <w:col w:w="5940" w:space="720"/>
            <w:col w:w="339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Shareholder Governance Agreement</w:t>
      </w:r>
      <w:r>
        <w:rPr>
          <w:rFonts w:ascii="Times New Roman" w:cs="Times New Roman" w:eastAsia="Times New Roman" w:hAnsi="Times New Roman"/>
          <w:sz w:val="17"/>
          <w:szCs w:val="17"/>
          <w:color w:val="auto"/>
        </w:rPr>
        <w:t>]</w:t>
      </w:r>
    </w:p>
    <w:p>
      <w:pPr>
        <w:sectPr>
          <w:pgSz w:w="11900" w:h="16838" w:orient="portrait"/>
          <w:cols w:equalWidth="0" w:num="1">
            <w:col w:w="10059"/>
          </w:cols>
          <w:pgMar w:left="400" w:top="1440" w:right="1440" w:bottom="1440" w:gutter="0" w:footer="0" w:header="0"/>
          <w:type w:val="continuous"/>
        </w:sectPr>
      </w:pPr>
    </w:p>
    <w:bookmarkStart w:id="462" w:name="page463"/>
    <w:bookmarkEnd w:id="462"/>
    <w:p>
      <w:pPr>
        <w:jc w:val="right"/>
        <w:spacing w:after="0"/>
        <w:rPr>
          <w:sz w:val="20"/>
          <w:szCs w:val="20"/>
          <w:color w:val="auto"/>
        </w:rPr>
      </w:pPr>
      <w:r>
        <w:rPr>
          <w:rFonts w:ascii="Times New Roman" w:cs="Times New Roman" w:eastAsia="Times New Roman" w:hAnsi="Times New Roman"/>
          <w:sz w:val="22"/>
          <w:szCs w:val="22"/>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Arm Annual Bonus Plan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Reward V4.0 – applicable from 1 April 2021 until any future revision is published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amends and restates previous versions of the Arm Annual Bonus Plan Rules.</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376"/>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Definitions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1.1</w:t>
      </w:r>
      <w:r>
        <w:rPr>
          <w:sz w:val="20"/>
          <w:szCs w:val="20"/>
          <w:color w:val="auto"/>
        </w:rPr>
        <w:tab/>
      </w:r>
      <w:r>
        <w:rPr>
          <w:rFonts w:ascii="Times New Roman" w:cs="Times New Roman" w:eastAsia="Times New Roman" w:hAnsi="Times New Roman"/>
          <w:sz w:val="17"/>
          <w:szCs w:val="17"/>
          <w:b w:val="1"/>
          <w:bCs w:val="1"/>
          <w:color w:val="auto"/>
        </w:rPr>
        <w:t>In these Rules:</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Bonus Percentage</w:t>
      </w:r>
      <w:r>
        <w:rPr>
          <w:rFonts w:ascii="Times New Roman" w:cs="Times New Roman" w:eastAsia="Times New Roman" w:hAnsi="Times New Roman"/>
          <w:sz w:val="18"/>
          <w:szCs w:val="18"/>
          <w:color w:val="auto"/>
        </w:rPr>
        <w:t>” means the actual percentage of each Participant’s Salary payable as a Bonus Award (before adjustments and reductions) for a Plan Period, based on performance against the applicable Performance Conditions set for the applicable Plan Period;</w:t>
      </w:r>
    </w:p>
    <w:p>
      <w:pPr>
        <w:spacing w:after="0" w:line="7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 Group</w:t>
      </w:r>
      <w:r>
        <w:rPr>
          <w:rFonts w:ascii="Times New Roman" w:cs="Times New Roman" w:eastAsia="Times New Roman" w:hAnsi="Times New Roman"/>
          <w:sz w:val="18"/>
          <w:szCs w:val="18"/>
          <w:color w:val="auto"/>
        </w:rPr>
        <w:t>” means any or all as the context allows of the Company and any company the majority of whose voting shares is now or hereafter owned or controlled, directly or indirectly, by the Company, as applicable. A company shall be a subsidiary of the Company only for the period during which such control exists;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Arm Limited or a duly authorized committee thereof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Bonus Award</w:t>
      </w:r>
      <w:r>
        <w:rPr>
          <w:rFonts w:ascii="Times New Roman" w:cs="Times New Roman" w:eastAsia="Times New Roman" w:hAnsi="Times New Roman"/>
          <w:sz w:val="18"/>
          <w:szCs w:val="18"/>
          <w:color w:val="auto"/>
        </w:rPr>
        <w:t>” means any cash bonus payable to a Participant under the Plan calculated as described in Rule 3.4.4;</w:t>
      </w:r>
    </w:p>
    <w:p>
      <w:pPr>
        <w:spacing w:after="0" w:line="14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Unit</w:t>
      </w:r>
      <w:r>
        <w:rPr>
          <w:rFonts w:ascii="Times New Roman" w:cs="Times New Roman" w:eastAsia="Times New Roman" w:hAnsi="Times New Roman"/>
          <w:sz w:val="18"/>
          <w:szCs w:val="18"/>
          <w:color w:val="auto"/>
        </w:rPr>
        <w:t>” means a division or business unit of any member of the Arm Group or any subdivision thereof, in each case as determined by the Committee in its sole discretion;</w:t>
      </w:r>
    </w:p>
    <w:p>
      <w:pPr>
        <w:spacing w:after="0" w:line="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termination of a Participant’s employment as a result of such Participant’s (a) being convicted of any felony or criminal offense, in each case either resulting in a custodial sentence or involving a finding of fraud or dishonesty, or (b) committing an act or omission of wilful or gross misconduct and/or gross negligence in connection with the performance of such Participant’s duties in the course of his or her employment; provided, all initial determinations whether a termination of employment is for Cause shall be made by the Committee, in its sole discretion in good faith; provided, further, for the avoidance of doubt, in the event that an employment tribunal, court or any other regulatory body of competent jurisdiction finds that such Participant’s termination was unfair and/or unlawful, whether on a procedural or substantive basis, such termination shall not be for Cause;</w:t>
      </w:r>
    </w:p>
    <w:p>
      <w:pPr>
        <w:spacing w:after="0" w:line="11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the sale of all or substantially all the assets of the Company to any corporation or other entity that is not a member of the SoftBank Group; (b) any merger, consolidation or acquisition of the Company with, by or into another corporation or other entity that is not a member of the SoftBank Group; or (c) any change in the ownership outside of the SoftBank Group in one or more related transactions of more than fifty percent (50%) of the voting capital stock of the Company (including, for the avoidance of doubt, the consummation of the NVIDIA Transaction);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Executive Committee or another duly authorized committee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Arm Limited and its successors;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an employee of a member of the Arm Group;</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IoTP Group</w:t>
      </w:r>
      <w:r>
        <w:rPr>
          <w:rFonts w:ascii="Times New Roman" w:cs="Times New Roman" w:eastAsia="Times New Roman" w:hAnsi="Times New Roman"/>
          <w:sz w:val="18"/>
          <w:szCs w:val="18"/>
          <w:color w:val="auto"/>
        </w:rPr>
        <w:t xml:space="preserve"> ” means Arm Cloud Services Limited, Arm Cloud Technology, Inc., Kigen (UK) Limited, Kigen Denmark ApS, Kigen South Africa Proprietary Limited, and all present and future direct or indirect subsidiaries of any of the foregoing;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NVIDIA</w:t>
      </w:r>
      <w:r>
        <w:rPr>
          <w:rFonts w:ascii="Times New Roman" w:cs="Times New Roman" w:eastAsia="Times New Roman" w:hAnsi="Times New Roman"/>
          <w:sz w:val="18"/>
          <w:szCs w:val="18"/>
          <w:color w:val="auto"/>
        </w:rPr>
        <w:t>” means NVIDIA Corporation, NVIDIA International Holdings Inc., and any of their respective subsidiaries or controlled affiliates;</w:t>
      </w:r>
    </w:p>
    <w:p>
      <w:pPr>
        <w:spacing w:after="0" w:line="1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NVIDIA Transaction</w:t>
      </w:r>
      <w:r>
        <w:rPr>
          <w:rFonts w:ascii="Times New Roman" w:cs="Times New Roman" w:eastAsia="Times New Roman" w:hAnsi="Times New Roman"/>
          <w:sz w:val="18"/>
          <w:szCs w:val="18"/>
          <w:color w:val="auto"/>
        </w:rPr>
        <w:t>” means the transactions contemplated by the Share Purchase Agreement, dated as of 13 September 2020, by and among NVIDIA Corporation, NVIDIA International Holdings Inc., Arm Limited, Softbank Group Capital Limited and SVF Holdco (UK) Limited;</w:t>
      </w:r>
    </w:p>
    <w:p>
      <w:pPr>
        <w:spacing w:after="0" w:line="8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Employee (determined as of the applicable selection date for a Bonus Award) who has been selected by the Committee to participate in the Plan pursuant to Rules 2 and 3 and who has received a Bonus Award under the Plan which has not been forfeited pursuant to the Rules or otherwise;</w:t>
      </w:r>
    </w:p>
    <w:p>
      <w:pPr>
        <w:sectPr>
          <w:pgSz w:w="11900" w:h="16838" w:orient="portrait"/>
          <w:cols w:equalWidth="0" w:num="1">
            <w:col w:w="11240"/>
          </w:cols>
          <w:pgMar w:left="320" w:top="121" w:right="3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Conditions</w:t>
      </w:r>
      <w:r>
        <w:rPr>
          <w:rFonts w:ascii="Times New Roman" w:cs="Times New Roman" w:eastAsia="Times New Roman" w:hAnsi="Times New Roman"/>
          <w:sz w:val="18"/>
          <w:szCs w:val="18"/>
          <w:color w:val="auto"/>
        </w:rPr>
        <w:t>” means any condition or conditions set for a Plan Period or a fiscal year of the Company under Rule 3.3;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plan in its present form or as amended from time to time in accordance with these Rules;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Period</w:t>
      </w:r>
      <w:r>
        <w:rPr>
          <w:rFonts w:ascii="Times New Roman" w:cs="Times New Roman" w:eastAsia="Times New Roman" w:hAnsi="Times New Roman"/>
          <w:sz w:val="18"/>
          <w:szCs w:val="18"/>
          <w:color w:val="auto"/>
        </w:rPr>
        <w:t>” means the period determined by the Committee by reference to which Bonus Awards may be payable under the Plan;</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Leaver</w:t>
      </w:r>
      <w:r>
        <w:rPr>
          <w:rFonts w:ascii="Times New Roman" w:cs="Times New Roman" w:eastAsia="Times New Roman" w:hAnsi="Times New Roman"/>
          <w:sz w:val="18"/>
          <w:szCs w:val="18"/>
          <w:color w:val="auto"/>
        </w:rPr>
        <w:t>” means a Participant employed by any member of the Arm Group as of such Participant’s Qualifying Leaver Date (if applicable) (a) whose employment is terminated on or after 1 April 2021 by a member of the Arm Group for any reason other than (i) Cause or (ii) any dismissal by reason of redundancy or any dismissal based on employee performance, in each case in the ordinary course of business, (b) who is subject to a Transferred Employment Event (SoftBank) from employment with a member of the Arm Group and (i) who is employed by a member of the SoftBank Group as of the end of the Plan Period that includes such Transferred Employment Event (SoftBank) or (ii) whose employment is terminated on or after 1 April 2021 but prior to the end of the Plan Period that includes such Transferred Employment Event (SoftBank) for any reason other than Cause, or (c) who is not a TD/IoTP Participant and who experiences a Transferred Employment Event (TD/IoTP) from employment with any member of the Arm Group or the SoftBank Group;</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Leaver Date</w:t>
      </w:r>
      <w:r>
        <w:rPr>
          <w:rFonts w:ascii="Times New Roman" w:cs="Times New Roman" w:eastAsia="Times New Roman" w:hAnsi="Times New Roman"/>
          <w:sz w:val="18"/>
          <w:szCs w:val="18"/>
          <w:color w:val="auto"/>
        </w:rPr>
        <w:t>” means (a) with respect to each Eligible Employee whose employment by the Arm Group commenced on or prior to 1 April 2021, 1 April 2021 and (b) with respect to each Eligible Employee whose employment by the Arm Group commenced after 1 April 2021, such later date as may be approved by the Committee, if 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means these Arm Annual Bonus Plan Rules, as amended from time to time;</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 in relation to a Bonus Award for a Plan Period, means the actual base salary paid to a Participant during that Plan Period. The actual base salary is calculated based on pro-rated days for each different rate of annual salary in effect during the Plan Period. Changes in base annual salary or hours worked during a Plan Period will change the actual base salary. For Participants who are part-time employees, the actual base salary is the pro-rated base annual salary in effect during the Plan Period. For those Participants on approved statutory leave (for example, maternity, sickness, paternity and parental leave based on local country practice) for any part of a Plan Period, the actual base salary will be calculated based on actual base salary prior to and following the leave and the base annual salary relating to the employees’ work hours during the leave period. For other periods of approved unpaid leave, the base salary may in some circumstances be reduced in consideration of the leave period. The leave period will be calculated as the number of working days, including public holidays, for any working week affected by the absence. All periods of unapproved absence will be taken into account when calculating the actual base salary during the Plan Period;</w:t>
      </w:r>
    </w:p>
    <w:p>
      <w:pPr>
        <w:spacing w:after="0" w:line="12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SoftBank Group</w:t>
      </w:r>
      <w:r>
        <w:rPr>
          <w:rFonts w:ascii="Times New Roman" w:cs="Times New Roman" w:eastAsia="Times New Roman" w:hAnsi="Times New Roman"/>
          <w:sz w:val="18"/>
          <w:szCs w:val="18"/>
          <w:color w:val="auto"/>
        </w:rPr>
        <w:t>” means (a) SoftBank Group Corp. and its controlled subsidiaries and other controlled affiliates and (b) SVF and any affiliate thereof, or any alternative investment vehicle or similar entity established in relation thereto, and in each case, (i) “affiliate” shall be as defined in Rule 405 under the Securities Act of 1933, as amended, and (ii) the foregoing entities shall exclude any member of the Arm Group, the TD Group, or the IoTP Group;</w:t>
      </w:r>
    </w:p>
    <w:p>
      <w:pPr>
        <w:spacing w:after="0" w:line="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SVF</w:t>
      </w:r>
      <w:r>
        <w:rPr>
          <w:rFonts w:ascii="Times New Roman" w:cs="Times New Roman" w:eastAsia="Times New Roman" w:hAnsi="Times New Roman"/>
          <w:sz w:val="18"/>
          <w:szCs w:val="18"/>
          <w:color w:val="auto"/>
        </w:rPr>
        <w:t>” means SoftBank Vision Fund L.P. (“</w:t>
      </w:r>
      <w:r>
        <w:rPr>
          <w:rFonts w:ascii="Times New Roman" w:cs="Times New Roman" w:eastAsia="Times New Roman" w:hAnsi="Times New Roman"/>
          <w:sz w:val="18"/>
          <w:szCs w:val="18"/>
          <w:b w:val="1"/>
          <w:bCs w:val="1"/>
          <w:color w:val="auto"/>
        </w:rPr>
        <w:t>Vision Fund</w:t>
      </w:r>
      <w:r>
        <w:rPr>
          <w:rFonts w:ascii="Times New Roman" w:cs="Times New Roman" w:eastAsia="Times New Roman" w:hAnsi="Times New Roman"/>
          <w:sz w:val="18"/>
          <w:szCs w:val="18"/>
          <w:color w:val="auto"/>
        </w:rPr>
        <w:t>”), SoftBank Vision Fund II L.P. (“</w:t>
      </w:r>
      <w:r>
        <w:rPr>
          <w:rFonts w:ascii="Times New Roman" w:cs="Times New Roman" w:eastAsia="Times New Roman" w:hAnsi="Times New Roman"/>
          <w:sz w:val="18"/>
          <w:szCs w:val="18"/>
          <w:b w:val="1"/>
          <w:bCs w:val="1"/>
          <w:color w:val="auto"/>
        </w:rPr>
        <w:t>Vision Fund II</w:t>
      </w:r>
      <w:r>
        <w:rPr>
          <w:rFonts w:ascii="Times New Roman" w:cs="Times New Roman" w:eastAsia="Times New Roman" w:hAnsi="Times New Roman"/>
          <w:sz w:val="18"/>
          <w:szCs w:val="18"/>
          <w:color w:val="auto"/>
        </w:rPr>
        <w:t>”) or any successor fund established in relation to Vision Fund or Vision Fund II, the general partner, advisor or manager of which is a direct or indirect subsidiary of SoftBank Group Corp.;</w:t>
      </w:r>
    </w:p>
    <w:p>
      <w:pPr>
        <w:spacing w:after="0" w:line="8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Bonus Percentage</w:t>
      </w:r>
      <w:r>
        <w:rPr>
          <w:rFonts w:ascii="Times New Roman" w:cs="Times New Roman" w:eastAsia="Times New Roman" w:hAnsi="Times New Roman"/>
          <w:sz w:val="18"/>
          <w:szCs w:val="18"/>
          <w:color w:val="auto"/>
        </w:rPr>
        <w:t>” means the target percentage of each Participant’s Salary which may be payable as a Bonus Award for a Plan Period, depending on the satisfaction of applicable Performance Conditions;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TD Group</w:t>
      </w:r>
      <w:r>
        <w:rPr>
          <w:rFonts w:ascii="Times New Roman" w:cs="Times New Roman" w:eastAsia="Times New Roman" w:hAnsi="Times New Roman"/>
          <w:sz w:val="18"/>
          <w:szCs w:val="18"/>
          <w:color w:val="auto"/>
        </w:rPr>
        <w:t>” means Treasure Data, Inc., Treasure Data US LLC, and all present and future direct or indirect subsidiaries of either of the foregoing;</w:t>
      </w:r>
    </w:p>
    <w:p>
      <w:pPr>
        <w:spacing w:after="0" w:line="14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TD/IoTP Participant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404040"/>
        </w:rPr>
        <w:t>a Participant who is employed by a member of the Arm Group (other than the TD Group or the IoTP Group, as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04040"/>
        </w:rPr>
        <w:t>who, as determined by the Committee in good faith, provides 80% or more of his/her employee services from 1 October 2020 to 31 March 2021 to, or for the primary benefit of, either the TD Group and its related business or the IoTP Group and its related business;</w:t>
      </w:r>
    </w:p>
    <w:p>
      <w:pPr>
        <w:spacing w:after="0" w:line="1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Employment Event (TD/IoTP)</w:t>
      </w:r>
      <w:r>
        <w:rPr>
          <w:rFonts w:ascii="Times New Roman" w:cs="Times New Roman" w:eastAsia="Times New Roman" w:hAnsi="Times New Roman"/>
          <w:sz w:val="18"/>
          <w:szCs w:val="18"/>
          <w:color w:val="auto"/>
        </w:rPr>
        <w:t>” means, with respect to a Participant, the transfer of such Participant’s employment (whether by operation of law or by consent) to, or the assumption and/or 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7" w:right="339" w:bottom="1440" w:gutter="0" w:footer="0" w:header="0"/>
        </w:sectPr>
      </w:pPr>
    </w:p>
    <w:bookmarkStart w:id="464" w:name="page465"/>
    <w:bookmarkEnd w:id="464"/>
    <w:p>
      <w:pPr>
        <w:ind w:right="520"/>
        <w:spacing w:after="0" w:line="312" w:lineRule="auto"/>
        <w:rPr>
          <w:sz w:val="20"/>
          <w:szCs w:val="20"/>
          <w:color w:val="auto"/>
        </w:rPr>
      </w:pPr>
      <w:r>
        <w:rPr>
          <w:rFonts w:ascii="Times New Roman" w:cs="Times New Roman" w:eastAsia="Times New Roman" w:hAnsi="Times New Roman"/>
          <w:sz w:val="17"/>
          <w:szCs w:val="17"/>
          <w:color w:val="auto"/>
        </w:rPr>
        <w:t>of such Participant’s employment by or with (in each case, whether directly or indirectly by virtue of a merger, consolidation, spin-off, contribution, acquisition, or other corporate transaction involving such Participant’s employer), any member of the TD Group or the IoTP Group; and</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Employment Event (SoftBank)</w:t>
      </w:r>
      <w:r>
        <w:rPr>
          <w:rFonts w:ascii="Times New Roman" w:cs="Times New Roman" w:eastAsia="Times New Roman" w:hAnsi="Times New Roman"/>
          <w:sz w:val="18"/>
          <w:szCs w:val="18"/>
          <w:color w:val="auto"/>
        </w:rPr>
        <w:t>” means, with respect to a Participant, the transfer of such Participant’s employment (whether by operation of law or by consent) to, or the assumption and/or continuation of such Participant’s employment by or with (in each case, whether directly or indirectly by virtue of a merger, consolidation, spin-off, contribution, acquisition, or other corporate transaction involving such Participant’s employer), any member of the SoftBank Group.</w:t>
      </w:r>
    </w:p>
    <w:p>
      <w:pPr>
        <w:spacing w:after="0" w:line="95" w:lineRule="exact"/>
        <w:rPr>
          <w:sz w:val="20"/>
          <w:szCs w:val="20"/>
          <w:color w:val="auto"/>
        </w:rPr>
      </w:pPr>
    </w:p>
    <w:p>
      <w:pPr>
        <w:ind w:right="9660" w:firstLine="8"/>
        <w:spacing w:after="0" w:line="422" w:lineRule="auto"/>
        <w:tabs>
          <w:tab w:leader="none" w:pos="324" w:val="left"/>
        </w:tabs>
        <w:numPr>
          <w:ilvl w:val="0"/>
          <w:numId w:val="377"/>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 xml:space="preserve">Administration 2.1 </w:t>
      </w:r>
      <w:r>
        <w:rPr>
          <w:rFonts w:ascii="Times New Roman" w:cs="Times New Roman" w:eastAsia="Times New Roman" w:hAnsi="Times New Roman"/>
          <w:sz w:val="18"/>
          <w:szCs w:val="18"/>
          <w:b w:val="1"/>
          <w:bCs w:val="1"/>
          <w:color w:val="000000"/>
        </w:rPr>
        <w:t>Committee</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0091BD"/>
        </w:rPr>
        <w:t xml:space="preserve">2.1.1 </w:t>
      </w:r>
      <w:r>
        <w:rPr>
          <w:rFonts w:ascii="Times New Roman" w:cs="Times New Roman" w:eastAsia="Times New Roman" w:hAnsi="Times New Roman"/>
          <w:sz w:val="18"/>
          <w:szCs w:val="18"/>
          <w:color w:val="000000"/>
        </w:rPr>
        <w:t>The Plan shall be administered by the Committee, which shall have the sole discretionary authority to interpret and administer the Plan and the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Rules as it deems necessary or appropriate, and every power conferred on the Committee by these Rules may be exercised by the Committee in its sole discretion. To the extent permitted by applicable law, the Committee may delegate some or all of its authority with respect to the Plan and the Rules to any member of the Board or to an officer of the Company, with such delegation subject to the restrictions and limits that the Committee specifies at the time of such delegation or thereafter. Any action undertaken by any such member of the Board or officer of the Company in accordance with the Committee’s delegation of authority will have the same force and effect as if undertaken directly by the Committee, and any reference in the Plan and the Rules to the “Committee” will, to the extent consistent with the terms and limitations of such delegation, be deemed to include a reference to each such member of the Board or officer of the Company.</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2.1.2 </w:t>
      </w:r>
      <w:r>
        <w:rPr>
          <w:rFonts w:ascii="Times New Roman" w:cs="Times New Roman" w:eastAsia="Times New Roman" w:hAnsi="Times New Roman"/>
          <w:sz w:val="18"/>
          <w:szCs w:val="18"/>
          <w:color w:val="000000"/>
        </w:rPr>
        <w:t>The Committee may, in the case of any Participant or Eligible Employee, operate the Plan subject to the terms of a special schedule (if any) to the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Rules adopted by the Committee or any other provisions which the Committee notifies the Participant or Eligible Employee will apply.</w:t>
      </w:r>
    </w:p>
    <w:p>
      <w:pPr>
        <w:spacing w:after="0" w:line="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2.1.3 </w:t>
      </w:r>
      <w:r>
        <w:rPr>
          <w:rFonts w:ascii="Times New Roman" w:cs="Times New Roman" w:eastAsia="Times New Roman" w:hAnsi="Times New Roman"/>
          <w:sz w:val="18"/>
          <w:szCs w:val="18"/>
          <w:color w:val="000000"/>
        </w:rPr>
        <w:t>The interpretation or decision of the Board or the Committee made under, or in respect of any dispute relating to, the Plan, the Bonus Awards or</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the Rules will be final, conclusive, and binding on all Participants.</w:t>
      </w:r>
    </w:p>
    <w:p>
      <w:pPr>
        <w:spacing w:after="0" w:line="87" w:lineRule="exact"/>
        <w:rPr>
          <w:sz w:val="20"/>
          <w:szCs w:val="20"/>
          <w:color w:val="auto"/>
        </w:rPr>
      </w:pPr>
    </w:p>
    <w:p>
      <w:pPr>
        <w:ind w:left="340" w:hanging="332"/>
        <w:spacing w:after="0"/>
        <w:tabs>
          <w:tab w:leader="none" w:pos="340" w:val="left"/>
        </w:tabs>
        <w:numPr>
          <w:ilvl w:val="0"/>
          <w:numId w:val="378"/>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Determinations</w:t>
      </w:r>
    </w:p>
    <w:p>
      <w:pPr>
        <w:spacing w:after="0" w:line="14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3.1</w:t>
      </w:r>
      <w:r>
        <w:rPr>
          <w:rFonts w:ascii="Times New Roman" w:cs="Times New Roman" w:eastAsia="Times New Roman" w:hAnsi="Times New Roman"/>
          <w:sz w:val="18"/>
          <w:szCs w:val="18"/>
          <w:b w:val="1"/>
          <w:bCs w:val="1"/>
          <w:color w:val="auto"/>
        </w:rPr>
        <w:tab/>
        <w:t>Start of Plan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start of each Plan Period, the Committee shall determine: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3.1.1</w:t>
      </w:r>
      <w:r>
        <w:rPr>
          <w:sz w:val="20"/>
          <w:szCs w:val="20"/>
          <w:color w:val="auto"/>
        </w:rPr>
        <w:tab/>
      </w:r>
      <w:r>
        <w:rPr>
          <w:rFonts w:ascii="Times New Roman" w:cs="Times New Roman" w:eastAsia="Times New Roman" w:hAnsi="Times New Roman"/>
          <w:sz w:val="17"/>
          <w:szCs w:val="17"/>
          <w:color w:val="auto"/>
        </w:rPr>
        <w:t>whether the Plan will be operated in respect of that Plan Period;</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3.1.2</w:t>
      </w:r>
      <w:r>
        <w:rPr>
          <w:sz w:val="20"/>
          <w:szCs w:val="20"/>
          <w:color w:val="auto"/>
        </w:rPr>
        <w:tab/>
      </w:r>
      <w:r>
        <w:rPr>
          <w:rFonts w:ascii="Times New Roman" w:cs="Times New Roman" w:eastAsia="Times New Roman" w:hAnsi="Times New Roman"/>
          <w:sz w:val="17"/>
          <w:szCs w:val="17"/>
          <w:color w:val="auto"/>
        </w:rPr>
        <w:t>subject to Rule 5.1, which Eligible Employees may participate in the Plan;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3.1.3</w:t>
      </w:r>
      <w:r>
        <w:rPr>
          <w:sz w:val="20"/>
          <w:szCs w:val="20"/>
          <w:color w:val="auto"/>
        </w:rPr>
        <w:tab/>
      </w:r>
      <w:r>
        <w:rPr>
          <w:rFonts w:ascii="Times New Roman" w:cs="Times New Roman" w:eastAsia="Times New Roman" w:hAnsi="Times New Roman"/>
          <w:sz w:val="17"/>
          <w:szCs w:val="17"/>
          <w:color w:val="auto"/>
        </w:rPr>
        <w:t>each such Participant’s Target Bonus Percentage for such Plan Period; and</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3.1.4</w:t>
      </w:r>
      <w:r>
        <w:rPr>
          <w:sz w:val="20"/>
          <w:szCs w:val="20"/>
          <w:color w:val="auto"/>
        </w:rPr>
        <w:tab/>
      </w:r>
      <w:r>
        <w:rPr>
          <w:rFonts w:ascii="Times New Roman" w:cs="Times New Roman" w:eastAsia="Times New Roman" w:hAnsi="Times New Roman"/>
          <w:sz w:val="17"/>
          <w:szCs w:val="17"/>
          <w:color w:val="auto"/>
        </w:rPr>
        <w:t>the Performance Conditions for such Plan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the absence of any such determination, the Plan shall not operate.</w:t>
      </w:r>
    </w:p>
    <w:p>
      <w:pPr>
        <w:spacing w:after="0" w:line="1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3.2</w:t>
      </w:r>
      <w:r>
        <w:rPr>
          <w:rFonts w:ascii="Times New Roman" w:cs="Times New Roman" w:eastAsia="Times New Roman" w:hAnsi="Times New Roman"/>
          <w:sz w:val="18"/>
          <w:szCs w:val="18"/>
          <w:b w:val="1"/>
          <w:bCs w:val="1"/>
          <w:color w:val="auto"/>
        </w:rPr>
        <w:tab/>
        <w:t>Participation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 the Plan will not, in any event, require any payment or repayment from a Participant.</w:t>
      </w:r>
    </w:p>
    <w:p>
      <w:pPr>
        <w:spacing w:after="0" w:line="1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3.3</w:t>
      </w:r>
      <w:r>
        <w:rPr>
          <w:rFonts w:ascii="Times New Roman" w:cs="Times New Roman" w:eastAsia="Times New Roman" w:hAnsi="Times New Roman"/>
          <w:sz w:val="18"/>
          <w:szCs w:val="18"/>
          <w:b w:val="1"/>
          <w:bCs w:val="1"/>
          <w:color w:val="auto"/>
        </w:rPr>
        <w:tab/>
        <w:t>Performance Conditions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Committee shall set Performance Conditions for each Plan Period for the whole Company, one or more Business Units, and/or individual Participants, as appropriate.</w:t>
      </w:r>
    </w:p>
    <w:p>
      <w:pPr>
        <w:spacing w:after="0" w:line="77"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color w:val="0091BD"/>
        </w:rPr>
        <w:t xml:space="preserve">3.3.1 </w:t>
      </w:r>
      <w:r>
        <w:rPr>
          <w:rFonts w:ascii="Times New Roman" w:cs="Times New Roman" w:eastAsia="Times New Roman" w:hAnsi="Times New Roman"/>
          <w:sz w:val="18"/>
          <w:szCs w:val="18"/>
          <w:color w:val="000000"/>
        </w:rPr>
        <w:t>The Committee, in its sole discretion, may amend or waive the Performance Conditions in whole or in part (a) in accordance with the terms</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specified in the Performance Conditions or (b) if events happen which cause the Committee to consider that (i) the amended Performance Conditions would be a fairer measure of performance and would be no more difficult to satisfy than the existing Performance Conditions or (ii) the existing Performance Conditions should be waived in whole or in part.</w:t>
      </w:r>
    </w:p>
    <w:p>
      <w:pPr>
        <w:sectPr>
          <w:pgSz w:w="11900" w:h="16838" w:orient="portrait"/>
          <w:cols w:equalWidth="0" w:num="1">
            <w:col w:w="11180"/>
          </w:cols>
          <w:pgMar w:left="320" w:top="143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80"/>
          </w:cols>
          <w:pgMar w:left="320" w:top="1431" w:right="399" w:bottom="1440" w:gutter="0" w:footer="0" w:header="0"/>
          <w:type w:val="continuous"/>
        </w:sectPr>
      </w:pPr>
    </w:p>
    <w:bookmarkStart w:id="465" w:name="page466"/>
    <w:bookmarkEnd w:id="465"/>
    <w:p>
      <w:pPr>
        <w:ind w:right="14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3.3.2 </w:t>
      </w:r>
      <w:r>
        <w:rPr>
          <w:rFonts w:ascii="Times New Roman" w:cs="Times New Roman" w:eastAsia="Times New Roman" w:hAnsi="Times New Roman"/>
          <w:sz w:val="18"/>
          <w:szCs w:val="18"/>
          <w:color w:val="000000"/>
        </w:rPr>
        <w:t>The Committee reserves the right to withhold and/or reduce and/or cancel all or any part of the Bonus Award for any Participant in the event that</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the Committee considers that such Participant’s performance or conduct during the Plan Period warrants such action.</w:t>
      </w:r>
    </w:p>
    <w:p>
      <w:pPr>
        <w:spacing w:after="0" w:line="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3.4</w:t>
      </w:r>
      <w:r>
        <w:rPr>
          <w:rFonts w:ascii="Times New Roman" w:cs="Times New Roman" w:eastAsia="Times New Roman" w:hAnsi="Times New Roman"/>
          <w:sz w:val="18"/>
          <w:szCs w:val="18"/>
          <w:b w:val="1"/>
          <w:bCs w:val="1"/>
          <w:color w:val="auto"/>
        </w:rPr>
        <w:tab/>
        <w:t>End of Plan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soon as practicable following the end of each Plan Period, the Committee shall:</w:t>
      </w:r>
    </w:p>
    <w:p>
      <w:pPr>
        <w:spacing w:after="0" w:line="15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3.4.1 </w:t>
      </w:r>
      <w:r>
        <w:rPr>
          <w:rFonts w:ascii="Times New Roman" w:cs="Times New Roman" w:eastAsia="Times New Roman" w:hAnsi="Times New Roman"/>
          <w:sz w:val="18"/>
          <w:szCs w:val="18"/>
          <w:color w:val="000000"/>
        </w:rPr>
        <w:t>confirm the list of Participants, considering persons who have become Eligible Employees since the start of such Plan Period or thereafter as</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specified in Rule 5 and any action taken by the Committee under Rule 3.3.2;</w:t>
      </w:r>
    </w:p>
    <w:p>
      <w:pPr>
        <w:spacing w:after="0" w:line="8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3.4.2 </w:t>
      </w:r>
      <w:r>
        <w:rPr>
          <w:rFonts w:ascii="Times New Roman" w:cs="Times New Roman" w:eastAsia="Times New Roman" w:hAnsi="Times New Roman"/>
          <w:sz w:val="18"/>
          <w:szCs w:val="18"/>
          <w:color w:val="000000"/>
        </w:rPr>
        <w:t>review the Company’s, a Business Unit’s and/or an individual Participant’s performance, as applicable, during such Plan Period and determine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whether and to what extent the applicable Performance Conditions have been satisfied;</w:t>
      </w:r>
    </w:p>
    <w:p>
      <w:pPr>
        <w:spacing w:after="0" w:line="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3.4.3</w:t>
      </w:r>
      <w:r>
        <w:rPr>
          <w:sz w:val="20"/>
          <w:szCs w:val="20"/>
          <w:color w:val="auto"/>
        </w:rPr>
        <w:tab/>
      </w:r>
      <w:r>
        <w:rPr>
          <w:rFonts w:ascii="Times New Roman" w:cs="Times New Roman" w:eastAsia="Times New Roman" w:hAnsi="Times New Roman"/>
          <w:sz w:val="17"/>
          <w:szCs w:val="17"/>
          <w:color w:val="auto"/>
        </w:rPr>
        <w:t>determine each Participant’s Actual Bonus Percentage; and</w:t>
      </w:r>
    </w:p>
    <w:p>
      <w:pPr>
        <w:spacing w:after="0" w:line="15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0091BD"/>
        </w:rPr>
        <w:t xml:space="preserve">3.4.4 </w:t>
      </w:r>
      <w:r>
        <w:rPr>
          <w:rFonts w:ascii="Times New Roman" w:cs="Times New Roman" w:eastAsia="Times New Roman" w:hAnsi="Times New Roman"/>
          <w:sz w:val="18"/>
          <w:szCs w:val="18"/>
          <w:color w:val="000000"/>
        </w:rPr>
        <w:t>determine the Bonus Award payable to each Participant. The Bonus Award will be calculated using the Actual Bonus Percentage of the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Participant’s Salary, adjusted as the Committee considers appropriate to take into account such Participant’s performance as against the Participant’s defined targets for the Plan Period or another period or to take any other factor into account as the Committee may think fit. The maximum Bonus Award that can be earned is two hundred percent (200%) of the target Bonus Award (based on the Target Bonus Percentage of the Participant’s Salary) plus any individual performance multiplier.</w:t>
      </w:r>
    </w:p>
    <w:p>
      <w:pPr>
        <w:spacing w:after="0" w:line="1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3.5</w:t>
      </w:r>
      <w:r>
        <w:rPr>
          <w:sz w:val="20"/>
          <w:szCs w:val="20"/>
          <w:color w:val="auto"/>
        </w:rPr>
        <w:tab/>
      </w:r>
      <w:r>
        <w:rPr>
          <w:rFonts w:ascii="Times New Roman" w:cs="Times New Roman" w:eastAsia="Times New Roman" w:hAnsi="Times New Roman"/>
          <w:sz w:val="17"/>
          <w:szCs w:val="17"/>
          <w:b w:val="1"/>
          <w:bCs w:val="1"/>
          <w:color w:val="auto"/>
        </w:rPr>
        <w:t>Notification of Determinations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may make such notifications as it considers appropriate in respect of its determinations.</w:t>
      </w:r>
    </w:p>
    <w:p>
      <w:pPr>
        <w:spacing w:after="0" w:line="154" w:lineRule="exact"/>
        <w:rPr>
          <w:sz w:val="20"/>
          <w:szCs w:val="20"/>
          <w:color w:val="auto"/>
        </w:rPr>
      </w:pPr>
    </w:p>
    <w:p>
      <w:pPr>
        <w:ind w:left="340" w:hanging="332"/>
        <w:spacing w:after="0"/>
        <w:tabs>
          <w:tab w:leader="none" w:pos="340" w:val="left"/>
        </w:tabs>
        <w:numPr>
          <w:ilvl w:val="0"/>
          <w:numId w:val="379"/>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Payment of Bonus Award</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4.1</w:t>
      </w:r>
      <w:r>
        <w:rPr>
          <w:sz w:val="20"/>
          <w:szCs w:val="20"/>
          <w:color w:val="auto"/>
        </w:rPr>
        <w:tab/>
      </w:r>
      <w:r>
        <w:rPr>
          <w:rFonts w:ascii="Times New Roman" w:cs="Times New Roman" w:eastAsia="Times New Roman" w:hAnsi="Times New Roman"/>
          <w:sz w:val="17"/>
          <w:szCs w:val="17"/>
          <w:b w:val="1"/>
          <w:bCs w:val="1"/>
          <w:color w:val="auto"/>
        </w:rPr>
        <w:t>Notification of Bonus Award</w:t>
      </w:r>
    </w:p>
    <w:p>
      <w:pPr>
        <w:spacing w:after="0" w:line="14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4.1.1 </w:t>
      </w:r>
      <w:r>
        <w:rPr>
          <w:rFonts w:ascii="Times New Roman" w:cs="Times New Roman" w:eastAsia="Times New Roman" w:hAnsi="Times New Roman"/>
          <w:sz w:val="18"/>
          <w:szCs w:val="18"/>
          <w:color w:val="000000"/>
        </w:rPr>
        <w:t>Subject to the Rules, as soon as practicable after making the determinations set forth in Rule 3.4, the Committee will provide notice to each</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Participant of such Participant’s earned Bonus Award (if any).</w:t>
      </w:r>
    </w:p>
    <w:p>
      <w:pPr>
        <w:spacing w:after="0" w:line="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4.1.2</w:t>
      </w:r>
      <w:r>
        <w:rPr>
          <w:sz w:val="20"/>
          <w:szCs w:val="20"/>
          <w:color w:val="auto"/>
        </w:rPr>
        <w:tab/>
      </w:r>
      <w:r>
        <w:rPr>
          <w:rFonts w:ascii="Times New Roman" w:cs="Times New Roman" w:eastAsia="Times New Roman" w:hAnsi="Times New Roman"/>
          <w:sz w:val="17"/>
          <w:szCs w:val="17"/>
          <w:color w:val="auto"/>
        </w:rPr>
        <w:t>If no Bonus Award is payable to any Participant, the Committee will make the appropriate notification.</w:t>
      </w:r>
    </w:p>
    <w:p>
      <w:pPr>
        <w:spacing w:after="0" w:line="14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4.2</w:t>
      </w:r>
      <w:r>
        <w:rPr>
          <w:rFonts w:ascii="Times New Roman" w:cs="Times New Roman" w:eastAsia="Times New Roman" w:hAnsi="Times New Roman"/>
          <w:sz w:val="18"/>
          <w:szCs w:val="18"/>
          <w:b w:val="1"/>
          <w:bCs w:val="1"/>
          <w:color w:val="auto"/>
        </w:rPr>
        <w:tab/>
        <w:t>Payment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amount payable to a Participant in accordance with these Rules will:</w:t>
      </w:r>
    </w:p>
    <w:p>
      <w:pPr>
        <w:spacing w:after="0" w:line="154"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b w:val="1"/>
          <w:bCs w:val="1"/>
          <w:color w:val="0091BD"/>
        </w:rPr>
        <w:t xml:space="preserve">4.2.1 </w:t>
      </w:r>
      <w:r>
        <w:rPr>
          <w:rFonts w:ascii="Times New Roman" w:cs="Times New Roman" w:eastAsia="Times New Roman" w:hAnsi="Times New Roman"/>
          <w:sz w:val="18"/>
          <w:szCs w:val="18"/>
          <w:color w:val="000000"/>
        </w:rPr>
        <w:t>be paid by the Company (or if the Company is not the Participant’s employer, by that employer if the Company so determines) as soon as</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reasonably practicable and in all events, with respect to Participants who are U.S. citizens or residents, by March 15</w:t>
      </w:r>
      <w:r>
        <w:rPr>
          <w:rFonts w:ascii="Times New Roman" w:cs="Times New Roman" w:eastAsia="Times New Roman" w:hAnsi="Times New Roman"/>
          <w:sz w:val="23"/>
          <w:szCs w:val="23"/>
          <w:color w:val="000000"/>
          <w:vertAlign w:val="superscript"/>
        </w:rPr>
        <w:t>th</w:t>
      </w:r>
      <w:r>
        <w:rPr>
          <w:rFonts w:ascii="Times New Roman" w:cs="Times New Roman" w:eastAsia="Times New Roman" w:hAnsi="Times New Roman"/>
          <w:sz w:val="18"/>
          <w:szCs w:val="18"/>
          <w:color w:val="000000"/>
        </w:rPr>
        <w:t xml:space="preserve"> of the calendar year following the calendar year in which the relevant Plan Period ends;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4.2.2 </w:t>
      </w:r>
      <w:r>
        <w:rPr>
          <w:rFonts w:ascii="Times New Roman" w:cs="Times New Roman" w:eastAsia="Times New Roman" w:hAnsi="Times New Roman"/>
          <w:sz w:val="18"/>
          <w:szCs w:val="18"/>
          <w:color w:val="000000"/>
        </w:rPr>
        <w:t>be paid subject to the deduction of any amount that the payer is obliged by the law of any relevant jurisdiction to deduct from any such payment or</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for which the payer is so obliged to account, including without limitation income tax and social security contributions;</w:t>
      </w:r>
    </w:p>
    <w:p>
      <w:pPr>
        <w:spacing w:after="0" w:line="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4.2.3 </w:t>
      </w:r>
      <w:r>
        <w:rPr>
          <w:rFonts w:ascii="Times New Roman" w:cs="Times New Roman" w:eastAsia="Times New Roman" w:hAnsi="Times New Roman"/>
          <w:sz w:val="18"/>
          <w:szCs w:val="18"/>
          <w:color w:val="000000"/>
        </w:rPr>
        <w:t>not form part of the Participant’s remuneration for the purpose of determining eligibility for or entitlement to any benefit of employment including</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any pension or retirement benefit, life assurance, permanent health insurance or other similar benefit whether existing or subsequently; and</w:t>
      </w:r>
    </w:p>
    <w:p>
      <w:pPr>
        <w:spacing w:after="0" w:line="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4.2.4 </w:t>
      </w:r>
      <w:r>
        <w:rPr>
          <w:rFonts w:ascii="Times New Roman" w:cs="Times New Roman" w:eastAsia="Times New Roman" w:hAnsi="Times New Roman"/>
          <w:sz w:val="18"/>
          <w:szCs w:val="18"/>
          <w:color w:val="000000"/>
        </w:rPr>
        <w:t>be limited to such extent as the Committee may in its sole discretion determine by reason of any rule, regulation, guideline or other restriction</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issued by any governmental, quasi-governmental or regulatory body or anybody representing shareholders.</w:t>
      </w:r>
    </w:p>
    <w:p>
      <w:pPr>
        <w:spacing w:after="0" w:line="74" w:lineRule="exact"/>
        <w:rPr>
          <w:sz w:val="20"/>
          <w:szCs w:val="20"/>
          <w:color w:val="auto"/>
        </w:rPr>
      </w:pPr>
    </w:p>
    <w:p>
      <w:pPr>
        <w:ind w:left="340" w:hanging="332"/>
        <w:spacing w:after="0"/>
        <w:tabs>
          <w:tab w:leader="none" w:pos="340" w:val="left"/>
        </w:tabs>
        <w:numPr>
          <w:ilvl w:val="0"/>
          <w:numId w:val="380"/>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Special Provisions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5.1</w:t>
      </w:r>
      <w:r>
        <w:rPr>
          <w:rFonts w:ascii="Times New Roman" w:cs="Times New Roman" w:eastAsia="Times New Roman" w:hAnsi="Times New Roman"/>
          <w:sz w:val="18"/>
          <w:szCs w:val="18"/>
          <w:b w:val="1"/>
          <w:bCs w:val="1"/>
          <w:color w:val="auto"/>
        </w:rPr>
        <w:tab/>
        <w:t>General Rule - Joining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the following provisions of this Rule 5, a person who becomes an Eligible Employee during the course of a Plan Period and who the Committee determines shall become a Participant will be eligible to receive a pro-</w:t>
      </w:r>
    </w:p>
    <w:p>
      <w:pPr>
        <w:sectPr>
          <w:pgSz w:w="11900" w:h="16838" w:orient="portrait"/>
          <w:cols w:equalWidth="0" w:num="1">
            <w:col w:w="11220"/>
          </w:cols>
          <w:pgMar w:left="320" w:top="14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427" w:right="359" w:bottom="1440" w:gutter="0" w:footer="0" w:header="0"/>
          <w:type w:val="continuous"/>
        </w:sectPr>
      </w:pPr>
    </w:p>
    <w:bookmarkStart w:id="466" w:name="page467"/>
    <w:bookmarkEnd w:id="466"/>
    <w:p>
      <w:pPr>
        <w:ind w:right="100"/>
        <w:spacing w:after="0" w:line="266" w:lineRule="auto"/>
        <w:rPr>
          <w:sz w:val="20"/>
          <w:szCs w:val="20"/>
          <w:color w:val="auto"/>
        </w:rPr>
      </w:pPr>
      <w:r>
        <w:rPr>
          <w:rFonts w:ascii="Times New Roman" w:cs="Times New Roman" w:eastAsia="Times New Roman" w:hAnsi="Times New Roman"/>
          <w:sz w:val="18"/>
          <w:szCs w:val="18"/>
          <w:color w:val="auto"/>
        </w:rPr>
        <w:t>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Plan.</w:t>
      </w:r>
    </w:p>
    <w:p>
      <w:pPr>
        <w:spacing w:after="0" w:line="1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5.2</w:t>
      </w:r>
      <w:r>
        <w:rPr>
          <w:rFonts w:ascii="Times New Roman" w:cs="Times New Roman" w:eastAsia="Times New Roman" w:hAnsi="Times New Roman"/>
          <w:sz w:val="18"/>
          <w:szCs w:val="18"/>
          <w:b w:val="1"/>
          <w:bCs w:val="1"/>
          <w:color w:val="auto"/>
        </w:rPr>
        <w:tab/>
        <w:t>General Rule – Changes in Plans</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Committee, in its sole discretion and at any time within a Plan Period, may evaluate Performance Conditions and make changes to a Participant’s defined targets. In such case, such Participant’s Bonus Award shall be calculated based on the Committee’s evaluation, in its sole discretion, of what such Participant’s full-year Bonus Award entitlement would have been under the original Performance Conditions and what such Participant’s full-year Bonus Award entitlement would be under the new Performance Conditions, following which the Committee shall make an appropriate, holistic adjustment, as determined by the Committee in its sole discretion, to such Bonus Award based on each of the two entitlements.</w:t>
      </w:r>
    </w:p>
    <w:p>
      <w:pPr>
        <w:spacing w:after="0" w:line="1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5.3</w:t>
      </w:r>
      <w:r>
        <w:rPr>
          <w:rFonts w:ascii="Times New Roman" w:cs="Times New Roman" w:eastAsia="Times New Roman" w:hAnsi="Times New Roman"/>
          <w:sz w:val="18"/>
          <w:szCs w:val="18"/>
          <w:b w:val="1"/>
          <w:bCs w:val="1"/>
          <w:color w:val="auto"/>
        </w:rPr>
        <w:tab/>
        <w:t>General Rule - Participation in Other Bonus Plans</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5.3.1 </w:t>
      </w:r>
      <w:r>
        <w:rPr>
          <w:rFonts w:ascii="Times New Roman" w:cs="Times New Roman" w:eastAsia="Times New Roman" w:hAnsi="Times New Roman"/>
          <w:sz w:val="18"/>
          <w:szCs w:val="18"/>
          <w:color w:val="000000"/>
        </w:rPr>
        <w:t>Any Participant who participates in an alternative salary-related bonus plan (for example, a sales commission plan) or arrangement with any</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member of the Arm Group shall not be eligible to receive a Bonus Award under this Plan for the same Plan Period.</w:t>
      </w:r>
    </w:p>
    <w:p>
      <w:pPr>
        <w:spacing w:after="0" w:line="7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0091BD"/>
        </w:rPr>
        <w:t xml:space="preserve">5.3.2 </w:t>
      </w:r>
      <w:r>
        <w:rPr>
          <w:rFonts w:ascii="Times New Roman" w:cs="Times New Roman" w:eastAsia="Times New Roman" w:hAnsi="Times New Roman"/>
          <w:sz w:val="18"/>
          <w:szCs w:val="18"/>
          <w:color w:val="000000"/>
        </w:rPr>
        <w:t>No Participant shall be eligible to participate in more than one annual bonus plan at the same time for any one Plan Period. For the avoidance of</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doubt, if a Participant becomes eligible to participate in an annual bonus plan sponsored and maintained by a Business Unit or by any member of the TD Group, the IoTP Group, or the SoftBank Group during a Plan Period and the obligations under this Plan for such Plan Period are assumed by such annual bonus plan on substantially the same terms and conditions, effective as of such assumption, such Participant shall not be eligible to receive a Bonus Award under this Plan for such Plan Period.</w:t>
      </w:r>
    </w:p>
    <w:p>
      <w:pPr>
        <w:spacing w:after="0" w:line="1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5.4</w:t>
      </w:r>
      <w:r>
        <w:rPr>
          <w:sz w:val="20"/>
          <w:szCs w:val="20"/>
          <w:color w:val="auto"/>
        </w:rPr>
        <w:tab/>
      </w:r>
      <w:r>
        <w:rPr>
          <w:rFonts w:ascii="Times New Roman" w:cs="Times New Roman" w:eastAsia="Times New Roman" w:hAnsi="Times New Roman"/>
          <w:sz w:val="17"/>
          <w:szCs w:val="17"/>
          <w:b w:val="1"/>
          <w:bCs w:val="1"/>
          <w:color w:val="auto"/>
        </w:rPr>
        <w:t>General Rule – Termination of Employment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Rule 5, a Participant must be continuously employed by a member of the Arm Group through the end of the applicable Plan Period in order to receive a Bonus Award for such Plan Period, and if a Participant ceases to be an Eligible Employee prior to the end of such Plan Period for any reason, such Participant shall immediately forfeit upon termination any and all entitlement to any portion of the Bonus Award for such Plan Period.</w:t>
      </w:r>
    </w:p>
    <w:p>
      <w:pPr>
        <w:spacing w:after="0" w:line="9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5.5</w:t>
      </w:r>
      <w:r>
        <w:rPr>
          <w:rFonts w:ascii="Times New Roman" w:cs="Times New Roman" w:eastAsia="Times New Roman" w:hAnsi="Times New Roman"/>
          <w:sz w:val="18"/>
          <w:szCs w:val="18"/>
          <w:b w:val="1"/>
          <w:bCs w:val="1"/>
          <w:color w:val="auto"/>
        </w:rPr>
        <w:tab/>
        <w:t>Meaning of Ceasing to be an Employee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Rule 5 but subject to Rule 5.3:</w:t>
      </w:r>
    </w:p>
    <w:p>
      <w:pPr>
        <w:spacing w:after="0" w:line="154"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color w:val="0091BD"/>
        </w:rPr>
        <w:t xml:space="preserve">5.5.1 </w:t>
      </w:r>
      <w:r>
        <w:rPr>
          <w:rFonts w:ascii="Times New Roman" w:cs="Times New Roman" w:eastAsia="Times New Roman" w:hAnsi="Times New Roman"/>
          <w:sz w:val="18"/>
          <w:szCs w:val="18"/>
          <w:color w:val="000000"/>
        </w:rPr>
        <w:t>A Participant will not be treated as ceasing to be an Eligible Employee (i) if such Participant becomes employed by another member of the Arm</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Group within seven days of such Participant’s leaving a member of the Arm Group or (ii) if such Participant voluntarily resigns from employment with a member of the Arm Group as part of any termination-and-subsequent-rehire process implemented by the Arm Group and structured as such Participant’s voluntary resignation and rehire.</w:t>
      </w:r>
    </w:p>
    <w:p>
      <w:pPr>
        <w:spacing w:after="0" w:line="9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color w:val="0091BD"/>
        </w:rPr>
        <w:t xml:space="preserve">5.5.2 </w:t>
      </w:r>
      <w:r>
        <w:rPr>
          <w:rFonts w:ascii="Times New Roman" w:cs="Times New Roman" w:eastAsia="Times New Roman" w:hAnsi="Times New Roman"/>
          <w:sz w:val="18"/>
          <w:szCs w:val="18"/>
          <w:color w:val="000000"/>
        </w:rPr>
        <w:t>If a Participant is a Qualifying Leaver, such Participant will not be treated as ceasing to be an Eligible Employee for purposes of eligibility for a</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Bonus Award with respect to the Plan Period in which such Participant became a Qualifying Leaver. In such event, such Bonus Award shall be in an amount calculated by (a) determining what such Participant’s full-year Bonus Award entitlement would have been if such Participant had remained employed by a member of the Arm Group through the end of such Plan Period and then (b) making a pro-rata adjustment to such entitlement based on the portion of such Plan Period occurring before the date on which such Participant became a Qualifying Leaver and shall be payable as soon as administratively practicable following the end of such Plan Period (and in all events, with respect to Participants who are U.S. citizens or residents, by March 15</w:t>
      </w:r>
      <w:r>
        <w:rPr>
          <w:rFonts w:ascii="Times New Roman" w:cs="Times New Roman" w:eastAsia="Times New Roman" w:hAnsi="Times New Roman"/>
          <w:sz w:val="23"/>
          <w:szCs w:val="23"/>
          <w:color w:val="000000"/>
          <w:vertAlign w:val="superscript"/>
        </w:rPr>
        <w:t>th</w:t>
      </w:r>
      <w:r>
        <w:rPr>
          <w:rFonts w:ascii="Times New Roman" w:cs="Times New Roman" w:eastAsia="Times New Roman" w:hAnsi="Times New Roman"/>
          <w:sz w:val="18"/>
          <w:szCs w:val="18"/>
          <w:color w:val="000000"/>
        </w:rPr>
        <w:t xml:space="preserve"> of the calendar year following the calendar year in which such Plan Period ends).</w:t>
      </w:r>
    </w:p>
    <w:p>
      <w:pPr>
        <w:spacing w:after="0" w:line="2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0091BD"/>
        </w:rPr>
        <w:t xml:space="preserve">5.5.3 </w:t>
      </w:r>
      <w:r>
        <w:rPr>
          <w:rFonts w:ascii="Times New Roman" w:cs="Times New Roman" w:eastAsia="Times New Roman" w:hAnsi="Times New Roman"/>
          <w:sz w:val="18"/>
          <w:szCs w:val="18"/>
          <w:color w:val="000000"/>
        </w:rPr>
        <w:t>Except as otherwise provided in Rule 5.5.2, (a) a Participant will be treated as ceasing to be an Eligible Employee (i) upon the termination of, or</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voluntary resignation from, such Participant’s employment by any member of the TD Group or the IoTP Group for any reason, and/or (ii) if employed by a member of either the TD Group or the IoTP Group, when such employing member of either the TD Group or the IoTP Group ceases to be a subsidiary of the Company, and (b) a TD/IoTP Participant will be treated as ceasing to be an Eligible Employee (i) upon such TD/IoTP Participant’s Transferred Employment Event (SoftBank) from employment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31" w:right="35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color w:val="auto"/>
        </w:rPr>
        <w:t>member of the TD Group or the IoTP Group and/or (ii) such TD/IoTP Participant’s Transferred Employment Event (TD/IoTP).</w:t>
      </w:r>
    </w:p>
    <w:p>
      <w:pPr>
        <w:spacing w:after="0" w:line="154" w:lineRule="exact"/>
        <w:rPr>
          <w:sz w:val="20"/>
          <w:szCs w:val="20"/>
          <w:color w:val="auto"/>
        </w:rPr>
      </w:pPr>
    </w:p>
    <w:p>
      <w:pPr>
        <w:ind w:right="9400" w:firstLine="8"/>
        <w:spacing w:after="0" w:line="417" w:lineRule="auto"/>
        <w:tabs>
          <w:tab w:leader="none" w:pos="324" w:val="left"/>
        </w:tabs>
        <w:numPr>
          <w:ilvl w:val="0"/>
          <w:numId w:val="381"/>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 xml:space="preserve">Change in Control 6.1 </w:t>
      </w:r>
      <w:r>
        <w:rPr>
          <w:rFonts w:ascii="Times New Roman" w:cs="Times New Roman" w:eastAsia="Times New Roman" w:hAnsi="Times New Roman"/>
          <w:sz w:val="18"/>
          <w:szCs w:val="18"/>
          <w:b w:val="1"/>
          <w:bCs w:val="1"/>
          <w:color w:val="000000"/>
        </w:rPr>
        <w:t>Change in Control</w:t>
      </w:r>
    </w:p>
    <w:p>
      <w:pPr>
        <w:spacing w:after="0" w:line="243" w:lineRule="auto"/>
        <w:rPr>
          <w:sz w:val="20"/>
          <w:szCs w:val="20"/>
          <w:color w:val="auto"/>
        </w:rPr>
      </w:pPr>
      <w:r>
        <w:rPr>
          <w:rFonts w:ascii="Times New Roman" w:cs="Times New Roman" w:eastAsia="Times New Roman" w:hAnsi="Times New Roman"/>
          <w:sz w:val="18"/>
          <w:szCs w:val="18"/>
          <w:color w:val="auto"/>
        </w:rPr>
        <w:t>In the event of a Change in Control during a Plan Period, the Plan Period will end on the date of such Change in Control, and each Participant will receive a Bonus Award payment, payable as soon as administratively practicable following such Change in Control (and in all events, with respect to Participants who are U.S. citizens or residents, by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calendar year following the calendar year of the consummation of such Change in Control) and calculated by determining what such Participant’s full-year Bonus Award entitlement would have been based on deemed maximum achievement of the applicable Performance Conditions through the date of the consummation of such Change in Control and then making a pro-rata adjustment to such entitlement based on the portion of such Plan Period occurring before the date on which such Change in Control is consummated.</w:t>
      </w:r>
    </w:p>
    <w:p>
      <w:pPr>
        <w:spacing w:after="0" w:line="1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0091BD"/>
        </w:rPr>
        <w:t>6.2</w:t>
      </w:r>
      <w:r>
        <w:rPr>
          <w:sz w:val="20"/>
          <w:szCs w:val="20"/>
          <w:color w:val="auto"/>
        </w:rPr>
        <w:tab/>
      </w:r>
      <w:r>
        <w:rPr>
          <w:rFonts w:ascii="Times New Roman" w:cs="Times New Roman" w:eastAsia="Times New Roman" w:hAnsi="Times New Roman"/>
          <w:sz w:val="17"/>
          <w:szCs w:val="17"/>
          <w:b w:val="1"/>
          <w:bCs w:val="1"/>
          <w:color w:val="auto"/>
        </w:rPr>
        <w:t>Special Rule for NVIDIA Transaction</w:t>
      </w:r>
    </w:p>
    <w:p>
      <w:pPr>
        <w:spacing w:after="0" w:line="14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Notwithstanding Rule 6.1, in the event of the consummation of the NVIDIA Transaction during a Plan Period, such Plan Period will end on the date of such consummation, and each Participant shall receive a Bonus Award payment, payable as soon as administratively practicable following the consummation of the NVIDIA Transaction (and in all events, with respect to Participants who are U.S. citizens or residents, by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calendar year following the calendar year of the consummation of the NVIDIA Transaction). Such Bonus Award payment shall be in an amount calculated by (a) determining what such Participant’s full-year Bonus Award entitlement would have been based on actual achievement of the applicable Performance Conditions through, but excluding, the date on which the NVIDIA Transaction is consummated and then (b) making a pro-rata adjustment to such entitlement based on the portion of such Plan Period occurring before the date on which the NVIDIA Transaction is consummated.</w:t>
      </w:r>
    </w:p>
    <w:p>
      <w:pPr>
        <w:spacing w:after="0" w:line="125" w:lineRule="exact"/>
        <w:rPr>
          <w:sz w:val="20"/>
          <w:szCs w:val="20"/>
          <w:color w:val="auto"/>
        </w:rPr>
      </w:pPr>
    </w:p>
    <w:p>
      <w:pPr>
        <w:ind w:right="10100" w:firstLine="8"/>
        <w:spacing w:after="0" w:line="417" w:lineRule="auto"/>
        <w:tabs>
          <w:tab w:leader="none" w:pos="324" w:val="left"/>
        </w:tabs>
        <w:numPr>
          <w:ilvl w:val="0"/>
          <w:numId w:val="382"/>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 xml:space="preserve">General 7.1 </w:t>
      </w:r>
      <w:r>
        <w:rPr>
          <w:rFonts w:ascii="Times New Roman" w:cs="Times New Roman" w:eastAsia="Times New Roman" w:hAnsi="Times New Roman"/>
          <w:sz w:val="18"/>
          <w:szCs w:val="18"/>
          <w:b w:val="1"/>
          <w:bCs w:val="1"/>
          <w:color w:val="000000"/>
        </w:rPr>
        <w:t>Transfers</w:t>
      </w:r>
    </w:p>
    <w:p>
      <w:pPr>
        <w:ind w:right="40"/>
        <w:spacing w:after="0" w:line="266" w:lineRule="auto"/>
        <w:rPr>
          <w:sz w:val="20"/>
          <w:szCs w:val="20"/>
          <w:color w:val="auto"/>
        </w:rPr>
      </w:pPr>
      <w:r>
        <w:rPr>
          <w:rFonts w:ascii="Times New Roman" w:cs="Times New Roman" w:eastAsia="Times New Roman" w:hAnsi="Times New Roman"/>
          <w:sz w:val="18"/>
          <w:szCs w:val="18"/>
          <w:color w:val="auto"/>
        </w:rPr>
        <w:t>A Participant must not transfer, pledge, encumber, assign or otherwise dispose of any Bonus Award or other benefits such Participant may expect to receive under the Plan, and in the event that a Participant purports to take such action (whether voluntarily or involuntarily), all of such Participant’s rights under the Plan will be forfeited.</w:t>
      </w:r>
    </w:p>
    <w:p>
      <w:pPr>
        <w:spacing w:after="0" w:line="104" w:lineRule="exact"/>
        <w:rPr>
          <w:sz w:val="20"/>
          <w:szCs w:val="20"/>
          <w:color w:val="auto"/>
        </w:rPr>
      </w:pPr>
    </w:p>
    <w:p>
      <w:pPr>
        <w:ind w:left="340" w:hanging="332"/>
        <w:spacing w:after="0"/>
        <w:tabs>
          <w:tab w:leader="none" w:pos="340" w:val="left"/>
        </w:tabs>
        <w:numPr>
          <w:ilvl w:val="0"/>
          <w:numId w:val="383"/>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Terms of employment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8.1</w:t>
      </w:r>
      <w:r>
        <w:rPr>
          <w:sz w:val="20"/>
          <w:szCs w:val="20"/>
          <w:color w:val="auto"/>
        </w:rPr>
        <w:tab/>
      </w:r>
      <w:r>
        <w:rPr>
          <w:rFonts w:ascii="Times New Roman" w:cs="Times New Roman" w:eastAsia="Times New Roman" w:hAnsi="Times New Roman"/>
          <w:sz w:val="17"/>
          <w:szCs w:val="17"/>
          <w:color w:val="auto"/>
        </w:rPr>
        <w:t>For the purposes of this Rule 8, “Employee” means any Participant, any Eligible Employee or any other person.</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8.2</w:t>
      </w:r>
      <w:r>
        <w:rPr>
          <w:sz w:val="20"/>
          <w:szCs w:val="20"/>
          <w:color w:val="auto"/>
        </w:rPr>
        <w:tab/>
      </w:r>
      <w:r>
        <w:rPr>
          <w:rFonts w:ascii="Times New Roman" w:cs="Times New Roman" w:eastAsia="Times New Roman" w:hAnsi="Times New Roman"/>
          <w:sz w:val="17"/>
          <w:szCs w:val="17"/>
          <w:color w:val="auto"/>
        </w:rPr>
        <w:t>This Rule applies:</w:t>
      </w:r>
    </w:p>
    <w:p>
      <w:pPr>
        <w:spacing w:after="0" w:line="158"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8.2.1 </w:t>
      </w:r>
      <w:r>
        <w:rPr>
          <w:rFonts w:ascii="Times New Roman" w:cs="Times New Roman" w:eastAsia="Times New Roman" w:hAnsi="Times New Roman"/>
          <w:sz w:val="18"/>
          <w:szCs w:val="18"/>
          <w:color w:val="000000"/>
        </w:rPr>
        <w:t>whether the Company has full discretion in the operation of the Plan or whether the Company could be regarded as being subject to any</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obligations in the operation of the Plan;</w:t>
      </w:r>
    </w:p>
    <w:p>
      <w:pPr>
        <w:spacing w:after="0" w:line="74"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8.2.2 </w:t>
      </w:r>
      <w:r>
        <w:rPr>
          <w:rFonts w:ascii="Times New Roman" w:cs="Times New Roman" w:eastAsia="Times New Roman" w:hAnsi="Times New Roman"/>
          <w:sz w:val="18"/>
          <w:szCs w:val="18"/>
          <w:color w:val="000000"/>
        </w:rPr>
        <w:t>during an Employee’s employment or employment relationship with a member of the Arm Group, the TD Group, the IoTP Group, or the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SoftBank Group; and</w:t>
      </w:r>
    </w:p>
    <w:p>
      <w:pPr>
        <w:spacing w:after="0" w:line="87"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8.2.3 </w:t>
      </w:r>
      <w:r>
        <w:rPr>
          <w:rFonts w:ascii="Times New Roman" w:cs="Times New Roman" w:eastAsia="Times New Roman" w:hAnsi="Times New Roman"/>
          <w:sz w:val="18"/>
          <w:szCs w:val="18"/>
          <w:color w:val="000000"/>
        </w:rPr>
        <w:t>after the termination of an Employee’s employment or employment relationship with a member of the Arm Group, the TD Group, the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IoTP Group, or the SoftBank Group, whether the termination is lawful or unlawful.</w:t>
      </w:r>
    </w:p>
    <w:p>
      <w:pPr>
        <w:spacing w:after="0" w:line="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0091BD"/>
        </w:rPr>
        <w:t xml:space="preserve">8.3 </w:t>
      </w:r>
      <w:r>
        <w:rPr>
          <w:rFonts w:ascii="Times New Roman" w:cs="Times New Roman" w:eastAsia="Times New Roman" w:hAnsi="Times New Roman"/>
          <w:sz w:val="18"/>
          <w:szCs w:val="18"/>
          <w:color w:val="000000"/>
        </w:rPr>
        <w:t>Nothing in the Rules or the operation of the Plan forms part of the contract of employment or employment relationship of an Employee. The rights</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and obligations of an Employee are separate from, and are not affected by, the Plan. Participation in the Plan does not create any right to or expectation of continued employment or a continued employment relationship</w:t>
      </w:r>
      <w:r>
        <w:rPr>
          <w:rFonts w:ascii="Times New Roman" w:cs="Times New Roman" w:eastAsia="Times New Roman" w:hAnsi="Times New Roman"/>
          <w:sz w:val="18"/>
          <w:szCs w:val="18"/>
          <w:i w:val="1"/>
          <w:iCs w:val="1"/>
          <w:color w:val="000000"/>
        </w:rPr>
        <w:t>.</w:t>
      </w:r>
    </w:p>
    <w:p>
      <w:pPr>
        <w:spacing w:after="0" w:line="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8.4 </w:t>
      </w:r>
      <w:r>
        <w:rPr>
          <w:rFonts w:ascii="Times New Roman" w:cs="Times New Roman" w:eastAsia="Times New Roman" w:hAnsi="Times New Roman"/>
          <w:sz w:val="18"/>
          <w:szCs w:val="18"/>
          <w:color w:val="000000"/>
        </w:rPr>
        <w:t>The operation of the Plan or grant of Bonus Awards on a particular basis in any year does not create any right to or expectation of the operation of</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the Plan or grant of Bonus Awards on the same basis, or at all, in any future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31" w:right="339" w:bottom="1440" w:gutter="0" w:footer="0" w:header="0"/>
        </w:sectPr>
      </w:pPr>
    </w:p>
    <w:bookmarkStart w:id="468" w:name="page469"/>
    <w:bookmarkEnd w:id="468"/>
    <w:p>
      <w:pPr>
        <w:ind w:right="62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8.5 </w:t>
      </w:r>
      <w:r>
        <w:rPr>
          <w:rFonts w:ascii="Times New Roman" w:cs="Times New Roman" w:eastAsia="Times New Roman" w:hAnsi="Times New Roman"/>
          <w:sz w:val="18"/>
          <w:szCs w:val="18"/>
          <w:color w:val="000000"/>
        </w:rPr>
        <w:t>No Employee is entitled to participate in the Plan, or be considered for participation in it, at a particular level or at all. Participation in one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operation of the Plan does not imply any right to participate or to be considered for participation in any later operation of the Plan.</w:t>
      </w:r>
    </w:p>
    <w:p>
      <w:pPr>
        <w:spacing w:after="0" w:line="8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0091BD"/>
        </w:rPr>
        <w:t xml:space="preserve">8.6 </w:t>
      </w:r>
      <w:r>
        <w:rPr>
          <w:rFonts w:ascii="Times New Roman" w:cs="Times New Roman" w:eastAsia="Times New Roman" w:hAnsi="Times New Roman"/>
          <w:sz w:val="18"/>
          <w:szCs w:val="18"/>
          <w:color w:val="000000"/>
        </w:rPr>
        <w:t>Without prejudice to an Employee’s right to receive cash resulting from a Bonus Award subject to and in accordance with the express terms of the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Rules and the Performance Conditions, no Employee has any rights in respect of the exercise or omission to exercise any discretion, or the making or omission to make any decision, relating to the Bonus Award or the Plan. Any and all discretions, decisions or omissions relating to the Bonus Award or the Plan may operate to the disadvantage of the Employee, even if this could be regarded as capricious, or could be regarded as in breach of any implied term between the Employee and such Employee’s employer, including any implied duty of trust and confidence. Any such implied term is excluded and overridden by this Rule.</w:t>
      </w:r>
    </w:p>
    <w:p>
      <w:pPr>
        <w:spacing w:after="0" w:line="1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0091BD"/>
        </w:rPr>
        <w:t>8.7</w:t>
      </w:r>
      <w:r>
        <w:rPr>
          <w:sz w:val="20"/>
          <w:szCs w:val="20"/>
          <w:color w:val="auto"/>
        </w:rPr>
        <w:tab/>
      </w:r>
      <w:r>
        <w:rPr>
          <w:rFonts w:ascii="Times New Roman" w:cs="Times New Roman" w:eastAsia="Times New Roman" w:hAnsi="Times New Roman"/>
          <w:sz w:val="17"/>
          <w:szCs w:val="17"/>
          <w:color w:val="auto"/>
        </w:rPr>
        <w:t>No Employee has any right to compensation for any loss in relation to the Plan, including:</w:t>
      </w:r>
    </w:p>
    <w:p>
      <w:pPr>
        <w:spacing w:after="0" w:line="158"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8.7.1 </w:t>
      </w:r>
      <w:r>
        <w:rPr>
          <w:rFonts w:ascii="Times New Roman" w:cs="Times New Roman" w:eastAsia="Times New Roman" w:hAnsi="Times New Roman"/>
          <w:sz w:val="18"/>
          <w:szCs w:val="18"/>
          <w:color w:val="000000"/>
        </w:rPr>
        <w:t>any loss or reduction of any rights or expectations under the Plan in any circumstances or for any reason (including lawful or unlawful</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termination of employment or the employment relationship);</w:t>
      </w:r>
    </w:p>
    <w:p>
      <w:pPr>
        <w:spacing w:after="0" w:line="87"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8.7.2 </w:t>
      </w:r>
      <w:r>
        <w:rPr>
          <w:rFonts w:ascii="Times New Roman" w:cs="Times New Roman" w:eastAsia="Times New Roman" w:hAnsi="Times New Roman"/>
          <w:sz w:val="18"/>
          <w:szCs w:val="18"/>
          <w:color w:val="000000"/>
        </w:rPr>
        <w:t>any exercise of a discretion or a decision taken in relation to a Bonus Award or to the Plan, or any failure to exercise discretion or make a</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decision; or</w:t>
      </w:r>
    </w:p>
    <w:p>
      <w:pPr>
        <w:spacing w:after="0" w:line="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091BD"/>
        </w:rPr>
        <w:t>8.7.3</w:t>
      </w:r>
      <w:r>
        <w:rPr>
          <w:sz w:val="20"/>
          <w:szCs w:val="20"/>
          <w:color w:val="auto"/>
        </w:rPr>
        <w:tab/>
      </w:r>
      <w:r>
        <w:rPr>
          <w:rFonts w:ascii="Times New Roman" w:cs="Times New Roman" w:eastAsia="Times New Roman" w:hAnsi="Times New Roman"/>
          <w:sz w:val="18"/>
          <w:szCs w:val="18"/>
          <w:color w:val="auto"/>
        </w:rPr>
        <w:t>the operation, suspension, termination or amendment of the Plan.</w:t>
      </w:r>
    </w:p>
    <w:p>
      <w:pPr>
        <w:spacing w:after="0" w:line="158" w:lineRule="exact"/>
        <w:rPr>
          <w:sz w:val="20"/>
          <w:szCs w:val="20"/>
          <w:color w:val="auto"/>
        </w:rPr>
      </w:pPr>
    </w:p>
    <w:p>
      <w:pPr>
        <w:ind w:left="340" w:hanging="332"/>
        <w:spacing w:after="0"/>
        <w:tabs>
          <w:tab w:leader="none" w:pos="340" w:val="left"/>
        </w:tabs>
        <w:numPr>
          <w:ilvl w:val="0"/>
          <w:numId w:val="384"/>
        </w:numPr>
        <w:rPr>
          <w:rFonts w:ascii="Times New Roman" w:cs="Times New Roman" w:eastAsia="Times New Roman" w:hAnsi="Times New Roman"/>
          <w:sz w:val="18"/>
          <w:szCs w:val="18"/>
          <w:b w:val="1"/>
          <w:bCs w:val="1"/>
          <w:color w:val="0091BD"/>
        </w:rPr>
      </w:pPr>
      <w:r>
        <w:rPr>
          <w:rFonts w:ascii="Times New Roman" w:cs="Times New Roman" w:eastAsia="Times New Roman" w:hAnsi="Times New Roman"/>
          <w:sz w:val="18"/>
          <w:szCs w:val="18"/>
          <w:b w:val="1"/>
          <w:bCs w:val="1"/>
          <w:color w:val="0091BD"/>
        </w:rPr>
        <w:t>General</w:t>
      </w:r>
    </w:p>
    <w:p>
      <w:pPr>
        <w:spacing w:after="0" w:line="15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0091BD"/>
        </w:rPr>
        <w:t xml:space="preserve">9.1 </w:t>
      </w:r>
      <w:r>
        <w:rPr>
          <w:rFonts w:ascii="Times New Roman" w:cs="Times New Roman" w:eastAsia="Times New Roman" w:hAnsi="Times New Roman"/>
          <w:sz w:val="18"/>
          <w:szCs w:val="18"/>
          <w:color w:val="000000"/>
        </w:rPr>
        <w:t>Participation in the Plan is permitted only on the basis that the Participant accepts all the provisions of the Rules, including in particular this Rule.</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By participating in the Plan, a Participant waives all rights under the Plan, other than the right to receive cash subject to and in accordance with the express terms of the Rules and the Performance Conditions, in consideration for, and as a condition of, participating in the Plan.</w:t>
      </w:r>
    </w:p>
    <w:p>
      <w:pPr>
        <w:spacing w:after="0" w:line="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9.2 </w:t>
      </w:r>
      <w:r>
        <w:rPr>
          <w:rFonts w:ascii="Times New Roman" w:cs="Times New Roman" w:eastAsia="Times New Roman" w:hAnsi="Times New Roman"/>
          <w:sz w:val="18"/>
          <w:szCs w:val="18"/>
          <w:color w:val="000000"/>
        </w:rPr>
        <w:t>The Plan and the Rules (as varied from time to time) supersede any prior terms, term sheets, provisions of offer letters or employment contracts</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and any versions of the overview of the Plan or the Rules communicated to Eligible Employees or Participants.</w:t>
      </w:r>
    </w:p>
    <w:p>
      <w:pPr>
        <w:spacing w:after="0" w:line="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9.3 </w:t>
      </w:r>
      <w:r>
        <w:rPr>
          <w:rFonts w:ascii="Times New Roman" w:cs="Times New Roman" w:eastAsia="Times New Roman" w:hAnsi="Times New Roman"/>
          <w:sz w:val="18"/>
          <w:szCs w:val="18"/>
          <w:color w:val="000000"/>
        </w:rPr>
        <w:t>The Plan, each Bonus Award, the Rules and any disputes or claims arising out of or in connection with it or them or its or their subject matter or</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formation (including non-contractual disputes or claims) shall be governed by and construed in accordance with English law.</w:t>
      </w:r>
    </w:p>
    <w:p>
      <w:pPr>
        <w:spacing w:after="0" w:line="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0091BD"/>
        </w:rPr>
        <w:t xml:space="preserve">9.3.1 </w:t>
      </w:r>
      <w:r>
        <w:rPr>
          <w:rFonts w:ascii="Times New Roman" w:cs="Times New Roman" w:eastAsia="Times New Roman" w:hAnsi="Times New Roman"/>
          <w:sz w:val="18"/>
          <w:szCs w:val="18"/>
          <w:color w:val="000000"/>
        </w:rPr>
        <w:t>Each party irrevocably agrees that the courts of England and Wales shall have exclusive jurisdiction to settle any dispute or claim arising out of or</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in connection with the Plan, a Bonus Award, the Rules or its or their subject matter or formation (including non-contractual disputes or claims).</w:t>
      </w:r>
    </w:p>
    <w:p>
      <w:pPr>
        <w:spacing w:after="0" w:line="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0091BD"/>
        </w:rPr>
        <w:t xml:space="preserve">9.4 </w:t>
      </w:r>
      <w:r>
        <w:rPr>
          <w:rFonts w:ascii="Times New Roman" w:cs="Times New Roman" w:eastAsia="Times New Roman" w:hAnsi="Times New Roman"/>
          <w:sz w:val="18"/>
          <w:szCs w:val="18"/>
          <w:color w:val="000000"/>
        </w:rPr>
        <w:t>Nothing in this Plan, whether express or implied, shall confer any benefit, right or expectation on a person who is not a Participant. No such third</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party shall have any rights under the Contracts (Rights of Third Parties) Act 1999 to enforce any term of the Plan except where such rights arise under any rule of the Plan for any employer or former employer of a Participant which is not a party. This does not affect any right or remedy of a third party which exists, or is available, apart from the Contracts (Rights of Third Parties) Act 1999.</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0091BD"/>
        </w:rPr>
        <w:t xml:space="preserve">9.5 </w:t>
      </w:r>
      <w:r>
        <w:rPr>
          <w:rFonts w:ascii="Times New Roman" w:cs="Times New Roman" w:eastAsia="Times New Roman" w:hAnsi="Times New Roman"/>
          <w:sz w:val="18"/>
          <w:szCs w:val="18"/>
          <w:color w:val="000000"/>
        </w:rPr>
        <w:t>Each of the provisions of these Rules is entirely separate and independent from each of the other provisions. If any provision is found to be invalid</w:t>
      </w:r>
      <w:r>
        <w:rPr>
          <w:rFonts w:ascii="Times New Roman" w:cs="Times New Roman" w:eastAsia="Times New Roman" w:hAnsi="Times New Roman"/>
          <w:sz w:val="18"/>
          <w:szCs w:val="18"/>
          <w:b w:val="1"/>
          <w:bCs w:val="1"/>
          <w:color w:val="0091BD"/>
        </w:rPr>
        <w:t xml:space="preserve"> </w:t>
      </w:r>
      <w:r>
        <w:rPr>
          <w:rFonts w:ascii="Times New Roman" w:cs="Times New Roman" w:eastAsia="Times New Roman" w:hAnsi="Times New Roman"/>
          <w:sz w:val="18"/>
          <w:szCs w:val="18"/>
          <w:color w:val="000000"/>
        </w:rPr>
        <w:t>then it will be deemed never to have been part of these Rules and to the extent that it is possible to do so, this will not affect the validity or enforceability of any of the remaining provisions.</w:t>
      </w:r>
    </w:p>
    <w:p>
      <w:pPr>
        <w:spacing w:after="0" w:line="90" w:lineRule="exact"/>
        <w:rPr>
          <w:sz w:val="20"/>
          <w:szCs w:val="20"/>
          <w:color w:val="auto"/>
        </w:rPr>
      </w:pPr>
    </w:p>
    <w:p>
      <w:pPr>
        <w:ind w:right="8440" w:firstLine="8"/>
        <w:spacing w:after="0" w:line="449" w:lineRule="auto"/>
        <w:tabs>
          <w:tab w:leader="none" w:pos="400" w:val="left"/>
        </w:tabs>
        <w:numPr>
          <w:ilvl w:val="0"/>
          <w:numId w:val="385"/>
        </w:numPr>
        <w:rPr>
          <w:rFonts w:ascii="Times New Roman" w:cs="Times New Roman" w:eastAsia="Times New Roman" w:hAnsi="Times New Roman"/>
          <w:sz w:val="17"/>
          <w:szCs w:val="17"/>
          <w:b w:val="1"/>
          <w:bCs w:val="1"/>
          <w:color w:val="0091BD"/>
        </w:rPr>
      </w:pPr>
      <w:r>
        <w:rPr>
          <w:rFonts w:ascii="Times New Roman" w:cs="Times New Roman" w:eastAsia="Times New Roman" w:hAnsi="Times New Roman"/>
          <w:sz w:val="17"/>
          <w:szCs w:val="17"/>
          <w:b w:val="1"/>
          <w:bCs w:val="1"/>
          <w:color w:val="0091BD"/>
        </w:rPr>
        <w:t xml:space="preserve">Amendments and Termination 10.1 </w:t>
      </w:r>
      <w:r>
        <w:rPr>
          <w:rFonts w:ascii="Times New Roman" w:cs="Times New Roman" w:eastAsia="Times New Roman" w:hAnsi="Times New Roman"/>
          <w:sz w:val="17"/>
          <w:szCs w:val="17"/>
          <w:b w:val="1"/>
          <w:bCs w:val="1"/>
          <w:color w:val="000000"/>
        </w:rPr>
        <w:t>Amendment of the Plan</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or the Committee may delete, alter or add to any of the provisions of the Plan in any respect at any time unilaterally and without the consent of any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27" w:right="379" w:bottom="1440" w:gutter="0" w:footer="0" w:header="0"/>
        </w:sectPr>
      </w:pPr>
    </w:p>
    <w:bookmarkStart w:id="469" w:name="page470"/>
    <w:bookmarkEnd w:id="469"/>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0091BD"/>
        </w:rPr>
        <w:t>10.2</w:t>
      </w:r>
      <w:r>
        <w:rPr>
          <w:sz w:val="20"/>
          <w:szCs w:val="20"/>
          <w:color w:val="auto"/>
        </w:rPr>
        <w:tab/>
      </w:r>
      <w:r>
        <w:rPr>
          <w:rFonts w:ascii="Times New Roman" w:cs="Times New Roman" w:eastAsia="Times New Roman" w:hAnsi="Times New Roman"/>
          <w:sz w:val="17"/>
          <w:szCs w:val="17"/>
          <w:b w:val="1"/>
          <w:bCs w:val="1"/>
          <w:color w:val="auto"/>
        </w:rPr>
        <w:t>Termination of the Plan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or the Committee may terminate the Plan at any time. If the Plan is terminated during a Plan Period, such termination will not affect the operation of the Plan for the rest of such Plan Period and Bonus Awards may be determined and paid under Rules 3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320" w:top="1427" w:right="999"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AMENDED AND RESTATED EMPLOYMENT AGREEMENT (the “Agreement”) dated as of November 17, 2022 (the “</w:t>
      </w:r>
      <w:r>
        <w:rPr>
          <w:rFonts w:ascii="Times New Roman" w:cs="Times New Roman" w:eastAsia="Times New Roman" w:hAnsi="Times New Roman"/>
          <w:sz w:val="18"/>
          <w:szCs w:val="18"/>
          <w:u w:val="single" w:color="auto"/>
          <w:color w:val="auto"/>
        </w:rPr>
        <w:t>Date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RENE ANTHONY ANDRADA HAAS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Arm,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(Executive and the Company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amends and restates the Key Executive Employment Agreement, dated as of February 2, 2017 by and between the Company and Executive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worldwide operations, including in the United States, with North American headquarters located at 150 Rose Orchard Way, San Jose, California 95134;</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Executive has been employed by the Company as EVP and President of IPG for the Company, and the Company has offered Executive a promotion to the position of Chief Executive Officer;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desire to amend and restate the Original Agreement, in the form and as of the date hereof, in order to, among other things, revise the positions and responsibilities of Executive, and amend certain aspects of Executive’s compensation and employment terms;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Executive will continue to be employed by the Company in a capacity in which Executive will receive or have access to information which Executive and the Company acknowledge is confidential and not generally known outside of the Company, and Executive and the Company expect Executive in the discharge of his duties to the Company to develop or contribute to new ideas and improvements which will be confidential, not generally known outside of the Company, and will be proprietary information owned exclusively by the Company; and WHEREAS, Executive wishes to accept such continued employment on the terms set forth 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based on the foregoing premises and in consideration of the mutual covenants and representations contained 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 agree as follows:</w:t>
      </w:r>
    </w:p>
    <w:p>
      <w:pPr>
        <w:spacing w:after="0" w:line="207" w:lineRule="exact"/>
        <w:rPr>
          <w:sz w:val="20"/>
          <w:szCs w:val="20"/>
          <w:color w:val="auto"/>
        </w:rPr>
      </w:pPr>
    </w:p>
    <w:p>
      <w:pPr>
        <w:ind w:left="1300" w:hanging="644"/>
        <w:spacing w:after="0"/>
        <w:tabs>
          <w:tab w:leader="none" w:pos="130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w:t>
      </w:r>
      <w:r>
        <w:rPr>
          <w:rFonts w:ascii="Times New Roman" w:cs="Times New Roman" w:eastAsia="Times New Roman" w:hAnsi="Times New Roman"/>
          <w:sz w:val="18"/>
          <w:szCs w:val="18"/>
          <w:color w:val="auto"/>
        </w:rPr>
        <w:t>” shall mean Arm Limited (registered in England and Wales under no. 02557590) located at 110 Fulbourn Road, Cambridge, Cambridgeshire, CB1 9NJ, the holding company of the Company.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38"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 Board</w:t>
      </w:r>
      <w:r>
        <w:rPr>
          <w:rFonts w:ascii="Times New Roman" w:cs="Times New Roman" w:eastAsia="Times New Roman" w:hAnsi="Times New Roman"/>
          <w:sz w:val="18"/>
          <w:szCs w:val="18"/>
          <w:color w:val="auto"/>
        </w:rPr>
        <w:t>” shall mean the Board of Directors of Arm (including any duly appointment committee thereof) or the directors present at a meeting of the directors of Arm at which a quorum is present but excluding Executive.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Associated Company</w:t>
      </w:r>
      <w:r>
        <w:rPr>
          <w:rFonts w:ascii="Times New Roman" w:cs="Times New Roman" w:eastAsia="Times New Roman" w:hAnsi="Times New Roman"/>
          <w:sz w:val="18"/>
          <w:szCs w:val="18"/>
          <w:color w:val="auto"/>
        </w:rPr>
        <w:t>” is defined as any related entity or division of the Company, including but not limited to its parents, predecessors, subsidiaries, affiliates and related entities, current and former employees, officers, and directors, including without limitation Arm, and SoftBank Group Corp, and any holding company parent of Arm (if any such entity is created in connection with an IPO).</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38"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xml:space="preserve">” shall mean key, credit cards, cell phone(s), and other handheld electronic devices, laptops and other computer equipment, security access cards, all lists of clients or customers or customers, employee details, correspondence and all other documents, papers and records (including, without limitation, any records stored by electronic means), together with any codes or implements necessary to give full access to such records, system designs, software designs, software programs (in whatever media), presentations, proposals or specifications or any other property of any kind of the Company or any Associated Company which may have come into Executive’s possession, custody or control in the course of his employment, along with any Confidential Information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471" w:name="page472"/>
    <w:bookmarkEnd w:id="471"/>
    <w:p>
      <w:pPr>
        <w:ind w:firstLine="1304"/>
        <w:spacing w:after="0" w:line="282" w:lineRule="auto"/>
        <w:tabs>
          <w:tab w:leader="none" w:pos="1941"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shall mean the Strategic Management Services Agreement by and between Arm Limited and the Company (as amended from time to time) dated December 1, 1999.</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hereby employs Executive, and Executive hereby accepts employment with the Company, under the terms of this Agreement. The term of this Agreement shall be for an indefinite period of time retroactively commencing as of February 8, 2022(the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subject to the termination provisions of Section 5 and the at-will nature of Executive employment with the Company. For the avoidance of doubt, this Agreement will not take effect unless and until the Arm Board, following deliberation with the Nomination and Compensation Committee of SoftBank Group Corp., has approved Executive’s Compensation and Benefits (as defined below).</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Positions and Reporting</w:t>
      </w:r>
      <w:r>
        <w:rPr>
          <w:rFonts w:ascii="Times New Roman" w:cs="Times New Roman" w:eastAsia="Times New Roman" w:hAnsi="Times New Roman"/>
          <w:sz w:val="18"/>
          <w:szCs w:val="18"/>
          <w:color w:val="auto"/>
        </w:rPr>
        <w:t>. Executive shall be employed as Chief Executive Officer for Arm. During Executive’s term of employment, Executive shall report directly to the Company’s and Arm’s board of directors.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8"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and Duties</w:t>
      </w:r>
      <w:r>
        <w:rPr>
          <w:rFonts w:ascii="Times New Roman" w:cs="Times New Roman" w:eastAsia="Times New Roman" w:hAnsi="Times New Roman"/>
          <w:sz w:val="18"/>
          <w:szCs w:val="18"/>
          <w:color w:val="auto"/>
        </w:rPr>
        <w:t>. Executive shall exercise such authority, perform such executive duties and functions and discharge such responsibilities as are reasonably associated with Executive’s position as Chief Executive Officer for the Company commensurate with the authority vested in Executive pursuant to this Agreement and consistent with the bylaws of the Company and the standards of the industry, or in such other capacity as the Company may require. Executive will be a member of ARM’s Executive Committee. Executive will carry out additional, fewer or alternative duties as may reasonably be required of him. During the period of Executive’s employment, Executive shall devote his full business time, skill and efforts to the business of the Company or any Associated Company (and shall use good faith efforts to discharge his obligations under this Agreement to the best of his ability) and shall not from the Effective Date engage in any other business activities, duties, or pursuits whatsoever, or directly or indirectly render any services of a business, commercial, or professional nature to any other person or organization, whether for compensation or otherwise, without the prior written consent of the Arm Board (acting in accordance with the Services Agreement).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Executive may (i) serve in any capacity with any civic, educational or charitable organization, or any trade association, without seeking or obtaining approval by the Arm Board, provided such activities and service do not materially interfere or conflict with the performance of his duties hereunder and (ii) with the approval of the Arm Board (in accordance with the Services Agreement) and the SoftBank Group Corp. Compliance Department (or any successor department or group), serve on the boards of directors of other corporations that are not involved in commercial banking or similar business activities; provided, however, Executive shall not directly or indirectly acquire, hold, or retain any beneficial interest in any business competing with or similar in nature to the business of the Company except passive shareholder investments in other financial institutions and their respective affiliates which do not exceed three percent (3%) of the outstanding voting securities in the aggregate in any single financial institution and its affiliates on a consolidated basis. Provided, however, that as to Executive’s current directorship(s) with Computacenter and Mythic, such Arm Board and SoftBank Group Corp. Compliance Department approval shall not be required (provided, however, that Executive will promptly resign from such current directorship(s) upon the written request of the Arm Board, in accordance with the Services Agreement).</w:t>
      </w:r>
    </w:p>
    <w:p>
      <w:pPr>
        <w:spacing w:after="0" w:line="194" w:lineRule="exact"/>
        <w:rPr>
          <w:sz w:val="20"/>
          <w:szCs w:val="20"/>
          <w:color w:val="auto"/>
        </w:rPr>
      </w:pPr>
    </w:p>
    <w:p>
      <w:pPr>
        <w:jc w:val="both"/>
        <w:ind w:firstLine="1304"/>
        <w:spacing w:after="0" w:line="256" w:lineRule="auto"/>
        <w:tabs>
          <w:tab w:leader="none" w:pos="194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Duties</w:t>
      </w:r>
      <w:r>
        <w:rPr>
          <w:rFonts w:ascii="Times New Roman" w:cs="Times New Roman" w:eastAsia="Times New Roman" w:hAnsi="Times New Roman"/>
          <w:sz w:val="18"/>
          <w:szCs w:val="18"/>
          <w:color w:val="auto"/>
        </w:rPr>
        <w:t>. Executive (i) shall act in compliance with Arm’s and SoftBank Group Corp.’s policies and procedures and internal control framework, in conjunction with consideration to relevant obligations under prevailing law and regulation, as well as any resolutions adopted from time to time by the Arm Board, the Company’s board of directors and/or SoftBank Group Corp.’s board of directors; (ii) shall do such things as are necessary to ensure compliance by himself, the Company and any Associated Company with applicable law and regulations; and (iii) acknowledges that he has been provided with access to such laws and regulations and understands that breach of their requirements carry sanctions including criminal liability, and disciplinary action by the Company and/or by the relevant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472" w:name="page473"/>
    <w:bookmarkEnd w:id="472"/>
    <w:p>
      <w:pPr>
        <w:jc w:val="both"/>
        <w:ind w:firstLine="1304"/>
        <w:spacing w:after="0" w:line="256" w:lineRule="auto"/>
        <w:tabs>
          <w:tab w:leader="none" w:pos="1938"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Serving in Office</w:t>
      </w:r>
      <w:r>
        <w:rPr>
          <w:rFonts w:ascii="Times New Roman" w:cs="Times New Roman" w:eastAsia="Times New Roman" w:hAnsi="Times New Roman"/>
          <w:sz w:val="18"/>
          <w:szCs w:val="18"/>
          <w:color w:val="auto"/>
        </w:rPr>
        <w:t>. Executive shall (if required at any time by the Company and appointed in accordance with the Company’s Articles of Association) serve as a director of the Company or any Associated Company, and hold office subject to the provisions of the applicable Articles of Association. The Arm Board (in accordance with the Services Agreement) may require Executive to resign from any office held in the Company or any Associated Company at any time by written notice, and Executive must resign as soon as reasonably practicable after any such request is made. Any resignation which is effective under this paragraph will not terminate Executive’s employment under the Agreement or result in or be deemed a breach of this Agreement by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1"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Temporary Assignments</w:t>
      </w:r>
      <w:r>
        <w:rPr>
          <w:rFonts w:ascii="Times New Roman" w:cs="Times New Roman" w:eastAsia="Times New Roman" w:hAnsi="Times New Roman"/>
          <w:sz w:val="18"/>
          <w:szCs w:val="18"/>
          <w:color w:val="auto"/>
        </w:rPr>
        <w:t>. The Company may, from time to time during his term of employment, require that Executive carry out his duties at other locations of the Company, including its global headquarters in the United Kingdom, for limited periods of time. In connection with such assignments, the Company shall arrange any and all visa or work permits required by such temporary assignments. Such temporary assignments will be subject to a formal assignment letter with Executive setting forth the terms and conditions of such temporary assignments.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5"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Conflicts Management</w:t>
      </w:r>
      <w:r>
        <w:rPr>
          <w:rFonts w:ascii="Times New Roman" w:cs="Times New Roman" w:eastAsia="Times New Roman" w:hAnsi="Times New Roman"/>
          <w:sz w:val="18"/>
          <w:szCs w:val="18"/>
          <w:color w:val="auto"/>
        </w:rPr>
        <w:t xml:space="preserve">. On or before the Date of this Agreement, Executive shall sign and be bound by the terms of SoftBank Group Corp.’s Investment Conflicts Management Acknowledgment that is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the terms of which are hereby incorporated by reference.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Executive hereby represents and agrees that the services to be performed hereunder are of a special, unique, unusual, extraordinary, and intellectual character that gives them a peculiar value, the loss of which cannot be reasonably or adequately compensated in damages in an action at law. Executive therefore expressly agrees that the Company, in addition to any other rights or remedies that the Company may possess, shall be entitled to injunctive and other equitable relief to prevent or remedy a breach of this Agreement by Executive.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To the extent that any action, determination, consent or approval of the Company or the Arm Board may be required in respect of any material determination related to Executive’s employment with the Company: (i) such action, determination, consent or approval shall only be taken with the express prior approval of the Arm Board (acting in accordance with the Services Agreement), and (ii) Executive shall recuse himself from and take no part in the approval by the Arm Board of any such action, determination, consent or approval.</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1"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Base Salary, Target Bonus, and benefits set forth below in this Section 4 (“</w:t>
      </w: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are subject to and expressly conditioned on the approval of the Arm Board (in accordance with the Services Agreement), following deliberation with the Nomination and Compensation Committee of SoftBank Group Corp. For the avoidance of doubt, Executive acknowledges and agrees that he is not entitled to receive any Compensation and Benefits unless, at minimum, they are duly approved by the Arm Board (in accordance with the Services Agreement) after deliberation with the Nomination and Compensation Committee of SoftBank Group Corp., and that, notwithstanding anything to the contrary, any amounts of such Compensation and Benefits shall be finally determined by the Arm Board (in accordance with the Services Agreement) after deliberation with the Nomination and Compensation Committee of SoftBank Group Corp. Executive further acknowledges and agrees that he has not accepted or declined any offer or opportunity in reliance on the exact amount of Compensation and Benefits as stated in this Agreement or draft thereof.</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As of the Effective Date, Executive shall receive an annual base salary of One Million, Three Hundred and Fifty Thousand United States Dollars ($1,350,000) payable in equal semimonthly payments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Such Base Salary shall be subject to review in the quarter prior to the start of each financial year of the Company, or during Executive’s normal officer review period, for possible adjustment by the Arm Board (in accordance with the Services Agreement) based on various factors including, but not limited to, market conditions, the consolidated results of operations of the Company and the performance of Executive,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473" w:name="page474"/>
    <w:bookmarkEnd w:id="473"/>
    <w:p>
      <w:pPr>
        <w:jc w:val="both"/>
        <w:spacing w:after="0" w:line="258" w:lineRule="auto"/>
        <w:rPr>
          <w:sz w:val="20"/>
          <w:szCs w:val="20"/>
          <w:color w:val="auto"/>
        </w:rPr>
      </w:pPr>
      <w:r>
        <w:rPr>
          <w:rFonts w:ascii="Times New Roman" w:cs="Times New Roman" w:eastAsia="Times New Roman" w:hAnsi="Times New Roman"/>
          <w:sz w:val="18"/>
          <w:szCs w:val="18"/>
          <w:color w:val="auto"/>
        </w:rPr>
        <w:t>shall in no event be decreased from the level set forth above during the Term. No such review will take place if notice has been given regarding termination of this Agreement as provided in Section 5. All payments of Base Salary shall be subject to applicable adjustments for withholding taxes, pro-rations for any partial payment periods and such other applicable payroll procedures of the Company as required under Delaware law. Where Executive’s appointment begins or ends during a calendar month, the Base Salary due for that month shall be on a pro rata basis based on the number of days of employment during that pay period.</w:t>
      </w:r>
    </w:p>
    <w:p>
      <w:pPr>
        <w:spacing w:after="0" w:line="183" w:lineRule="exact"/>
        <w:rPr>
          <w:sz w:val="20"/>
          <w:szCs w:val="20"/>
          <w:color w:val="auto"/>
        </w:rPr>
      </w:pPr>
    </w:p>
    <w:p>
      <w:pPr>
        <w:jc w:val="both"/>
        <w:ind w:firstLine="1304"/>
        <w:spacing w:after="0" w:line="266" w:lineRule="auto"/>
        <w:tabs>
          <w:tab w:leader="none" w:pos="1941"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Salary</w:t>
      </w:r>
      <w:r>
        <w:rPr>
          <w:rFonts w:ascii="Times New Roman" w:cs="Times New Roman" w:eastAsia="Times New Roman" w:hAnsi="Times New Roman"/>
          <w:sz w:val="18"/>
          <w:szCs w:val="18"/>
          <w:color w:val="auto"/>
        </w:rPr>
        <w:t>. Notwithstanding anything to the contrary in the Articles of Association of the Company or any Associated Company, Executive shall not be entitled to any other salary or fees as a director or employee of the Company or any Associated Company and Executive shall, as the Company may direct, either waive his right to any such salary or fees or account for the same to the Company.</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86"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be eligible to receive annual bonuses in accordance with the rules and terms of any bonus scheme operated by the Company and/or Arm for executive-level employees of the Company. The amount of any such bonus shall be determined by the Arm Board in its discretion and in accordance with this Agreement, and may be based on various factors, including, but not limited to, performance targets set by the Arm Board (in accordance with the Services Agreement), market conditions, or the consolidated results of operations of the Company and the performance of Executive. The amount of the bonus will be based on a target bonus of approximately 125% of Executive’s Base Salary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and up to 250% of Executive’s Base Salary for exceptional business performance.</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82"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has no right to receive a bonus and that the Company or Arm is under no obligation to operate a bonus scheme. Executive further acknowledges that he will not acquire such a right, nor shall the Company or Arm come under such an obligation, merely by virtue of Executive having received one or more bonus payments during the course of his employment as Chief Executive Officer. The Company and Arm may at any time amend the terms of any bonus payment or scheme, or withdraw the scheme in its entirety, in each case whether generally or solely in relation to Executive.</w:t>
      </w:r>
    </w:p>
    <w:p>
      <w:pPr>
        <w:spacing w:after="0" w:line="18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be entitled to receive a bonus if, on the date on which the bonus would otherwise be paid, Executive</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9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longer with the Company; (B) is under notice of termination of employment (given by Executive or the Company); or (C) is no longer employed by the Company as Chief Executive Officer or otherwise.</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1"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Continuation during Disability</w:t>
      </w:r>
      <w:r>
        <w:rPr>
          <w:rFonts w:ascii="Times New Roman" w:cs="Times New Roman" w:eastAsia="Times New Roman" w:hAnsi="Times New Roman"/>
          <w:sz w:val="18"/>
          <w:szCs w:val="18"/>
          <w:color w:val="auto"/>
        </w:rPr>
        <w:t>. If Executive for any reason (except as expressly provided below) becomes temporarily or permanently disabled so that he is unable to perform the duties under this Agreement, Executive shall be paid the Base Salary otherwise payable to Executive pursuant to subparagraph 4(a) of this Agreement, reduced by the amounts received by Executive from state disability insurance, or worker’s compensation or other similar insurance benefits through policies provided by the Company, for a period of six (6) months from the date of disability. For purposes of this subparagraph 4(e), “disability” shall be defined as provided in the Company’s disability insurance program.</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5"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 Term Incentive Plan</w:t>
      </w:r>
      <w:r>
        <w:rPr>
          <w:rFonts w:ascii="Times New Roman" w:cs="Times New Roman" w:eastAsia="Times New Roman" w:hAnsi="Times New Roman"/>
          <w:sz w:val="18"/>
          <w:szCs w:val="18"/>
          <w:color w:val="auto"/>
        </w:rPr>
        <w:t>. Executive will be eligible to participate in such long-term incentive scheme(s) as the Arm Board and the Remuneration Committee of the Arm Board, acting in accordance with the Services Agreement and following deliberation with the SoftBank Group Corp. Nomination and Compensation Committee may approve from time to time for participation in by Executive, if any, subject to such terms as may be so approved (including, without limitation, in respect of grant amounts, vesting conditions and timing, if applicable). If Executive is at any time granted rights pursuant to any such schemes, those rights shall be subject to the rules of those schemes as in force from time to time, which rules shall not form part of this Agreement. Executive acknowledges that the making of an award to him under those schemes shall not entitle him to any further award, or to participate in any similar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474" w:name="page475"/>
    <w:bookmarkEnd w:id="474"/>
    <w:p>
      <w:pPr>
        <w:jc w:val="both"/>
        <w:ind w:firstLine="1304"/>
        <w:spacing w:after="0" w:line="252" w:lineRule="auto"/>
        <w:tabs>
          <w:tab w:leader="none" w:pos="1938"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Benefits</w:t>
      </w:r>
      <w:r>
        <w:rPr>
          <w:rFonts w:ascii="Times New Roman" w:cs="Times New Roman" w:eastAsia="Times New Roman" w:hAnsi="Times New Roman"/>
          <w:sz w:val="18"/>
          <w:szCs w:val="18"/>
          <w:color w:val="auto"/>
        </w:rPr>
        <w:t>. During his term of employment, Executive shall receive such group life, disability, and health (including medical, dental, vision and hospitalization), accident and disability insurance coverage and other benefits which the Company extends, as a matter of policy, to all of its executive employees, except as otherwise provided herein, and shall be entitled to participate in all benefit and other incentive plans of the Company, on the same basis as other like employees of the Company. Executive’s spouse and dependent children shall be eligible for membership in any such health insurance benefits operated by the Company or Arm where reasonably practicable for the Company or Arm to procure such benefits. The Company or Arm shall be under no obligation to make any payment under the private health insurance scheme to Executive unless and until it has received payment from the policy provider for that purpose. The Company or Arm shall have no liability to Executive in respect of any failure or refusal by the policy provider to make any payments under the private health insurance scheme in respect of Executive and the Company or Arm shall be under no obligation to pursue such payments on behalf of Executive. In the event that Executive receives a Base Salary or benefits from the Company or Arm in respect of any period which is subsequently covered by the private health insurance scheme, the Company shall be entitled to deduct from any sums owed to Executive the amount of Base Salary and an amount in respect of the benefits provided for the relevant period. The Company and Arm reserve the right at any time to amend the terms of or withdraw the provision of any benefit under this subparagraph 4(g). No liability will accrue to the Company or Arm in the event that any of the benefits are unavailable to Executive by virtue of any conditions or restrictions imposed by the provider of the benefits. The Company or Arm shall be under no obligation to take any action to enforce the terms of or otherwise procure the provision of any benefit to Executive.</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In addition to public holidays, Executive shall be entitled to his current entitlement annual vacation during his term of employment at his then existing rate of Base Salary, to be taken at such time or times as may be agreed with the Arm Board (in accordance with the Services Agreement). The Company’s holiday year runs from April to March each year. Vacation will accrue subject to a maximum accrual cap of one times the annual accrual earned each year.</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38"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Executive’s employment, the Company shall promptly reimburse Executive for all properly documented, reasonable, ordinary and necessary business expenses incurred by Executive in the performance of his duties under this Agreement, Executive shall also be reimbursed for reasonable expenses incurred in activities associated with promoting the business of the Company, including expenses for entertainment, travel, conventions, and educational programs. All such expenses described above will be subject to compliance with applicable policies of the Company and SoftBank Group Corp. All such reimbursements shall be made upon presentation and approval of receipts, invoices or other appropriate evidence of such expense in accordance with the policies of the Company and SoftBank Group Corp. in effect from time to time. Executive acknowledges and agrees that the use of Company property (including expense reimbursement in respect thereof), including but not limited to any transportation resources, shall only be permitted for Company business purposes. To the extent, if any, that Executive is permitted to use any Company property for personal use (which use must be pre-approved and in writing), Executive hereby agrees to and shall reimburse the Company within no later than thirty (30) days of such personal use absent express written agreement to the contrary.</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Life Insurance</w:t>
      </w:r>
      <w:r>
        <w:rPr>
          <w:rFonts w:ascii="Times New Roman" w:cs="Times New Roman" w:eastAsia="Times New Roman" w:hAnsi="Times New Roman"/>
          <w:sz w:val="18"/>
          <w:szCs w:val="18"/>
          <w:color w:val="auto"/>
        </w:rPr>
        <w:t>. The Company shall have the right to obtain and hold a “key-man” life insurance policy on the life of Executive with the Company as beneficiary of the policy. Executive agrees to provide any information required for the issuance of such policy and submit himself to any physical examination required for such policy.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The Arm Board may (in accordance with the Services Agreement) terminate Executive’s employment hereunder for “Cause” or without “Cause.” For purposes of this Agreement termination for “Cause” shall mean the Arm Board’s good faith determination that any of the following have occurred: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86" w:val="left"/>
        </w:tabs>
        <w:numPr>
          <w:ilvl w:val="2"/>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for (or pleading guilty or nolo contendere to) a felony or a crime or conduct involving moral turpitude, fraud, dishonesty, theft, or any act which is a violation of any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color w:val="auto"/>
        </w:rPr>
        <w:t>regulation protecting the rights of Executive or the commission of any act that may result in the Company being held criminally liable;</w:t>
      </w:r>
    </w:p>
    <w:p>
      <w:pPr>
        <w:spacing w:after="0" w:line="225" w:lineRule="exact"/>
        <w:rPr>
          <w:sz w:val="20"/>
          <w:szCs w:val="20"/>
          <w:color w:val="auto"/>
        </w:rPr>
      </w:pPr>
    </w:p>
    <w:p>
      <w:pPr>
        <w:ind w:firstLine="1952"/>
        <w:spacing w:after="0" w:line="282" w:lineRule="auto"/>
        <w:tabs>
          <w:tab w:leader="none" w:pos="2582"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engages in conduct during the performance of his duties hereunder which constitutes willful or reckless misconduct, willful or gross neglect, fraud, dishonesty, misappropriation or embezzlement;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92"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engages in other conduct that has or reasonably would bring Executive into public disrepute, contempt, scandal, or ridicule, or harm the Company’s or Arm’s business or professional reputation or that of the Arm Board;</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2"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 in any material respect of the terms and provisions of this Agreement, and/or the failure or refusal by Executive to perform his obligations under the Agreement and/or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failure to cure such breach within thirty (30) days following written notice from the Company specifying such breach. The final decision as to whether Executive has committed such a breach, and should therefore be terminated for Cause, shall be determined by the Arm Board (in accordance with the Services Agreement); or</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6"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employment of Executive is terminated pursuant to this subparagraph 5(a), the Company shall have no further liability to Executive other than for compensation accrued and for reimbursement of business expenses incurred through the date of termination but not yet paid. In case of such termination, Executive will not be eligible for severance pay, and no notice for such termination is required. Further, termination under this subparagraph 5(a) shall not prejudice any remedy that the Company may have at law, in equity, or under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8"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or by Executive for Good Reason</w:t>
      </w:r>
      <w:r>
        <w:rPr>
          <w:rFonts w:ascii="Times New Roman" w:cs="Times New Roman" w:eastAsia="Times New Roman" w:hAnsi="Times New Roman"/>
          <w:sz w:val="18"/>
          <w:szCs w:val="18"/>
          <w:color w:val="auto"/>
        </w:rPr>
        <w:t xml:space="preserve">. The Arm Board, in accordance with the Services Agreement, may terminate the employment of Executive without “Cause” (as defined in subparagraph 5(a)) at any time during his term of employment by giving thirty (30) days’ written notice to Executive specifying therein the effective date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Arm Board may change the characterization of the termination for Cause within thirty (30) days before or after the effective date of termination if the Arm Board has learned of new information or otherwise upon a showing that the termination could have been for Cause. Executive shall have the right, but not the obligation, to terminate this Agreement, subject to the surviving terms of this Agreement, as set forth herein, in the event Executive has a Good Reason to terminate his employment with the Company by giving sixty (60) days’ written notice to the Company and the Arm Board specifying therein the effective date of resignation. For purposes of this Agreement, and subject to the Company’s opportunity to cure as provided in subparagraph 5(i) hereof, Executive shall have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to terminate his employment hereunder if such termination shall be the result of:</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2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reduction by the Company in the authority, duties or responsibilities of Executive, or any other action by the Company which results in a significant diminution of his authority, duties, or responsibilities as Chief Executive Officer, excluding for this purpose an isolated, insubstantial and inadvertent action not taken in bad faith and which is remedied by the Company promptly after receipt of notice thereof given by Executive; and (ii) any material reduction in Executive’s annual salary, opportunity to earn annual or long-term incentives, or other monetary compensation, including but not limited to those provided in this Agreement, other than as a result of an isolated, insubstantial and inadvertent action not taken in bad faith and which is remedied by the Company promptly after receipt of notice thereof given by Executive. Notwithstanding any provision above or elsewhere in this Agreement to the contrary, (i) the Arm Board, in accordance with the Services Agreement, may place Executive on paid leave for up to ninety (90) days while the Arm Board is determining whether there is a basis to terminate Executive’s employment for Cause, or (ii) make take the actions described in Section 5(l), neither of which actions by the Arm Board will constitute Good Reason.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1"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upon Death or Permanent Disability</w:t>
      </w:r>
      <w:r>
        <w:rPr>
          <w:rFonts w:ascii="Times New Roman" w:cs="Times New Roman" w:eastAsia="Times New Roman" w:hAnsi="Times New Roman"/>
          <w:sz w:val="18"/>
          <w:szCs w:val="18"/>
          <w:color w:val="auto"/>
        </w:rPr>
        <w:t>. This Agreement shall terminate automatically upon: (i) the death of Executive, and (ii) the “permanent disability” of Executive; “permanent disability” shall mean that Executive has been deemed by a medical care provider reasonably acceptable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color w:val="auto"/>
        </w:rPr>
        <w:t>Company to indefinitely be unable to perform the essential functions of Executive’s position with or without accommodation.</w:t>
      </w:r>
    </w:p>
    <w:p>
      <w:pPr>
        <w:spacing w:after="0" w:line="225" w:lineRule="exact"/>
        <w:rPr>
          <w:sz w:val="20"/>
          <w:szCs w:val="20"/>
          <w:color w:val="auto"/>
        </w:rPr>
      </w:pPr>
    </w:p>
    <w:p>
      <w:pPr>
        <w:jc w:val="both"/>
        <w:ind w:firstLine="1952"/>
        <w:spacing w:after="0" w:line="266" w:lineRule="auto"/>
        <w:tabs>
          <w:tab w:leader="none" w:pos="258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by reason of the permanent disability of Executive, the Company shall give 30-days’ advance written notice to that effect to Executive or his representative. The Company and Executive shall comply with any obligations they may respectively have, under state or federal law, to interact regarding reasonable accommodations.</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2"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 dies during his employment with the Company, (A) the Company shall pay Executive and/or Executive’s designated beneficiary, if any, the Base Severance Amount (as defined in Section 5(g)(i) below) and (B) Executive and/or Executive’s designated beneficiary shall have no further rights to any other compensation, bonuses, or benefits hereunder on or after the termination of employment, or any other rights hereunder, except as otherwise provided in the plans and policies of the Company or this Agreement.</w:t>
      </w:r>
    </w:p>
    <w:p>
      <w:pPr>
        <w:spacing w:after="0" w:line="17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or a series of related transactions, in which any Person becomes the Beneficial Owner, directly or indirectly, of securities of Arm that, together with any other securities of the Company held by such Person, constitute more than 50% of the combined voting power of Arm’s then outstanding securities, other than as a result of a transfer of securities by such Person to an affiliate of such Person;</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82"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other business combination or consolidation of Arm with any other corporation or other entity, except any such merger, or other business combination or consolidation in which the shares of capital stock of Arm outstanding immediately prior to the relevant transaction(s) continue to represent, or are converted into or exchanged for voting securities that represent, immediately following such transaction(s), at least 50%, by voting power, of the voting securities of (1) the surviving or resulting entity or (2) if the surviving or resulting entity is a wholly owned subsidiary of another entity immediately following such transaction, the direct or indirect parent entity of such surviving or resulting entity;</w:t>
      </w:r>
    </w:p>
    <w:p>
      <w:pPr>
        <w:spacing w:after="0" w:line="18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or involuntary liquidation, dissolution, bankruptcy or winding up of Arm; or</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582"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in a single transaction or series of related transactions, by Arm of all or substantially all the assets of Arm and its subsidiaries taken as a whole, except where such sale or other disposition is to a wholly owned subsidiary of Arm;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a transaction (or series of transactions) will not constitute a Change in Control under (i)–(iv) above if:</w:t>
      </w:r>
    </w:p>
    <w:p>
      <w:pPr>
        <w:spacing w:after="0" w:line="225" w:lineRule="exact"/>
        <w:rPr>
          <w:sz w:val="20"/>
          <w:szCs w:val="20"/>
          <w:color w:val="auto"/>
        </w:rPr>
      </w:pPr>
    </w:p>
    <w:p>
      <w:pPr>
        <w:jc w:val="both"/>
        <w:ind w:firstLine="1952"/>
        <w:spacing w:after="0" w:line="255" w:lineRule="auto"/>
        <w:tabs>
          <w:tab w:leader="none" w:pos="258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occurs by virtue of (1) an initial public offering of Arm’s securities, (2) any merger or consolidation of Arm with or into another entity as the result of which both (x) Arm becomes subject to, or Arm becomes a wholly-owned subsidiary of an entity that is subject to, the reporting requirements of Section 13 or Section 15(d) of the Securities Exchange Act of 1934, as amended, and (y) in which the shares of capital stock of Arm outstanding immediately prior to the relevant transaction(s) continue to represent, or are converted into or exchanged for voting securities that represent, immediately following such transaction(s), at least 50%, by voting power, of the voting securities of (I) the surviving or resulting entity or (II) if the surviving or resulting entity is a wholly owned subsidiary of another entity immediately following such transaction, the direct or indirect parent entity of such surviving or resulting entity or (3) a financing of Arm for capital raising purposes that is approved by the Arm Board;</w:t>
      </w:r>
    </w:p>
    <w:p>
      <w:pPr>
        <w:spacing w:after="0" w:line="18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primary purpose is to change the jurisdiction of Arm’s incorporation;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477" w:name="page478"/>
    <w:bookmarkEnd w:id="477"/>
    <w:p>
      <w:pPr>
        <w:jc w:val="both"/>
        <w:ind w:firstLine="1952"/>
        <w:spacing w:after="0" w:line="266" w:lineRule="auto"/>
        <w:tabs>
          <w:tab w:leader="none" w:pos="2589" w:val="left"/>
        </w:tabs>
        <w:numPr>
          <w:ilvl w:val="2"/>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avoid the imposition of taxes or penalties under Section 409A, it is not a “change in the ownership or effective control of” Arm or “a change in the ownership of a substantial portion of the assets of” Arm as determined under Treasury Regulation Section 1.409A-3(i)(5).</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defined in Rule 13d-3 under the Exchange Act.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entity or “group” (within the meaning of Section 13(d) or 14(d) of the Exchange Act), except that, for purposes of subsections (i) and (ii) of the definition of “Change in Control,” such term shall not include (i) Arm or any Subsidiary, (ii) a trustee or other fiduciary holding securities under an employee benefit plan of Arm or any Subsidiary, (iii) an underwriter temporarily holding securities pursuant to an offering of such securities, (iv) a corporation or other entity owned, directly or indirectly, by the stockholders of Arm in substantially the same proportions as their ownership of securities of Arm or (v) any natural person, entity or “group” (within the meaning of Section 13(d) or 14(d) of the Exchange Act) that, as of the effective date of the Plan, is the owner, directly or indirectly, of securities of Arm representing more than 50% of the combined voting power of Arm’s then-outstanding securities (including any affiliate of any natural person, entity or group described in this clause (v)).</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have the right, but not the obligation, to terminate this Agreement, subject to the surviving terms of this Agreement, as set forth herein, in the event of a Change in Control. For clarity and the avoidance of doubt, the definition of “Change of Control” herein shall not be deemed to amend or alter any change of control-related provision applicable to Executive in any Company and/or Arm long-term incentive plans.</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35"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As set forth below, in the event this Agreement is terminated by the Company and/or Executive for any of the reasons set forth in subparagraph 5(b) and/or (d) above after the Effective Date, Executive shall be entitled to severance (in amounts stated in the respective subparagraphs (g) and (h) below, respectively), and such severance shall be paid in twelve (12) equal monthly installments (“Severance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Executive’s right to such severance is expressly conditioned on Executive’s continued and ongoing compliance with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this Agreement and his execution and continued compliance with the Severance and Release Agreement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and, in particular, his compliance with the non-competition provisions set forth in Paragraph 8 of the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Severance and Release Agreement. Moreover, in the case of any of the severance provisions herein, in the event of a breach by Executive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 this Agreement after the date upon which either has become effective and Executive has begun to receive severance payment and benefits hereunder or thereunder, or in the case of Executive directly or indirectly working for or otherwise providing services to a Competitor (as defined in Section 8 of Exhibit B below) at any point during the Severance Period (regardless of whether the severance period is altered or a court or arbitrator otherwise finds Executive’s conduct to be a violation of Section 8 of Exhibit B below), the Company may require and Executive shall forfeit any amounts yet to be paid, and Executive shall repay any amounts paid to date.</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 in the Event of Termination of Agreement Pursuant to subparagraph 5(b)</w:t>
      </w:r>
      <w:r>
        <w:rPr>
          <w:rFonts w:ascii="Times New Roman" w:cs="Times New Roman" w:eastAsia="Times New Roman" w:hAnsi="Times New Roman"/>
          <w:sz w:val="18"/>
          <w:szCs w:val="18"/>
          <w:color w:val="auto"/>
        </w:rPr>
        <w:t xml:space="preserve">. In the event the Company terminates this Agreement pursuant to subparagraph 5(b), then so long as Executive has executed and continues to comply with the terms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executes and continues to comply with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 this Agreement, as set forth above and below and so long as no Change in Control (as defined above) has occurred prior to such termination, Executive shall be entitled to the following severance benefits:</w:t>
      </w:r>
    </w:p>
    <w:p>
      <w:pPr>
        <w:spacing w:after="0" w:line="180" w:lineRule="exact"/>
        <w:rPr>
          <w:sz w:val="20"/>
          <w:szCs w:val="20"/>
          <w:color w:val="auto"/>
        </w:rPr>
      </w:pPr>
    </w:p>
    <w:p>
      <w:pPr>
        <w:jc w:val="both"/>
        <w:ind w:firstLine="1952"/>
        <w:spacing w:after="0" w:line="266" w:lineRule="auto"/>
        <w:tabs>
          <w:tab w:leader="none" w:pos="2586"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Severance Amount</w:t>
      </w:r>
      <w:r>
        <w:rPr>
          <w:rFonts w:ascii="Times New Roman" w:cs="Times New Roman" w:eastAsia="Times New Roman" w:hAnsi="Times New Roman"/>
          <w:sz w:val="18"/>
          <w:szCs w:val="18"/>
          <w:color w:val="auto"/>
        </w:rPr>
        <w:t>. Executive shall be entitled to receive a sum equal to Executive’s Base Salary, less applicable state and federal withholdings (the “</w:t>
      </w:r>
      <w:r>
        <w:rPr>
          <w:rFonts w:ascii="Times New Roman" w:cs="Times New Roman" w:eastAsia="Times New Roman" w:hAnsi="Times New Roman"/>
          <w:sz w:val="18"/>
          <w:szCs w:val="18"/>
          <w:u w:val="single" w:color="auto"/>
          <w:color w:val="auto"/>
        </w:rPr>
        <w:t>Base Severance Amount</w:t>
      </w:r>
      <w:r>
        <w:rPr>
          <w:rFonts w:ascii="Times New Roman" w:cs="Times New Roman" w:eastAsia="Times New Roman" w:hAnsi="Times New Roman"/>
          <w:sz w:val="18"/>
          <w:szCs w:val="18"/>
          <w:color w:val="auto"/>
        </w:rPr>
        <w:t xml:space="preserve">”). The Base Severance Amount shall be payable in twelve (12) equal monthly installments in accordance with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 in the Event of Termination of Agreement based on a Change in Control pursuant to Subparagraph 1(d)</w:t>
      </w:r>
      <w:r>
        <w:rPr>
          <w:rFonts w:ascii="Times New Roman" w:cs="Times New Roman" w:eastAsia="Times New Roman" w:hAnsi="Times New Roman"/>
          <w:sz w:val="18"/>
          <w:szCs w:val="18"/>
          <w:color w:val="auto"/>
        </w:rPr>
        <w:t xml:space="preserve">. In the event Executive exercises his option, but not obligation, to terminate this Agreement in the event of a Change in Control pursuant to subparagraph 5(d), then so long as Executive has executed and complies with the terms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executes, does not revoke and complies with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478" w:name="page479"/>
    <w:bookmarkEnd w:id="478"/>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as set forth above and below, Executive (or in the instance of Executive’s death prior to the completion of a contemplated Change in Control transaction, then Executive’s designated beneficiary) shall be entitled to receive the Base Severance Amount as set forth in subparagraph 5(g)(i) above.</w:t>
      </w:r>
    </w:p>
    <w:p>
      <w:pPr>
        <w:spacing w:after="0" w:line="176" w:lineRule="exact"/>
        <w:rPr>
          <w:sz w:val="20"/>
          <w:szCs w:val="20"/>
          <w:color w:val="auto"/>
        </w:rPr>
      </w:pPr>
    </w:p>
    <w:p>
      <w:pPr>
        <w:jc w:val="both"/>
        <w:ind w:firstLine="1304"/>
        <w:spacing w:after="0" w:line="254" w:lineRule="auto"/>
        <w:tabs>
          <w:tab w:leader="none" w:pos="193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Opportunity to Cure</w:t>
      </w:r>
      <w:r>
        <w:rPr>
          <w:rFonts w:ascii="Times New Roman" w:cs="Times New Roman" w:eastAsia="Times New Roman" w:hAnsi="Times New Roman"/>
          <w:sz w:val="18"/>
          <w:szCs w:val="18"/>
          <w:color w:val="auto"/>
        </w:rPr>
        <w:t>. Notwithstanding the foregoing, it shall be a condition precedent to the Company’s right to terminate this Agreement under subparagraph 5(a) and Executive’s right to terminate his employment for “Good Reason” that (1) the party alleging a breach shall first have given the other party written notice stating with specificity the reason for the termination and (2) if such breach is susceptible of cure or remedy, a period of 30 days from and after the giving of such notice to cure the breach. If the breach cannot reasonably be cured or remedied within 30 days, the period for remedy or cure shall be extended once for a reasonable time (not to exceed 30 days), provided the party against whom a breach is alleged has made and continues to make a diligent effort to effect such remedy or cure. As to Executive, Executive may only terminate his employment for “Good Reason” (in relation to the matter specified in the notice to the Arm Board) within the 30 day period after the applicable cure period stated above has expired.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Termination Obligations</w:t>
      </w:r>
      <w:r>
        <w:rPr>
          <w:rFonts w:ascii="Times New Roman" w:cs="Times New Roman" w:eastAsia="Times New Roman" w:hAnsi="Times New Roman"/>
          <w:sz w:val="18"/>
          <w:szCs w:val="18"/>
          <w:color w:val="auto"/>
        </w:rPr>
        <w:t>. If Executive’s employment with the Company is terminated for any reason (or immediately, if requested by the Company during Executive’s employment), Executive shall promptly without request: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6"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 the Company of and deliver to the Company all Property, documents and data pertaining to Executive’s employment and the confidential information and/or trade secret information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whether prepared by Executive or otherwise, in Executive’s possession and/or control;</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2"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Sign the Certificate of Compliance Post Termination Certificate attached as Exhibit 2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Executive shall not retain any written or other tangible material containing information concerning or disclosing any confidential information and/or trade secret information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92"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prior or future provision of this Agreement or any other policy, representation, or understanding to the contrary, Executive agrees that his obligation to return Property shall apply if Executive uses any personal device, method of communication, or data source or storage, for any Company purpose, such that Executive will make available to the Company any such personal device for return or destruction, at the Company’s option, of Company Property.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termination of Executive’s employment under this Agreement, Executive also agrees that, consistent with Executive’s business and personal affairs and his fiduciary duties both to the Company and to any new employer, he will (upon reasonable request by the Company) cooperate with the Company and with the Company’s counsel in connection with any present and future actual or threatened litigation, administrative proceeding or investigation involving the Company that relates to events, occurrences or conduct occurring (or claimed to have occurred) during the period of Executive’s employment by the Company or service to the Company (other than any litigation, administrative proceeding or investigation in which Executive and the Company or it or their affiliates are opposing parties); provided, however, that nothing in this section shall require Executive to cooperate in such a way that would materially and adversely affect his legal interests. Cooperation may include, but is not limited to:</w:t>
      </w:r>
    </w:p>
    <w:p>
      <w:pPr>
        <w:spacing w:after="0" w:line="189" w:lineRule="exact"/>
        <w:rPr>
          <w:sz w:val="20"/>
          <w:szCs w:val="20"/>
          <w:color w:val="auto"/>
        </w:rPr>
      </w:pPr>
    </w:p>
    <w:p>
      <w:pPr>
        <w:ind w:left="2580" w:hanging="628"/>
        <w:spacing w:after="0"/>
        <w:tabs>
          <w:tab w:leader="none" w:pos="25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himself reasonably available for interviews and discussions with the Company’s counsel as well as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depositions and trial testimony;</w:t>
      </w:r>
    </w:p>
    <w:p>
      <w:pPr>
        <w:spacing w:after="0" w:line="206" w:lineRule="exact"/>
        <w:rPr>
          <w:rFonts w:ascii="Times New Roman" w:cs="Times New Roman" w:eastAsia="Times New Roman" w:hAnsi="Times New Roman"/>
          <w:sz w:val="18"/>
          <w:szCs w:val="18"/>
          <w:color w:val="auto"/>
        </w:rPr>
      </w:pPr>
    </w:p>
    <w:p>
      <w:pPr>
        <w:ind w:right="20" w:firstLine="1952"/>
        <w:spacing w:after="0" w:line="282" w:lineRule="auto"/>
        <w:tabs>
          <w:tab w:leader="none" w:pos="258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depositions or trial testimony are to occur, making himself reasonably available and cooperating in the preparation therefor, as and to the extent that the Company or the Company’s counsel reasonably requests;</w:t>
      </w:r>
    </w:p>
    <w:p>
      <w:pPr>
        <w:spacing w:after="0" w:line="16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refraining from impeding in any way the Company’s prosecution or defense of such litigation or administrative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479" w:name="page480"/>
    <w:bookmarkEnd w:id="479"/>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(vii)</w:t>
      </w:r>
      <w:r>
        <w:rPr>
          <w:sz w:val="20"/>
          <w:szCs w:val="20"/>
          <w:color w:val="auto"/>
        </w:rPr>
        <w:tab/>
      </w:r>
      <w:r>
        <w:rPr>
          <w:rFonts w:ascii="Times New Roman" w:cs="Times New Roman" w:eastAsia="Times New Roman" w:hAnsi="Times New Roman"/>
          <w:sz w:val="18"/>
          <w:szCs w:val="18"/>
          <w:color w:val="auto"/>
        </w:rPr>
        <w:t>cooperating in the development and presentation of the Company’s prosecution or defense of such litigation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proceeding.</w:t>
      </w:r>
    </w:p>
    <w:p>
      <w:pPr>
        <w:spacing w:after="0" w:line="207" w:lineRule="exact"/>
        <w:rPr>
          <w:sz w:val="20"/>
          <w:szCs w:val="20"/>
          <w:color w:val="auto"/>
        </w:rPr>
      </w:pPr>
    </w:p>
    <w:p>
      <w:pPr>
        <w:jc w:val="both"/>
        <w:ind w:firstLine="1952"/>
        <w:spacing w:after="0" w:line="256" w:lineRule="auto"/>
        <w:tabs>
          <w:tab w:leader="none" w:pos="2587"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pay directly, or promptly reimburse Executive for, any expense reasonably incurred by him in connection with rendering cooperation under this Section, including (without limitation) attorneys’ fees and other charges of counsel approved by the Company, which approval shall not be unreasonably withheld (if Executive reasonably determines that he should retain independent legal counsel), incurred in connection with any cooperation, consultation and advice rendered under this Agreement following receipt of appropriate documentation from Executive substantiating such expenses, and will additionally compensate Executive for his time incurred in such cooperation, consultation and advice at an appropriate rate that the Company reasonably deems consistent with his professional status and compensation levels hereunder.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with the Company shall be “at will” at all times. Subject to this Section 5 and other relevant Agreement terms, Executive or the Arm Board (in accordance with the Services Agreement) may terminate Executive’s employment with the Company at any time and with or without Cause or Good Reason (as such terms are defined above), notwithstanding anything to the contrary contained in or arising from any statements, policies or practices of the Company or the Arm Board relating to the employment, discipline or termination of employees. Upon and after such termination, all obligations of the Company under this agreement shall cease, except as otherwise provided 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38"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terms of this Agreement and/or any payments, plans or benefits provided in connection with his employment may need to be amended, withdrawn and/or replaced to ensure compliance with: (i) all applicable laws, regulations and regulatory guidance; and (ii) the policies and rules of any stock exchange (and/or any best practice thereof) on which Arm or any Associated Company is listed and/or admitted to trading. The Executive agrees (i) to discuss any such amendment, withdrawal or replacement in good faith with the Company and the Arm Board; and (ii) that any action taken by the Company or the Arm Board pursuant to this section shall not constitute Good Reason for the purposes of Section 5(b)(i).</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Employer’s Executive Confidentiality, Non-Disclosure, Non-Recruiting Agreement and Assignment of Interest in Inventions Agreement /Non-Disparagement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1"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agrees that in consideration for and as a condition of the Company entering into this Agreement, Executive shall execute and be bound by the Executive Confidentiality, Non-Disclosure, Non-Recruiting Agreement and Assignment of Interest in Inventions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Executive hereby agrees that the Company may notify a prospective or actual new employer of Executive about Executive’s rights and obligations under such agreement, and that the Company may provide such agreement in whole or part (at its option) to any such new employer.</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38"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Executive agrees that, during his employment and at any time thereafter, Executive shall not directly or indirectly (a) make any statement, whether in commercial or non-commercial speech, disparaging, criticizing, defaming, slandering, or ridiculing in any way the Company, its parents, their affiliates or their respective officers and directors, or any products or services offered by any of these entities, or (b) engage in any other conduct or make any other statement that, in each case, should reasonably be expected to impair the goodwill or reputation of the Company, its parents, or their affiliates. The Company agrees to instruct those individuals who are current executive officers and members of the Arm Board during Executive’s employment to refrain from making any statement, whether in commercial or non-commercial speech, disparaging, criticizing, defaming, slandering, or ridiculing Executive in any way,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provision shall not otherwise prohibit the Company from reviewing the performance of Executive and communicating the results of such review to Executive. Executive understands and agrees that the Company’s obligations under this Section 6(b) extend only to the Company’s duty to instruct its executive officers and members of the Arm Board who are current executive officers or members of the Arm Board during Executive’s employment and, for the avoidance of doubt, that the Company is not responsible after each such individual is no longer an executive officer or member of the Arm Board. Notwithstanding anything herein to the contrary, nothing herein or elsewhere shall prevent either party from making disclosures or truthful statements required by law or by any court, arbitrator, governmental body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480" w:name="page481"/>
    <w:bookmarkEnd w:id="480"/>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other person with apparent authority to require such disclosures or statements, or, in the case of the Company, to make disclosures to and otherwise communicate with auditors, financial, legal or other advisors. Nothing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in any way limit the rights or relief that either party may have under common law or otherwise with respect to the conduct prohibited in this paragraph. Nothing in this agreement prevents Executive from discussing or disclosing information about unlawful acts in the workplace, such as harassment or discrimination or any other conduct that Executive has reason to believe is unlawful.</w:t>
      </w:r>
    </w:p>
    <w:p>
      <w:pPr>
        <w:spacing w:after="0" w:line="183" w:lineRule="exact"/>
        <w:rPr>
          <w:sz w:val="20"/>
          <w:szCs w:val="20"/>
          <w:color w:val="auto"/>
        </w:rPr>
      </w:pPr>
    </w:p>
    <w:p>
      <w:pPr>
        <w:ind w:left="1300" w:hanging="644"/>
        <w:spacing w:after="0"/>
        <w:tabs>
          <w:tab w:leader="none" w:pos="130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it is determined that any of the provisions of this Agreement is invalid or unenforceable, the remainder of the provisions of this Agreement shall not thereby be affected and shall be given full effect, without regard to the invalid portions.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If attorneys’ fees or other costs are incurred to secure performance of any obligations hereunder, or to establish damages for the breach thereof or to obtain any other appropriate relief, whether by way of prosecution or defense, the prevailing party will be entitled to recover reasonable attorneys’ fees and costs incurred in connection therewith.</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1"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Other than any notice or service of process required in connection with a legal action in court or arbitration, which is in no way waived under this Agreement, any and all notices or deliveries authorized or required pursuant to this Agreement shall be deemed to have been given when in writing, and when: (i) deposited in the U.S. mail, certified, return receipt requested, postage prepaid, or (ii) otherwise delivered by hand or by overnight delivery, against written receipt, by a common carrier or commercial courier or delivery service addressed to the, parties at the following addresses or to such other addresses as either may designate in writing to the other party: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Arm,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Rose Orchard 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Jose, California 95134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SoftBank Group Corp.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SoftBank Group Corp., 1-7-1, Kaigan, Minato-ku, Tokyo 105-7537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Legal Officer of SoftBank Group Corp.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Executive: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Mr. Rene Anthony Andrada Haas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also give notice in writing to the Executive by email sent to the Executive’s Arm email address from time to time and such notice shall be deemed to have been given at the time of transmission of the email.</w:t>
      </w:r>
    </w:p>
    <w:p>
      <w:pPr>
        <w:spacing w:after="0" w:line="162" w:lineRule="exact"/>
        <w:rPr>
          <w:sz w:val="20"/>
          <w:szCs w:val="20"/>
          <w:color w:val="auto"/>
        </w:rPr>
      </w:pPr>
    </w:p>
    <w:p>
      <w:pPr>
        <w:ind w:right="20" w:firstLine="1304"/>
        <w:spacing w:after="0" w:line="282" w:lineRule="auto"/>
        <w:tabs>
          <w:tab w:leader="none" w:pos="1938"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between the parties with respect to the subject matter hereof and supersede all prior agreements, written or oral,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481" w:name="page482"/>
    <w:bookmarkEnd w:id="481"/>
    <w:p>
      <w:pPr>
        <w:jc w:val="both"/>
        <w:spacing w:after="0" w:line="261" w:lineRule="auto"/>
        <w:rPr>
          <w:sz w:val="20"/>
          <w:szCs w:val="20"/>
          <w:color w:val="auto"/>
        </w:rPr>
      </w:pPr>
      <w:r>
        <w:rPr>
          <w:rFonts w:ascii="Times New Roman" w:cs="Times New Roman" w:eastAsia="Times New Roman" w:hAnsi="Times New Roman"/>
          <w:sz w:val="18"/>
          <w:szCs w:val="18"/>
          <w:color w:val="auto"/>
        </w:rPr>
        <w:t>(including without limitation the Original Agreement). In the event of any conflicts, this Agreement will take precedence over any other verbal or written terms and conditions of employment. Provided, however, that (as to any period prior to the Date of this Agreement), the Executive Confidentiality, Non-Disclosure, and Non-recruiting Agreement dated 2 February, 2017 by and between Executive and the Company shall remain in full force and effect in accordance with its terms).</w:t>
      </w:r>
    </w:p>
    <w:p>
      <w:pPr>
        <w:spacing w:after="0" w:line="180" w:lineRule="exact"/>
        <w:rPr>
          <w:sz w:val="20"/>
          <w:szCs w:val="20"/>
          <w:color w:val="auto"/>
        </w:rPr>
      </w:pPr>
    </w:p>
    <w:p>
      <w:pPr>
        <w:ind w:firstLine="1304"/>
        <w:spacing w:after="0" w:line="282" w:lineRule="auto"/>
        <w:tabs>
          <w:tab w:leader="none" w:pos="194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and each and every provision hereof is for the exclusive benefit of the Parties and not for the benefit of any third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including Exhibit A and B hereto, may be amended, superseded, canceled, renewed or extended, and the terms hereof may be waived, only by a written instrument signed by the parties or, in the case of a waiver, by the party waiving compliance; to be effective, any such written instrument signed on behalf of the Company must (a) expressly refer to this Agreement, (b) be signed by a duly authorized representative of the Company, which representative shall not be Executive, (c) be signed only with the express prior approval of the Arm Board (ion accordance with the Services Agreement), and (d) be approved as required pursuant to all applicable policies of the Company and applicable law (including, if applicable, consideration and approval by the Arm Board and any applicable committees thereof). No delay on the part of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conflicts of laws principles.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 Subject to applicable law, Executive will be provided indemnification on terms determined by the Company, including, if applicable, any directors and officers insurance policies, and subject to the terms of any separate written indemnification agreement. For the avoidance of doubt, under no circumstances shall Executive be eligible for or be provided indemnification for any legal action in any forum that the Company, its parent, or affiliates (including without limitation SoftBank Corp. and SoftBank Group Corp.) pursue against Executive or that Executive pursues against the Company, its parent, or affiliates.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Agreement.</w:t>
      </w:r>
      <w:r>
        <w:rPr>
          <w:rFonts w:ascii="Times New Roman" w:cs="Times New Roman" w:eastAsia="Times New Roman" w:hAnsi="Times New Roman"/>
          <w:sz w:val="18"/>
          <w:szCs w:val="18"/>
          <w:color w:val="auto"/>
        </w:rPr>
        <w:t xml:space="preserve"> Without limitation of the generality of subparagraph 7(h) above, the Company and Executive shall (as soon as practicable after the Date of this Agreement) execute and deliver the Indemnity Agreement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Executive’s rights and obligations hereunder, may not be assigned by Executive; any purported assignment by Executive in violation hereof shall be null and void, in the event of any sale, transfer or other disposition of all or substantially all of the Company’s assets or business, whether by merger, consolidation or otherwise, the Company may assign this Agreement and its rights hereunder; provided that such assignment shall not limit the Company’s liability under this Agreement to Executive.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and their respective successors, permitted assigns, heirs, executors and legal representatives.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the parties hereto in separate counterparts, each of which when so executed and delivered shall be an original but all such counterparts together shall constitute one and the same instrument. Each counterpart may consist of two copies hereof each signed by one of the parties 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3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Any waiver by either party of any breach of any provision of this Agreement shall not operate as, or be construed as, a waiver of any subsequent breach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482" w:name="page483"/>
    <w:bookmarkEnd w:id="482"/>
    <w:p>
      <w:pPr>
        <w:ind w:left="1940" w:hanging="636"/>
        <w:spacing w:after="0"/>
        <w:tabs>
          <w:tab w:leader="none" w:pos="194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only and shall not affect the interpretation of this Agreement.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86"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claim or controversy (1) arising out of or relating to this Executive’s Executive Confidentiality, Non-Disclosure, Non-Recruiting Agreement and Assignment of Interest in Inventions Agreement and/or claims for Executive’s misappropriation of trade secrets, breach of fiduciary duty, or Executive’s related tortious conduct or (2) with an amount in controversy greater than three times the combined Base Salary and Base Severance Amount (as defined above), shall (unless the Company elects arbitration) be brought and exclusively decided in the federal or state courts of the State of Delaware, where Executive expressly agrees to personal jurisdiction. All other disputes, claims or controversies between the Parties shall be determined by arbitration in Delaware before a panel of three arbitrators. The arbitration shall be administered by JAMS pursuant to its Employment Arbitration Rules &amp; Procedures. Judgment on the award rendered by the arbitrators may be entered in any court having jurisdiction. This clause shall not preclude any party from seeking provisional relief, such as injunctive or similar non-monetary equitable relief, injunctive or similar nonmonetary equitable relief in a court of competent jurisdiction.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2"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arbitration will be deemed commenced, nor will the time to respond to any arbitration demand begin to run unless and until a party complies with the Delaware Uniform Arbitration Act, 10 Del. C. § 5703, including but not limited to service of a notice of intent to arbitrate in the same manner as a summons or by registered or certified mail. Delivery of e-service documents through the JAMS Electronic Filing System and anything else short of formal service of process will not be considered valid and effective service.</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92"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after the commencement of arbitration, each party to the arbitration shall select one person to act as arbitrator, and the two so selected shall select a third arbitrator within 30 days of the commencement of the arbitration. If the arbitrators selected by the parties to the arbitration are unable or fail to agree upon the third arbitrator within the allotted time, the third arbitrator shall be appointed by JAMS in accordance with its rules. All arbitrators shall serve as neutral, independent and impartial arbitrators.</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2"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maintain the confidential nature of the arbitration proceeding and the award rendered by the arbitrators,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or judicial decision.</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6"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Rule 6 of the JAMS Employment Arbitration Rules &amp; Procedures, the parties agree that if more than one arbitration is filed with JAMS arising out of or relating to this Agreement,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(in each case) the breach, termination, enforcement, interpretation or validity thereof, JAMS may consolidate such Arbitrations pursuant to Rule 6(e), notwithstanding the choice of law governing each such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Acknowledgment of Representation by Independent Counsel in Negotiation of this Agreement</w:t>
      </w:r>
      <w:r>
        <w:rPr>
          <w:rFonts w:ascii="Times New Roman" w:cs="Times New Roman" w:eastAsia="Times New Roman" w:hAnsi="Times New Roman"/>
          <w:sz w:val="18"/>
          <w:szCs w:val="18"/>
          <w:color w:val="auto"/>
        </w:rPr>
        <w:t>. Executive acknowledges, represents, and warrants that he has in fact been individually, fully, and adequately represented by legal counsel in negotiating with the Company the terms of this Agreement, including without limitation the venue or forum in which a controversy arising from the Agreement may be adjudicated and the choice of law to be applied.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8"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Claims</w:t>
      </w:r>
      <w:r>
        <w:rPr>
          <w:rFonts w:ascii="Times New Roman" w:cs="Times New Roman" w:eastAsia="Times New Roman" w:hAnsi="Times New Roman"/>
          <w:sz w:val="18"/>
          <w:szCs w:val="18"/>
          <w:color w:val="auto"/>
        </w:rPr>
        <w:t>. Executive acknowledges and agrees that (as of the Date of this Agreement) Executive is (to the best of his knowledge) not aware of any claims or causes of action against the Company or any of its affiliates (including without limitation SoftBank Corp. and SoftBank Group Corp.) arising out of or relating to Executive’s previous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483" w:name="page484"/>
    <w:bookmarkEnd w:id="483"/>
    <w:p>
      <w:pPr>
        <w:jc w:val="both"/>
        <w:ind w:firstLine="1304"/>
        <w:spacing w:after="0" w:line="252" w:lineRule="auto"/>
        <w:tabs>
          <w:tab w:leader="none" w:pos="193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w:t>
      </w:r>
      <w:r>
        <w:rPr>
          <w:rFonts w:ascii="Times New Roman" w:cs="Times New Roman" w:eastAsia="Times New Roman" w:hAnsi="Times New Roman"/>
          <w:sz w:val="18"/>
          <w:szCs w:val="18"/>
          <w:color w:val="auto"/>
        </w:rPr>
        <w:t>. It is intended that the terms of this Agreement comply with Section 409A of the Code and related Treasury regulations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or an exemption therefrom, and the terms of this Agreement will be interpreted accordingly; provided, however, that the Company, the Company’s affiliates, and their respective employees, officers, directors, agents and representatives (including, without limitation, legal counsel) will not have any liability to Executive with respect to any taxes, penalties, interest or other costs or expenses Executive or any related party may incur with respect to or as a result of Section 409A or for damages for failing to comply with Section 409A. Notwithstanding any provision to the contrary in this Agreement, with respect to any amounts under this Agreement that are determined to be deferred compensation for purposes of Section 409A and payable as a result of Executive’s termination of employment, Executive shall not be deemed to have terminated employment unless and until Executive has experienced a “separation from service” (as that term is used in Section 409A). Each amount to be paid or benefit to be provided under this Agreement shall be construed as a separate and distinct payment for purposes of Section 409A. Any reimbursements or in-kind benefits provided to or for the benefit of Executive that constitute deferred compensation for purposes of Section 409A shall be provided in a manner that complies with Treasury Regulation Section 1.409A-3(i)</w:t>
      </w:r>
    </w:p>
    <w:p>
      <w:pPr>
        <w:spacing w:after="0" w:line="5"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(1)(iv). Accordingly, (a) all such reimbursements will be made not later than the last day of the calendar year after the calendar year in which the expenses were incurred, (b) any right to such reimbursements or in-kind benefits will not be subject to liquidation or exchange for another benefit, and (c) the amount of the expenses eligible for reimbursement, or the amount of any in-kind benefit provided, during any taxable year will not affect the amount of expenses eligible for reimbursement, or the in-kind benefits provided, in any other taxable year. Without limiting the foregoing and notwithstanding anything contained herein to the contrary, on and after the date on which the Company’s stock becomes publicly traded on an established securities market or otherwise, to the extent required to avoid accelerated taxation and/or tax penalties under Section 409A, amounts that would otherwise be payable and benefits that would otherwise be provided pursuant to this Agreement or any other arrangement between Executive and the Company during the six month period immediately following Executive’s separation from service shall instead be paid on the first business day after the date that is six months following Executive’s separation from service (or, if earlier, Executive’s date of death).</w:t>
      </w:r>
    </w:p>
    <w:p>
      <w:pPr>
        <w:spacing w:after="0" w:line="19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1"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and Suspension</w:t>
      </w:r>
      <w:r>
        <w:rPr>
          <w:rFonts w:ascii="Times New Roman" w:cs="Times New Roman" w:eastAsia="Times New Roman" w:hAnsi="Times New Roman"/>
          <w:sz w:val="18"/>
          <w:szCs w:val="18"/>
          <w:color w:val="auto"/>
        </w:rPr>
        <w:t>. In the event of a breach by Executive of any restrictive covenant contained in this Agreement and Exhibits A and B hereto, the running of the period of restriction shall automatically be tolled and suspended for the amount of time the breach continues, and shall automatically commence when the breach is remedied so that the Company shall receive the benefit of Executive’s compliance with the terms and conditions of this Agreement.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This Agreement amends and supersedes the Original Agreement in its entirety (without prejudice to rights previously accrued thereunder).</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Accepted and agreed to:</w:t>
            </w:r>
          </w:p>
        </w:tc>
      </w:tr>
      <w:tr>
        <w:trPr>
          <w:trHeight w:val="234"/>
        </w:trPr>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Arm, Inc.</w:t>
            </w:r>
          </w:p>
        </w:tc>
      </w:tr>
      <w:tr>
        <w:trPr>
          <w:trHeight w:val="391"/>
        </w:trPr>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Spencer Collins</w:t>
            </w:r>
          </w:p>
        </w:tc>
        <w:tc>
          <w:tcPr>
            <w:tcW w:w="460" w:type="dxa"/>
            <w:vAlign w:val="bottom"/>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w:t>
            </w:r>
          </w:p>
        </w:tc>
      </w:tr>
      <w:tr>
        <w:trPr>
          <w:trHeight w:val="391"/>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w:t>
            </w: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Spencer Collins</w:t>
            </w:r>
          </w:p>
        </w:tc>
        <w:tc>
          <w:tcPr>
            <w:tcW w:w="680" w:type="dxa"/>
            <w:vAlign w:val="bottom"/>
            <w:gridSpan w:val="2"/>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391"/>
        </w:trPr>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Rene Anthony Andrada Haas</w:t>
            </w:r>
          </w:p>
        </w:tc>
        <w:tc>
          <w:tcPr>
            <w:tcW w:w="3040" w:type="dxa"/>
            <w:vAlign w:val="bottom"/>
          </w:tcPr>
          <w:p>
            <w:pPr>
              <w:spacing w:after="0"/>
              <w:rPr>
                <w:sz w:val="24"/>
                <w:szCs w:val="24"/>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EVP, Chief Legal Officer</w:t>
            </w:r>
          </w:p>
        </w:tc>
      </w:tr>
      <w:tr>
        <w:trPr>
          <w:trHeight w:val="237"/>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RENE ANTHONY ANDRADA HAAS</w:t>
            </w: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391"/>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11/21/2022</w:t>
            </w:r>
          </w:p>
        </w:tc>
        <w:tc>
          <w:tcPr>
            <w:tcW w:w="1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12/13/2022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484" w:name="page485"/>
    <w:bookmarkEnd w:id="48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CONFIDENTIALITY, NON-DISCLOSURE,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NON-RECRUITING, NON-COMPETITION AGREEMENT AND ASSIGNMENT OF INTEREST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INVENTIONS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Executive Confidentiality, Non-Disclosure, Non-Recruiting Agreement and Assignment of Interest in Inventions Agreement (hereinafter referred to as the “Agreement”) is entered into by and between Arm, Inc. (the “Company”) and RENE ANTHONY ANDRADA HAAS (referred to as the “Executive”) as of the date indicated below, in regard to the following facts:</w:t>
      </w:r>
    </w:p>
    <w:p>
      <w:pPr>
        <w:spacing w:after="0" w:line="176" w:lineRule="exact"/>
        <w:rPr>
          <w:sz w:val="20"/>
          <w:szCs w:val="20"/>
          <w:color w:val="auto"/>
        </w:rPr>
      </w:pPr>
    </w:p>
    <w:p>
      <w:pPr>
        <w:jc w:val="both"/>
        <w:ind w:firstLine="656"/>
        <w:spacing w:after="0" w:line="266" w:lineRule="auto"/>
        <w:tabs>
          <w:tab w:leader="none" w:pos="129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Executive’s employment with the Company, Executive has or will be exposed to and/or provided with trade secrets (hereinafter referred to as “Trade Secrets”) and proprietary and confidential information (hereinafter referred to as “Confidential Information”) relating to the operation of the Company’s business and its clients or customers.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wishes to protect its Trade Secrets and Confidential Information from unauthorized possession, use or disclosure, and to protect itself from unfair competition. Accordingly, Executive acknowledges that a part of the consideration Executive is providing the Company in exchange for his employment and continued employment based on the terms of the Amended and Restated Executive Employment Agreement provided by the Company is Executive’s continued agreement to maintain the secrecy of the Company’s Trade Secrets and Confidential Information in the manner provided 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foregoing, Executive agrees as follows:</w:t>
      </w:r>
    </w:p>
    <w:p>
      <w:pPr>
        <w:spacing w:after="0" w:line="225" w:lineRule="exact"/>
        <w:rPr>
          <w:sz w:val="20"/>
          <w:szCs w:val="20"/>
          <w:color w:val="auto"/>
        </w:rPr>
      </w:pPr>
    </w:p>
    <w:p>
      <w:pPr>
        <w:jc w:val="both"/>
        <w:ind w:firstLine="656"/>
        <w:spacing w:after="0" w:line="266" w:lineRule="auto"/>
        <w:tabs>
          <w:tab w:leader="none" w:pos="129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Duty of Loyalty</w:t>
      </w:r>
      <w:r>
        <w:rPr>
          <w:rFonts w:ascii="Times New Roman" w:cs="Times New Roman" w:eastAsia="Times New Roman" w:hAnsi="Times New Roman"/>
          <w:sz w:val="18"/>
          <w:szCs w:val="18"/>
          <w:color w:val="auto"/>
        </w:rPr>
        <w:t>. While employed by the Company, Executive agrees at all times to devote his best efforts to the business of the Company, to perform conscientiously all duties and obligations required or assigned, and not to usurp, for personal gain, any opportunities in the Company’s line of business.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the Company’s Trade Secrets and Confidential Information.</w:t>
      </w:r>
    </w:p>
    <w:p>
      <w:pPr>
        <w:spacing w:after="0" w:line="225" w:lineRule="exact"/>
        <w:rPr>
          <w:sz w:val="20"/>
          <w:szCs w:val="20"/>
          <w:color w:val="auto"/>
        </w:rPr>
      </w:pPr>
    </w:p>
    <w:p>
      <w:pPr>
        <w:jc w:val="both"/>
        <w:ind w:firstLine="656"/>
        <w:spacing w:after="0" w:line="253" w:lineRule="auto"/>
        <w:tabs>
          <w:tab w:leader="none" w:pos="129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Trade Secrets</w:t>
      </w:r>
      <w:r>
        <w:rPr>
          <w:rFonts w:ascii="Times New Roman" w:cs="Times New Roman" w:eastAsia="Times New Roman" w:hAnsi="Times New Roman"/>
          <w:sz w:val="18"/>
          <w:szCs w:val="18"/>
          <w:color w:val="auto"/>
        </w:rPr>
        <w:t>. Executive acknowledges and agrees that, through his employment with the Company, he has or will be exposed to and provided with the Company’s Trade Secrets. “Trade Secrets” mean information, including a formula, pattern, compilation, program, device, method, technique or process, that: (1) derives independent economic value, actual or potential, from not being generally known to the public or to other persons or entities who can obtain economic value from its disclosure or use and (2) is the subject of efforts that are reasonable under the circumstances to maintain it secrecy. The Company’s and any Associated Company’s Trade Secrets include, but are not limited to, the following: trade secrets and any inventions or improvements which Executive may make or discover in the course of his duties, details of suppliers, including without limitation their services and terms of business, prices charged to and terms of business with clients/customers and marketing plans and sales forecasts, processes, inventions, designs, know how, pitch lists, discoveries, technical information relating to the production or supply of any past, present or future products or service of the Company or any Associated Company. Executive acknowledges and agrees that the Company’s Trade Secrets are not generally known to the public or to the Company’s competitors, were developed or compiled at significant expense by the Company over an extended period of time, are the subject of the Company’s reasonable efforts to maintain their secrecy, and that the Company derives significant independent economic value by keeping its Trade Secrets a secret.</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Confidential Information</w:t>
      </w:r>
      <w:r>
        <w:rPr>
          <w:rFonts w:ascii="Times New Roman" w:cs="Times New Roman" w:eastAsia="Times New Roman" w:hAnsi="Times New Roman"/>
          <w:sz w:val="18"/>
          <w:szCs w:val="18"/>
          <w:color w:val="auto"/>
        </w:rPr>
        <w:t>. Executive acknowledges and agrees that, through his employment with the Company, he has or will be exposed to and/or provided with the Company’s Confidential Information. “Confidential Information” means information belonging to the Company, whether reduced to writing or in a form from which such information can be obtained, translated or derived into reasonably usable form, that has been provided to Executive during his employment with the Company and/or Executive has gained access to while employed by the Company and/or was developed by Executive in the course of Executive’s employment with the Company, that is proprietary and confidential in nature. The Company’s Confidential Information includes, but is not limited to, the following: information believed by the Company to be a Trade Secret that ultimately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485" w:name="page486"/>
    <w:bookmarkEnd w:id="485"/>
    <w:p>
      <w:pPr>
        <w:jc w:val="both"/>
        <w:spacing w:after="0" w:line="253" w:lineRule="auto"/>
        <w:rPr>
          <w:sz w:val="20"/>
          <w:szCs w:val="20"/>
          <w:color w:val="auto"/>
        </w:rPr>
      </w:pPr>
      <w:r>
        <w:rPr>
          <w:rFonts w:ascii="Times New Roman" w:cs="Times New Roman" w:eastAsia="Times New Roman" w:hAnsi="Times New Roman"/>
          <w:sz w:val="18"/>
          <w:szCs w:val="18"/>
          <w:color w:val="auto"/>
        </w:rPr>
        <w:t>qualify as such under California law but nonetheless was maintained by the Company as confidential; information concerning the nature of the Company or any Associated Company’s business and its manner of operation, including but not limited to corporate plans, management systems; the methods and systems used by the Company in soliciting, selling and providing its services and/or products to its clients and/or customers; financial and accounting information, such as cost, pricing and billing information, client and/or customer profiles, financial policies and procedures, and revenues and profit margins; sales and marketing information, such as sales strategies and programs; information concerning the Company or any Associated Company’s clients and/or customers and prospective clients and/or customers; information concerning the Company or any Associated Company’s vendors and suppliers; client and/or customer lists; prospective client and/or customer lists; client and/or customer buying habits and special needs; employee policies and procedures; personnel records of employees, workers and officers, including without limitation details of their roles and responsibilities; software developed by or for the benefit of the Company or any Associated Company and related data source code and programming information (whether or not patentable or registered under copyright or similar statutes); information about the Company’s designs, layouts, algorithms, design technology and know-how, formulas, manufacturing and/or design techniques, inventions (whether patentable or not); information concerning the Company’s business relationships with persons, firms, corporations and other entities.</w:t>
      </w:r>
    </w:p>
    <w:p>
      <w:pPr>
        <w:spacing w:after="0" w:line="190" w:lineRule="exact"/>
        <w:rPr>
          <w:sz w:val="20"/>
          <w:szCs w:val="20"/>
          <w:color w:val="auto"/>
        </w:rPr>
      </w:pPr>
    </w:p>
    <w:p>
      <w:pPr>
        <w:ind w:firstLine="656"/>
        <w:spacing w:after="0" w:line="282" w:lineRule="auto"/>
        <w:tabs>
          <w:tab w:leader="none" w:pos="128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of the Company</w:t>
      </w:r>
      <w:r>
        <w:rPr>
          <w:rFonts w:ascii="Times New Roman" w:cs="Times New Roman" w:eastAsia="Times New Roman" w:hAnsi="Times New Roman"/>
          <w:sz w:val="18"/>
          <w:szCs w:val="18"/>
          <w:color w:val="auto"/>
        </w:rPr>
        <w:t>. Executive acknowledges and agrees that all Trade Secrets and Confidential Information developed, created or maintained by Executive, alone or with others, while he is employed by the Company, shall remain at all times the sole Property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Not Included Within the Definition of Trade Secrets and/or Confidential Information</w:t>
      </w:r>
      <w:r>
        <w:rPr>
          <w:rFonts w:ascii="Times New Roman" w:cs="Times New Roman" w:eastAsia="Times New Roman" w:hAnsi="Times New Roman"/>
          <w:sz w:val="18"/>
          <w:szCs w:val="18"/>
          <w:color w:val="auto"/>
        </w:rPr>
        <w:t>. For avoidance of doubt, the Company’s Trade Secrets and Confidential Information do not include any information that: (1) is already in the public domain or becomes available to the public through no breach by Executive of this Agreement; (2) was lawfully in Executive’s possession prior to disclosure to Executive by the Company; (3) is lawfully disclosed to Executive’s by a third party without any obligations of confidentiality attaching to such disclosure; or (4) is developed by Executive entirely on his own time without the Company’s equipment, supplies or facilities and does not relate at the time of conception to the Company’s business or actual or demonstrably anticipated research or development of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Use, Publish or Disclose the Company’s Trade Secrets and/or Confidential Information During and After Termination of Employment</w:t>
      </w:r>
      <w:r>
        <w:rPr>
          <w:rFonts w:ascii="Times New Roman" w:cs="Times New Roman" w:eastAsia="Times New Roman" w:hAnsi="Times New Roman"/>
          <w:sz w:val="18"/>
          <w:szCs w:val="18"/>
          <w:color w:val="auto"/>
        </w:rPr>
        <w:t>. Executive acknowledges and agrees that Executive’s employment with the Company creates a relationship of confidence and trust with the Company with respect to all of the Company’s Trade Secrets and Confidential Information. Therefore, at any time during Executive’s term of employment or following the termination of Executive’s employment with the Company, whether voluntary or involuntary, Executive shall not, except as required in the conduct of the Company’s business or as authorized in writing by the Company, use, publish or disclose any of the Company’s Trade Secrets and/or Confidential Information in any manner whatsoever.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27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Solicit the Company’s Clients and/or Customers after Termination of Employment through the Use of the Company’s Trade Secrets and/or Confidential Information</w:t>
      </w:r>
      <w:r>
        <w:rPr>
          <w:rFonts w:ascii="Times New Roman" w:cs="Times New Roman" w:eastAsia="Times New Roman" w:hAnsi="Times New Roman"/>
          <w:sz w:val="18"/>
          <w:szCs w:val="18"/>
          <w:color w:val="auto"/>
        </w:rPr>
        <w:t>. Executive agrees that during his employment with the Company and at all times thereafter, Executive shall not, directly or indirectly, solicit or attempt to solicit any business from any of the Company’s clients and/or customers for the purposes of providing products or services that are competitive with those provided by the Company where such solicitation and/or attempt at solicitation is done by Executive through the use of the Company’s Trade Secrets and/or Confidential Information.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 Immunity</w:t>
      </w:r>
      <w:r>
        <w:rPr>
          <w:rFonts w:ascii="Times New Roman" w:cs="Times New Roman" w:eastAsia="Times New Roman" w:hAnsi="Times New Roman"/>
          <w:sz w:val="18"/>
          <w:szCs w:val="18"/>
          <w:color w:val="auto"/>
        </w:rPr>
        <w:t>. Notwithstanding any provisions in this Agreement or Company policy applicable to the unauthorized use or disclosure of trade secrets, Executive is hereby notified that, pursuant to the Defend Trade Secrets Act as contained in 18 U.S.C. § 1833, Executive cannot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Executive also may not be held so liable for such disclosures made in a complaint or other document filed in a lawsuit or other proceeding,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486" w:name="page487"/>
    <w:bookmarkEnd w:id="486"/>
    <w:p>
      <w:pPr>
        <w:jc w:val="both"/>
        <w:spacing w:after="0" w:line="261" w:lineRule="auto"/>
        <w:rPr>
          <w:sz w:val="20"/>
          <w:szCs w:val="20"/>
          <w:color w:val="auto"/>
        </w:rPr>
      </w:pPr>
      <w:r>
        <w:rPr>
          <w:rFonts w:ascii="Times New Roman" w:cs="Times New Roman" w:eastAsia="Times New Roman" w:hAnsi="Times New Roman"/>
          <w:sz w:val="18"/>
          <w:szCs w:val="18"/>
          <w:color w:val="auto"/>
        </w:rPr>
        <w:t>filing is made under seal. In addition, individuals who file a lawsuit for retaliation by the Company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provided Executive’s actions are consistent with 18 U.S.C. § 1833.</w:t>
      </w:r>
    </w:p>
    <w:p>
      <w:pPr>
        <w:spacing w:after="0" w:line="180" w:lineRule="exact"/>
        <w:rPr>
          <w:sz w:val="20"/>
          <w:szCs w:val="20"/>
          <w:color w:val="auto"/>
        </w:rPr>
      </w:pPr>
    </w:p>
    <w:p>
      <w:pPr>
        <w:jc w:val="both"/>
        <w:ind w:firstLine="656"/>
        <w:spacing w:after="0" w:line="254" w:lineRule="auto"/>
        <w:tabs>
          <w:tab w:leader="none" w:pos="129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Non-Recruiting Covenant</w:t>
      </w:r>
      <w:r>
        <w:rPr>
          <w:rFonts w:ascii="Times New Roman" w:cs="Times New Roman" w:eastAsia="Times New Roman" w:hAnsi="Times New Roman"/>
          <w:sz w:val="18"/>
          <w:szCs w:val="18"/>
          <w:color w:val="auto"/>
        </w:rPr>
        <w:t>. Executive acknowledges and agrees that the Company has invested substantial time and effort in assembling its present personnel. Therefore, Executive agrees that for twelve (12) months following his termination of employment with the Company, whether voluntary or involuntary and regardless of the reason for the cessation of Executive’s employment, Executive will not directly or indirectly recruit, or attempt to recruit, any employee/executive of the Company with whom Executive worked with, met, supervised, or learned confidential information about through his employment with the Company, or induce or attempt to induce any employee of the Company, to terminate or cease employment with the Company. Notwithstanding the foregoing, nothing in this Section 3 shall prevent Executive from receiving and considering any application from any employee/executive of the Company with whom Executive worked with, met, supervised, or learned confidential information about through his employment with the Company, that is not solicited by Executive or on Executive’s behalf.</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 During Employment Period</w:t>
      </w:r>
      <w:r>
        <w:rPr>
          <w:rFonts w:ascii="Times New Roman" w:cs="Times New Roman" w:eastAsia="Times New Roman" w:hAnsi="Times New Roman"/>
          <w:sz w:val="18"/>
          <w:szCs w:val="18"/>
          <w:color w:val="auto"/>
        </w:rPr>
        <w:t>. Executive promises that during his term of employment with the Company, he shall not, directly or indirectly, either as an employee, company, consultant, agent, principal, partner, corporate officer, board member, director, or in any other individual or representative capacity, engage or attempt to engage in any competitive activity relating to the subject matter of his employment with the Company or relating to the Company’s line of business.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Interest in Inventions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1295"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any inventions made by Executive solely or jointly with others during the term of this Agreement, that (1) are made with the Company’s equipment, supplies, facilities, trade secrets, or time, or (2) that relate, at the time of conception or of reduction to practice, to the business of the Company or the Company’s actual or demonstrably anticipated research or development, or (3) that result from any work performed by Executive for the Company or result from the use of premises owned, leased or otherwise used or acquired by the Company (hereinafter referred to as “Invention” or “Inventions”), shall belong to the Company, and Executive promises to assign any and all rights in such Inventions to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5"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any Inventions made by Executive solely or jointly with others, made after the date that this Agreement terminates, that are based on the Company’s Trade Secrets, shall belong to the Company, and Executive promises to assign any and all rights in such Inventions to the Company. For the purposes of this Section 5, an Invention is based on the Company’s Trade Secrets if the invention incorporates any such secrets in design or principal.</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85"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agrees the Company shall have the right to keep any Inventions covered by this Agreement as trade secrets, and Executive agrees not to disclose such Inventions to any third parties except as specifically authorized by the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5"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assign to the Company all rights in any other Inventions made by Executive of the Company as required to grant those rights to the United States government or any of its agencies.</w:t>
      </w:r>
    </w:p>
    <w:p>
      <w:pPr>
        <w:spacing w:after="0" w:line="161" w:lineRule="exact"/>
        <w:rPr>
          <w:rFonts w:ascii="Times New Roman" w:cs="Times New Roman" w:eastAsia="Times New Roman" w:hAnsi="Times New Roman"/>
          <w:sz w:val="18"/>
          <w:szCs w:val="18"/>
          <w:color w:val="auto"/>
        </w:rPr>
      </w:pPr>
    </w:p>
    <w:p>
      <w:pPr>
        <w:jc w:val="both"/>
        <w:ind w:firstLine="656"/>
        <w:spacing w:after="0" w:line="257" w:lineRule="auto"/>
        <w:tabs>
          <w:tab w:leader="none" w:pos="1289"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Section 5, Executive shall not be required to assign, nor shall he be deemed to have assigned, any of Executive’s rights in any inventions, as set forth in Labor Code section 2870 (reprinted in its entirety in the form attached hereto as Exhibit 3), that Executive develops entirely on his own time without using the Company’s equipment, supplies, facilities, or trade secrets, except for inventions that either</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5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at the time that the invention is conceived or reduced to practice, to the Company’s business or to actual or demonstrably anticipated research or development of the Company; or (2) result from any work performed by Executive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487" w:name="page488"/>
    <w:bookmarkEnd w:id="487"/>
    <w:p>
      <w:pPr>
        <w:jc w:val="both"/>
        <w:ind w:firstLine="656"/>
        <w:spacing w:after="0" w:line="261" w:lineRule="auto"/>
        <w:tabs>
          <w:tab w:leader="none" w:pos="127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permit the Company to claim rights to which it may be entitled, Executive agrees to disclose to the Company in confidence (1) all Inventions that Executive makes, either solely or jointly with others, during the term of his employment, and (2) all patent applications filed by Executive during, or within one (1) year after termination of his employment. Executive also agrees to submit to a reasonable and confidential review process under which the Company may determine such issues as may arise under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assist the Company in applying for, prosecuting, obtaining or enforcing any and all patents, copyrights or other right or protection relating to any Inventions, designs, improvements, and discoveries deemed patentable by the Company in the United States and in all foreign countries, and shall execute all documents and do all things necessary to obtain letters of patent, to vest the Company with full and extensive titles to those patents and/or copyrights, and to protect the same against infringement by others, from, during and after the termination of this Agreement. In the event that assistance of Executive is needed after the termination of this Agreement, Executive will be paid for that assistance at the hourly rate he earned when this Agreement terminated.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9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Agreement, an Invention is deemed to have been made during Executive’s term of employment if the Invention was conceived or actually first reduced to practice during that period.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3"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secure Executive’s signature on any document necessary to apply for, prosecute, obtain, or enforce any patent, copyright, or other right or protection relating to any Invention, whether due to Executive’s mental or physical incapacity or any other cause, Executive hereby irrevocably designates and appoints the Company and each of its duly authorized Officers and Agents as Executive’s Agent and Attorney-In-Fact, to act for and in Executive’s behalf to execute and file any such document and to do all other lawfully permitted acts to further the prosecution, issuance, and enforcement of patents, copyrights, or other rights or protections, with the same force and effect as if executed and delivered by Executive.</w:t>
      </w:r>
    </w:p>
    <w:p>
      <w:pPr>
        <w:spacing w:after="0" w:line="187" w:lineRule="exact"/>
        <w:rPr>
          <w:sz w:val="20"/>
          <w:szCs w:val="20"/>
          <w:color w:val="auto"/>
        </w:rPr>
      </w:pPr>
    </w:p>
    <w:p>
      <w:pPr>
        <w:ind w:left="100" w:right="120" w:firstLine="645"/>
        <w:spacing w:after="0" w:line="282" w:lineRule="auto"/>
        <w:tabs>
          <w:tab w:leader="none" w:pos="105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Executive represents and warrants that he knows nothing about the Inventions of the Company, as defined in this Agreement, other than the Inventions that have been or will be disclosed to Executive by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Ownership of Copyrights</w:t>
      </w:r>
      <w:r>
        <w:rPr>
          <w:rFonts w:ascii="Times New Roman" w:cs="Times New Roman" w:eastAsia="Times New Roman" w:hAnsi="Times New Roman"/>
          <w:sz w:val="18"/>
          <w:szCs w:val="18"/>
          <w:color w:val="auto"/>
        </w:rPr>
        <w:t>. Executive agrees that all original works of authorship not otherwise within the scope of paragraph Exhibit A5.E) above that are conceived or developed during Executive’s employment with the Company, either alone or jointly with others, if on the Company’s time, using the Company’s facilities, or relating to the Company, or its subsidiaries or affiliates, are “works for hire” to the greatest extent permitted by law and shall be owned exclusively by the Company, and Executive hereby assigns to the Company all of Executive’s right, title, and interest in all such original works of authorship. Executive agrees that the Company shall be the sole owner of all rights pertaining thereto, and further agrees to execute all documents that the Company reasonably determines to be necessary or convenient for establishing in the Company’s name the copyright to any such original works of authorship.</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Reasonableness of Restrictive Covenants</w:t>
      </w:r>
      <w:r>
        <w:rPr>
          <w:rFonts w:ascii="Times New Roman" w:cs="Times New Roman" w:eastAsia="Times New Roman" w:hAnsi="Times New Roman"/>
          <w:sz w:val="18"/>
          <w:szCs w:val="18"/>
          <w:color w:val="auto"/>
        </w:rPr>
        <w:t>. Executive acknowledges that he has carefully read and considered Sections 2, 3, 4, 5, and 6 of this Agreement and agrees that the restrictions set forth therein are fair and reasonable, are supported by valid consideration, and are reasonably required to protect the legitimate business interests of the Company.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Agreements, Relationships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29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Exhibit 1 attached hereto, Executive has no knowledge of any of the Company’s Trade Secrets or Confidential Information other than the information Executive has learned from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that he has no agreements, relationships, or commitments to any other person or entity that conflict with or would prevent Executive from performing any of Executive’s obligations to the Company under this Agreement, or would otherwise prevent Executive from performing his job duties while employed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488" w:name="page489"/>
    <w:bookmarkEnd w:id="488"/>
    <w:p>
      <w:pPr>
        <w:jc w:val="both"/>
        <w:ind w:firstLine="656"/>
        <w:spacing w:after="0" w:line="266" w:lineRule="auto"/>
        <w:tabs>
          <w:tab w:leader="none" w:pos="128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not disclose and has not disclosed to the Company and will not use, or induce the Company to use, any trade secrets or confidential information of others. Executive represents and warrants that he has returned all property, trade secrets and confidential information belonging to others and is not in possession of any such property, confidential information or trade secrets.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indemnify, defend and hold harmless the Company and its officers, directors and executives from any and all claims, damages, costs, expenses or liability, including reasonable attorney’s fees incurred in connection with or resulting from any breach or default of the representations and warranties contained in this Section 8.</w:t>
      </w:r>
    </w:p>
    <w:p>
      <w:pPr>
        <w:spacing w:after="0" w:line="176" w:lineRule="exact"/>
        <w:rPr>
          <w:sz w:val="20"/>
          <w:szCs w:val="20"/>
          <w:color w:val="auto"/>
        </w:rPr>
      </w:pPr>
    </w:p>
    <w:p>
      <w:pPr>
        <w:ind w:firstLine="656"/>
        <w:spacing w:after="0" w:line="282" w:lineRule="auto"/>
        <w:tabs>
          <w:tab w:leader="none" w:pos="129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Executive’s employment with the Company is terminated for any reason, whether voluntarily or involuntarily, Executive shall promptly:</w:t>
      </w:r>
    </w:p>
    <w:p>
      <w:pPr>
        <w:spacing w:after="0" w:line="162" w:lineRule="exact"/>
        <w:rPr>
          <w:sz w:val="20"/>
          <w:szCs w:val="20"/>
          <w:color w:val="auto"/>
        </w:rPr>
      </w:pPr>
    </w:p>
    <w:p>
      <w:pPr>
        <w:jc w:val="both"/>
        <w:ind w:firstLine="656"/>
        <w:spacing w:after="0" w:line="266" w:lineRule="auto"/>
        <w:tabs>
          <w:tab w:leader="none" w:pos="129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Company of and deliver to the Company all records, files, electronic data, documents, plans, reports, books, notebooks, notes, memoranda, correspondence, contracts and the like in Executive’s possession, custody or control that contain any of the Company’s Trade Secrets or Confidential Information which Executive prepared, used, or came in contact with while employed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Company of and deliver to the Company all records, files, electronic data, documents, plans, reports, books, notebooks, notes, memoranda, correspondence, contracts and the like in Executive’s possession, custody or control that pertain in any way to the business of the Company and which Executive prepared, used, or came in contact with while employed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Company all tangible property in Executive’s possession, custody or control belonging to the Company, including, but not limited to, key cards, office keys, cell phone, pagers, personal digital assistants, external hard drives, thumb drives, zip drives, lap top computers and desk top computers;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Company’s representative to inspect Executive’s personal desk top computer, lap top computer, thumb drive, zip drive, and/or any other external hard drive to determine whether any of the Company’s Trade Secrets and/or Confidential Information reside on said computer or drive and to remove any such Trade Secrets and/or Confidential Information.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the Certificate of Compliance Post Termination attached hereto as Exhibit 2.</w:t>
      </w:r>
    </w:p>
    <w:p>
      <w:pPr>
        <w:spacing w:after="0" w:line="225" w:lineRule="exact"/>
        <w:rPr>
          <w:sz w:val="20"/>
          <w:szCs w:val="20"/>
          <w:color w:val="auto"/>
        </w:rPr>
      </w:pPr>
    </w:p>
    <w:p>
      <w:pPr>
        <w:jc w:val="both"/>
        <w:ind w:firstLine="656"/>
        <w:spacing w:after="0" w:line="254" w:lineRule="auto"/>
        <w:tabs>
          <w:tab w:leader="none" w:pos="1291"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Executive acknowledges and agrees that if the Company’s Trade Secrets and/or Confidential Information were disclosed to a competing business or used in an unauthorized manner as provided herein, such unauthorized disclosure or use would cause immediate and irreparable harm to the Company and would give a competing business an unfair business advantage against the Company for which the Company may not have an adequate remedy at law. As such, Executive agrees that the Company shall be entitled to any proper injunction, including but not limited to temporary, preliminary, final injunctions, temporary restraining orders, and temporary protective orders, to enforce Sections 2, 3, 4, 5, and 6 of this Agreement in the event of breach or threatened breach by Executive, in addition to any other remedies available to the Company at law or in equity. The restrictive covenants contained in this Agreement are independent of any other obligations between the parties, and the existence of any other claim or cause of action against the Company is not a defense to enforcement of said covenants by injunction.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Executive agrees and understands that nothing in this Agreement shall confer any right with respect to continuation of employment with the Company, nor shall it interfere in any way with Executive’s right or the Company’s right to terminate Executive’s employment at any time that is inconsistent with the Employment Agreement to which this Agreement is attached.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the Company of any breach of this Agreement shall be a waiver of any preceding or succeeding breach. No waiver by the Company of any right under this Agreement shall be construed as a waiver of any other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489" w:name="page490"/>
    <w:bookmarkEnd w:id="489"/>
    <w:p>
      <w:pPr>
        <w:jc w:val="both"/>
        <w:ind w:firstLine="656"/>
        <w:spacing w:after="0" w:line="266" w:lineRule="auto"/>
        <w:tabs>
          <w:tab w:leader="none" w:pos="1291"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and Suspension</w:t>
      </w:r>
      <w:r>
        <w:rPr>
          <w:rFonts w:ascii="Times New Roman" w:cs="Times New Roman" w:eastAsia="Times New Roman" w:hAnsi="Times New Roman"/>
          <w:sz w:val="18"/>
          <w:szCs w:val="18"/>
          <w:color w:val="auto"/>
        </w:rPr>
        <w:t>. In the event of a breach by Executive of any restrictive covenant contained in this Agreement, the running of the period of restriction shall automatically be tolled and suspended for the amount of time the breach continues, and shall automatically commence when the breach is remedied so that the Company shall receive the benefit of Executive’s compliance with the terms and conditions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1"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is the entire agreement between the Company and Executive regarding the secrecy, use and disclosure of the Company’s Trade Secrets and Confidential Information and this Agreement supersedes any and all prior agreements regarding these issues. The provisions of this Agreement shall be governed by and construed in accordance with the laws of the State of Delaware without giving effect to the principles of conflict of laws. This Agreement consists of a series of separate restrictive covenants, all of which shall survive and be enforceable in law and/or equity after Executive’s termination or cessation of employment. Any dispute, claim, or controversy arising out of or related in any way to this Agreement shall be determined pursuant to Section 7 of the Employment Agreement, which is incorporated herein by reference.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Acknowledgment of Representation by Independent Counsel in Negotiation of this Agreement</w:t>
      </w:r>
      <w:r>
        <w:rPr>
          <w:rFonts w:ascii="Times New Roman" w:cs="Times New Roman" w:eastAsia="Times New Roman" w:hAnsi="Times New Roman"/>
          <w:sz w:val="18"/>
          <w:szCs w:val="18"/>
          <w:color w:val="auto"/>
        </w:rPr>
        <w:t>. Executive acknowledges, represents, and warrants that he has in fact been individually, fully, and adequately represented by legal counsel in negotiating with the Company the terms of this Agreement, including without limitation the venue or forum in which a controversy arising from the Agreement may be adjudicated and the choice of law to be applied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1"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provision of this Agreement is intended to be severable. If any court of competent jurisdiction determines that one or more of the provisions of this Agreement, or any part thereof, is or are invalid, illegal or unenforceable, such invalidity, illegality or unenforceability shall not affect or impair any other provision of this Agreement, and this Agreement shall be given full force and effect while being construed as if such invalid, illegal or unenforceable provision had not been contained within it. If the scope of any provision in this Agreement is found to be too broad to permit enforcement of such provision to its full extent, Executive consents to judicial modification of such provision and enforcement to the maximum extent permitted by law.</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undersigned acknowledges that he has read and understood this Agreement, and that he signs this Agreement intending to be hound by its terms as of the date indicated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Spence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9391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Spencer Collins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 EVP, Chief Legal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Rene Anthony Andrada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92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 ANTHONY ANDRADA HAAS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7" w:right="339" w:bottom="1440" w:gutter="0" w:footer="0" w:header="0"/>
        </w:sectPr>
      </w:pPr>
    </w:p>
    <w:bookmarkStart w:id="490" w:name="page491"/>
    <w:bookmarkEnd w:id="49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SEVERANCE AND RELEASE AGREEMENT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SEVERANCE AND RELEASE AGREEMENT (“Agreement”) is made and entered into by and between Arm, Inc. (“Company”) and RENE ANTHONY ANDRADA HAAS (“Executive”).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Executive have determined that it is in their best interests for Executive to separate from his position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WHEREAS, the Company and Executive had previously entered into that certain Amended and Restated Executive Employment Agreement dated [•], 2022 (“Employment Agreement”), to which this Agreement was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thereto that provided for certain severance benefits under Paragraph 5 of the Employment Agreement;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wishes to provide Executive with certain benefits in consideration of Executive’s separation and the promises and covenants of Executive as contained herein, including Executive’s agreement to release all claims against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and exchange for the promises, covenants, and releases contained herein, the parties mutually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as follows:</w:t>
      </w:r>
    </w:p>
    <w:p>
      <w:pPr>
        <w:spacing w:after="0" w:line="207" w:lineRule="exact"/>
        <w:rPr>
          <w:sz w:val="20"/>
          <w:szCs w:val="20"/>
          <w:color w:val="auto"/>
        </w:rPr>
      </w:pPr>
    </w:p>
    <w:p>
      <w:pPr>
        <w:ind w:left="1300" w:hanging="644"/>
        <w:spacing w:after="0"/>
        <w:tabs>
          <w:tab w:leader="none" w:pos="13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Executive’s separation from all positions he holds with the Company shall be effective on [•] (the “Separation Date”).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Provided that Executive does not revoke this Agreement as provided in Paragraph 7 and depending on the contractual basis for Executive’s termination or resignation from employment with the Company, and subject to the limitations set forth in Paragraph 8 below, the Company shall, commencing on the eighth day following Executive’s execution of this Agreement, pay Executive the following severance amounts: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xml:space="preserve">. As set forth below, in the event the Employment Agreement is terminated by the Company and/or Executive for any of the reasons set forth in Paragraph 5(b) of the Employment Agreement (incorporated herein by this reference), Executive shall be entitled to severance, as set forth below, and such severance shall be paid in twelve (12) equal monthly installments and Executive’s right to such severance is expressly conditioned on Executive’s continue and ongoing compliance with the terms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the Employment Agreement and his executing this Agreement and, in particular, his compliance with the non-competition provisions set forth in Paragraph 8 of this Agreement. Moreover, in the case of any of the severance provisions herein, in the event of a breach by Executive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the Employment Agreement or this Agreement after the date upon which either has become effective and Executive has begun to receive severance payment and benefits hereunder or thereunder, the Company may require and Executive shall forfeit any amounts yet to be paid, and Executive shall repay any amounts paid to date.</w:t>
      </w:r>
    </w:p>
    <w:p>
      <w:pPr>
        <w:spacing w:after="0" w:line="192" w:lineRule="exact"/>
        <w:rPr>
          <w:sz w:val="20"/>
          <w:szCs w:val="20"/>
          <w:color w:val="auto"/>
        </w:rPr>
      </w:pPr>
    </w:p>
    <w:p>
      <w:pPr>
        <w:jc w:val="both"/>
        <w:ind w:firstLine="1952"/>
        <w:spacing w:after="0" w:line="258" w:lineRule="auto"/>
        <w:tabs>
          <w:tab w:leader="none" w:pos="258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in the Event of Termination of the Employment Agreement Pursuant to Paragraph 5(b) of the Employment Agreement. In the event the Company terminates the Employment Agreement pursuant to Paragraph 5(b), then so long as Executive has executed and complies with the terms of Exhibit A of the Employment Agreement and executes and does not revoke and complies with this Agreement, as set forth above and below and so long as no Change in Control (as defined in Paragraph 1(d) of the Employment Agreement) has occurred prior to such termination, Executive shall be entitled to the following severance benefits:</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3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Severance Amount</w:t>
      </w:r>
      <w:r>
        <w:rPr>
          <w:rFonts w:ascii="Times New Roman" w:cs="Times New Roman" w:eastAsia="Times New Roman" w:hAnsi="Times New Roman"/>
          <w:sz w:val="18"/>
          <w:szCs w:val="18"/>
          <w:color w:val="auto"/>
        </w:rPr>
        <w:t>. Executive shall be entitled to receive an amount equal to Executive’s Base Salary (the “</w:t>
      </w:r>
      <w:r>
        <w:rPr>
          <w:rFonts w:ascii="Times New Roman" w:cs="Times New Roman" w:eastAsia="Times New Roman" w:hAnsi="Times New Roman"/>
          <w:sz w:val="18"/>
          <w:szCs w:val="18"/>
          <w:u w:val="single" w:color="auto"/>
          <w:color w:val="auto"/>
        </w:rPr>
        <w:t>Base Severance Amount</w:t>
      </w:r>
      <w:r>
        <w:rPr>
          <w:rFonts w:ascii="Times New Roman" w:cs="Times New Roman" w:eastAsia="Times New Roman" w:hAnsi="Times New Roman"/>
          <w:sz w:val="18"/>
          <w:szCs w:val="18"/>
          <w:color w:val="auto"/>
        </w:rPr>
        <w:t>”). The Base Severance Amount shall be payable in twelve (12) equal monthly installments on the 15th day of each month commencing on the 15th day of the month following Executive’s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3" w:right="339" w:bottom="1440" w:gutter="0" w:footer="0" w:header="0"/>
        </w:sectPr>
      </w:pPr>
    </w:p>
    <w:bookmarkStart w:id="491" w:name="page492"/>
    <w:bookmarkEnd w:id="491"/>
    <w:p>
      <w:pPr>
        <w:jc w:val="both"/>
        <w:ind w:firstLine="1952"/>
        <w:spacing w:after="0" w:line="256" w:lineRule="auto"/>
        <w:tabs>
          <w:tab w:leader="none" w:pos="2586" w:val="left"/>
        </w:tabs>
        <w:numPr>
          <w:ilvl w:val="2"/>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Severance Benefits in the Event of Termination of the Employment Agreement Based on a Change in Control pursuant to Paragraph 1(d) of the Employment Agreement. In the event Executive exercises his option, but not obligation, to terminate the Employment Agreement in the event of a Change in Control pursuant to Paragraph 1(d) of the Employment Agreement, then so long as Executive has executed and complies with the terms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the Employment Agreement and executes, does not revoke and complies with this Agreement, as set forth above and below, Executive (or in the instance of Executive’s death prior to the completion of a contemplated Change in Control transaction, then Executive’s designated beneficiary) shall be entitled to the following severance benefits.</w:t>
      </w:r>
    </w:p>
    <w:p>
      <w:pPr>
        <w:spacing w:after="0" w:line="187"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3"/>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Severance Amount</w:t>
      </w:r>
      <w:r>
        <w:rPr>
          <w:rFonts w:ascii="Times New Roman" w:cs="Times New Roman" w:eastAsia="Times New Roman" w:hAnsi="Times New Roman"/>
          <w:sz w:val="18"/>
          <w:szCs w:val="18"/>
          <w:color w:val="auto"/>
        </w:rPr>
        <w:t>. Executive shall be entitled to receive the Base Severance Amount as set forth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Exhibit B2.1(a)(i) above;</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9" w:val="left"/>
        </w:tabs>
        <w:numPr>
          <w:ilvl w:val="2"/>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of Payments</w:t>
      </w:r>
      <w:r>
        <w:rPr>
          <w:rFonts w:ascii="Times New Roman" w:cs="Times New Roman" w:eastAsia="Times New Roman" w:hAnsi="Times New Roman"/>
          <w:sz w:val="18"/>
          <w:szCs w:val="18"/>
          <w:color w:val="auto"/>
        </w:rPr>
        <w:t>. Any severance payments made pursuant to this Agreement shall commence no sooner than the Effective Date (as defined below) and shall be paid in accordance with the payment schedule set forth in this Agreement. Executive acknowledges that he would not otherwise be entitled to the consideration set forth in this Agreement were it not for his covenants, promises, and releases set forth hereunder.</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Amounts Owing</w:t>
      </w:r>
      <w:r>
        <w:rPr>
          <w:rFonts w:ascii="Times New Roman" w:cs="Times New Roman" w:eastAsia="Times New Roman" w:hAnsi="Times New Roman"/>
          <w:sz w:val="18"/>
          <w:szCs w:val="18"/>
          <w:color w:val="auto"/>
        </w:rPr>
        <w:t>. Executive acknowledges that he has received all wages and compensation due to him from the Company and that the Company shall owe Executive nothing further once Executive receives the consideration described in the preceding Paragraph.</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Release</w:t>
      </w:r>
      <w:r>
        <w:rPr>
          <w:rFonts w:ascii="Times New Roman" w:cs="Times New Roman" w:eastAsia="Times New Roman" w:hAnsi="Times New Roman"/>
          <w:sz w:val="18"/>
          <w:szCs w:val="18"/>
          <w:color w:val="auto"/>
        </w:rPr>
        <w:t>. In further consideration for this Agreement, Executive and the Company, on their own behalf and on behalf of their predecessors, successors and assigns, hereby, upon the Company’s payment of the amounts referenced in Paragraph Exhibit B2 of this Agreement and provided that Executive does not revoke this Agreement as provided for in Paragraph Exhibit B7 below, release and forever discharge each other, and each of their respective employees, shareholders, officers, directors, agents, insures, family members, attorneys, parents, subsidiaries, divisions or affiliated organizations or corporations, whether previously or hereafter affiliated in any manner, and their respective predecessors, successors and assigns (collectively, “Executive Released Parties,” and “Company Released Parties,” respectively) from any and all claims, demands, causes of action, obligations, charges, damages, liabilities, attorneys’ fees, and costs of any nature whatsoever, contingent or non-contingent, matured or unmatured, liquidated or unliquidated, whether or not known, suspected or claimed, which Executive Released Parties and/or the Company Released Parties ever had, now has or may claim to have had as of the date this Agreement against each other (whether directly or indirectly), or any of them, by reason of any act or omission whatsoever, concerning any matter, cause or things, including, without limiting the generality of the foregoing, the Action, the claims referenced in Recital B above, any claims, demands, causes of actions, obligations, charges, damages, liabilities, attorneys’ fees and costs relating to or arising out of any alleged violation of any contracts, express or implied, any covenant of good faith and fair dealing, express or implied, or a tort, or any legal restrictions on the Company’s right to terminate employees, or any federal, state or other governmental statute, regulation or ordinance, including without limitation:</w:t>
      </w:r>
    </w:p>
    <w:p>
      <w:pPr>
        <w:spacing w:after="0" w:line="18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Rights Act of 1964, as amended;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U.S.C. §1981;</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Fair Employment and Housing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503 of the Rehabilitation Act of 1973;</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Labor Standards Act (including the Equal Pay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492" w:name="page493"/>
    <w:bookmarkEnd w:id="492"/>
    <w:p>
      <w:pPr>
        <w:ind w:left="1960" w:hanging="656"/>
        <w:spacing w:after="0" w:line="282" w:lineRule="auto"/>
        <w:tabs>
          <w:tab w:leader="none" w:pos="1954"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Labor Code, specifically including, but not limited to the Private Attorney General Act pursuant to Labor Code § 2699, et seq. with the exception of Labor Code sections 2802;</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Retirement Security Act, as amended;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and Federal Family and Medical Leave Acts;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Discrimination in Employment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Older Workers’ Benefit Protection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Workers’ Compensation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Business and Professions Code;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Government Code;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Pregnancy Discrimination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Wage Orders;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Immigration Reform and Control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Worker Adjustment and Retraining Notification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Labor Relations Act;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California’s Occupational Safety and Health Act, or the Federal equivalent;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Discrimination in Employment Act, Del. Code Ann. tit. 19, §§ 710 to 719A;</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Whistleblowers’ Protection Act, Del. Code Ann. Tit. 19 §§ 1701 to 1708;</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Wage Payment and Collection Act, Del. Code Ann. tit. 19, §§ 1101 to 1115;</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Fair Employment Practices Act, Del. Code Ann. tit. 19, §§ 701 to 709A; and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social media law, Del. Code Ann. Tit. 19 § 709A,</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or any other facts, transactions or occurrences relating to Executive’s employment with the Company up through and including the date of execution of this Agreement.</w:t>
      </w:r>
    </w:p>
    <w:p>
      <w:pPr>
        <w:spacing w:after="0" w:line="162" w:lineRule="exact"/>
        <w:rPr>
          <w:sz w:val="20"/>
          <w:szCs w:val="20"/>
          <w:color w:val="auto"/>
        </w:rPr>
      </w:pPr>
    </w:p>
    <w:p>
      <w:pPr>
        <w:jc w:val="both"/>
        <w:ind w:firstLine="656"/>
        <w:spacing w:after="0" w:line="256" w:lineRule="auto"/>
        <w:tabs>
          <w:tab w:leader="none" w:pos="129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Newly Discovered Facts</w:t>
      </w:r>
      <w:r>
        <w:rPr>
          <w:rFonts w:ascii="Times New Roman" w:cs="Times New Roman" w:eastAsia="Times New Roman" w:hAnsi="Times New Roman"/>
          <w:sz w:val="18"/>
          <w:szCs w:val="18"/>
          <w:color w:val="auto"/>
        </w:rPr>
        <w:t>. The Company and Executive (collectively the “Parties”) hereby acknowledge that the Parties may hereafter discover facts different from or in addition to those that he now knows or believed to be true when the Parties expressly agreed to assume the risk of the possible discovery of additional facts, and the Parties agree that this Agreement will be and remain effective regardless of such additional or different facts. The Parties expressly agree that this Agreement shall be given full force and effect according to each and all of its express terms and provisions, including those relating to unknown or unsuspected claims, demands, causes of action, governmental, regulatory or enforcement actions. Charges, obligations, damages, liabilities, and attorneys’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7" w:right="339" w:bottom="1440" w:gutter="0" w:footer="0" w:header="0"/>
        </w:sectPr>
      </w:pPr>
    </w:p>
    <w:bookmarkStart w:id="493" w:name="page494"/>
    <w:bookmarkEnd w:id="493"/>
    <w:p>
      <w:pPr>
        <w:spacing w:after="0" w:line="282" w:lineRule="auto"/>
        <w:rPr>
          <w:sz w:val="20"/>
          <w:szCs w:val="20"/>
          <w:color w:val="auto"/>
        </w:rPr>
      </w:pPr>
      <w:r>
        <w:rPr>
          <w:rFonts w:ascii="Times New Roman" w:cs="Times New Roman" w:eastAsia="Times New Roman" w:hAnsi="Times New Roman"/>
          <w:sz w:val="18"/>
          <w:szCs w:val="18"/>
          <w:color w:val="auto"/>
        </w:rPr>
        <w:t>costs, if any, as well as those relating to any other claims, demands, causes of action, obligations, damages, liabilities, charges, and attorneys’ fees and costs specified herein.</w:t>
      </w:r>
    </w:p>
    <w:p>
      <w:pPr>
        <w:spacing w:after="0" w:line="162" w:lineRule="exact"/>
        <w:rPr>
          <w:sz w:val="20"/>
          <w:szCs w:val="20"/>
          <w:color w:val="auto"/>
        </w:rPr>
      </w:pPr>
    </w:p>
    <w:p>
      <w:pPr>
        <w:jc w:val="both"/>
        <w:ind w:firstLine="656"/>
        <w:spacing w:after="0" w:line="261" w:lineRule="auto"/>
        <w:tabs>
          <w:tab w:leader="none" w:pos="129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Section Known and Unknown Claims</w:t>
      </w:r>
      <w:r>
        <w:rPr>
          <w:rFonts w:ascii="Times New Roman" w:cs="Times New Roman" w:eastAsia="Times New Roman" w:hAnsi="Times New Roman"/>
          <w:sz w:val="18"/>
          <w:szCs w:val="18"/>
          <w:color w:val="auto"/>
        </w:rPr>
        <w:t>. The Company and Executive hereby state that it is their intention in executing this Agreement that the same shall be effective as a bar to each and every claim, demand, cause of action, obligation, damage, liability, charge, attorneys’ fees and costs hereinabove released. The Company and Executive hereby expressly waive and relinquish all rights and benefits, if any, arising under the provisions of Section 1542 of the Civil Code of the State of California (and any similar law of the State of Delaware) which provides:</w:t>
      </w:r>
    </w:p>
    <w:p>
      <w:pPr>
        <w:spacing w:after="0" w:line="176" w:lineRule="exact"/>
        <w:rPr>
          <w:sz w:val="20"/>
          <w:szCs w:val="20"/>
          <w:color w:val="auto"/>
        </w:rPr>
      </w:pPr>
    </w:p>
    <w:p>
      <w:pPr>
        <w:jc w:val="both"/>
        <w:ind w:left="1300" w:right="1300"/>
        <w:spacing w:after="0" w:line="262" w:lineRule="auto"/>
        <w:rPr>
          <w:sz w:val="20"/>
          <w:szCs w:val="20"/>
          <w:color w:val="auto"/>
        </w:rPr>
      </w:pPr>
      <w:r>
        <w:rPr>
          <w:rFonts w:ascii="Times New Roman" w:cs="Times New Roman" w:eastAsia="Times New Roman" w:hAnsi="Times New Roman"/>
          <w:sz w:val="18"/>
          <w:szCs w:val="18"/>
          <w:b w:val="1"/>
          <w:bCs w:val="1"/>
          <w:color w:val="auto"/>
        </w:rPr>
        <w:t>“Section 1542. [Certain Claims Not Affected By General Release.] A general release does not extend to claims that the creditor or the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firstLine="656"/>
        <w:spacing w:after="0" w:line="253" w:lineRule="auto"/>
        <w:tabs>
          <w:tab w:leader="none" w:pos="129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Rights and Waiver of Claims under the Age Discrimination in Employment Act (“ADEA”)</w:t>
      </w:r>
      <w:r>
        <w:rPr>
          <w:rFonts w:ascii="Times New Roman" w:cs="Times New Roman" w:eastAsia="Times New Roman" w:hAnsi="Times New Roman"/>
          <w:sz w:val="18"/>
          <w:szCs w:val="18"/>
          <w:color w:val="auto"/>
        </w:rPr>
        <w:t>. Executive acknowledges that he is knowingly and voluntarily waiving and releasing any rights he may have under the Age Discrimination in Employment Act of 1967 (“ADEA”). He also acknowledges that the consideration given for the waiver and release in the preceding Paragraph hereof is in addition to anything of value to which he was already entitled. Executive further acknowledges that he has been advised by this writing, as required by the Older Workers’ Benefit Protection Act, that: (a) his waiver and release does not apply to any rights or claims that may arise after the Effective Date of this Agreement; (b) he should consult with an attorney prior to executing this Agreement; (c) he has at least twenty-one (21) days to consider this Agreement (although he may by his own choice execute this Agreement earlier); (d) he has seven (7) days following the execution of this Agreement by the parties to revoke the Agreement; and (e) this Agreement shall not be effective until the date upon which the revocation period has expired (“Effective Date”). Executive may revoke this Release only by giving the Company formal, written notice of Executive’s revocation of this Release, to the Chairperson of the Company’s board of directors, to be received by the Company by the close of business on the seventh day following Executive’s execution of this Release.</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In consideration of the Company entering into this Agreement, during Executive’s employment and for the twenty-four (24) months following the Separation Date, regardless of the reason for the cessation of Executive’s employment: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8.1 Executive covenants and agrees that Executive will not, directly or indirectly, engage in any activities on behalf of or have an interest in any Competitor of the Company, its parent, or their affiliates, whether as an owner, investor, director, executive, manager, employee, independent consultant, contractor, advisor, or otherwise; provided, that it shall not be a breach of this Section 8 for Executive to own (a) less than one percent (1%) of any class of stock in a publicly-traded entity, or (b) any equity securities or similar ownership interests in the Company or any Company affiliate.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8.2 As used in this Agreement, “</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at any time during Executive’s employment or at the time of the termination of Executive’s employment with the Company, its parent, or any affiliate thereof for any reason, as applicable, any individual, corporation, partnership, limited liability company, association, joint venture, trust, joint stock company, joint venture, or unincorporated organization that, in each case, competes or proposes to compete anywhere in the world with any business carried on the Company, its parent or any affiliate thereof with respect to which Executive (a) was materially involved during Executive’s employment, or (b) had access to confidential information.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8.3 Executive acknowledges and agrees that, for purposes of this Section 8, due to the continually evolving natures of the Company, its parent’s and their affiliates’ businesses, and the industries in which they are involved, the scope of the Company’s, its parent’s, and their affiliates’ business and/or the identities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494" w:name="page495"/>
    <w:bookmarkEnd w:id="49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Competitors may change over time and that breach of this Agreement by accepting employment with a Competitor would irreparably injure the Company, its parent, and their affiliates.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8.4 Executive acknowledges and agrees that (a) each of the restrictions in this Section 8 constitutes a separate and independent restriction on Executive, and (b) should a court at any time determine that any restriction or limitation in this Section 8 is unreasonable or unenforceable, it will be deemed amended so as to provide the maximum protection to the Company, its parent and their affiliates and be deemed reasonable and enforceable by the court.</w:t>
      </w:r>
    </w:p>
    <w:p>
      <w:pPr>
        <w:spacing w:after="0" w:line="180" w:lineRule="exact"/>
        <w:rPr>
          <w:sz w:val="20"/>
          <w:szCs w:val="20"/>
          <w:color w:val="auto"/>
        </w:rPr>
      </w:pPr>
    </w:p>
    <w:p>
      <w:pPr>
        <w:jc w:val="both"/>
        <w:ind w:firstLine="656"/>
        <w:spacing w:after="0" w:line="266" w:lineRule="auto"/>
        <w:tabs>
          <w:tab w:leader="none" w:pos="129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Executive hereby represents and warrants that on or before the Separation Date, he will return to the Company all Company property and documents in his possession including, but not limited to, Company files, notes, records, computer recorded information, tangible property, credit cards, entry cards, pagers, identification badges, and keys.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agree that they will keep the terms, amount and fact of this Agreement completely confidential, and that they will not hereafter disclose any information concerning this Agreement to anyone; provided, however, that Executive may make such disclosure to his immediate family, and Executive and the Company may make such disclosure to their respective professional representatives (e.g., attorneys, accountants, auditors, tax preparers), all of whom will be informed of and agree to be bound by this confidentiality clause, or other such disclosures required by law.</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Trade Secrets</w:t>
      </w:r>
      <w:r>
        <w:rPr>
          <w:rFonts w:ascii="Times New Roman" w:cs="Times New Roman" w:eastAsia="Times New Roman" w:hAnsi="Times New Roman"/>
          <w:sz w:val="18"/>
          <w:szCs w:val="18"/>
          <w:color w:val="auto"/>
        </w:rPr>
        <w:t>. Executive shall, concurrently with the execution of this Agreement, and before Executive receives the consideration referenced in Paragraph 2 above, execute the Certificate of Compliance Post Termination attached as Exhibit 2 to the Executive Confidentiality, Non-Disclosure, Non-Recruiting and Assignment of Interest of Inventions Agreement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Employment Agreement) and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acknowledging Executive’s continuing obligations pursuant to that certain Executive Confidentiality, Non-Disclosure, Non-Recruiting and Assignment of Interest Inventions Agreement that Executive previously executed,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Executive’s Employment Agreement with the Company. Executive understands and agrees that nothing in this Agreement shall effect Executive’s continuing obligations under that Executive Confidentiality, Non-Disclosure, Non-Recruiting and Assignment of Interest in Inventions Agreement which shall survive execution of this Agreement. Executive agrees that if Executive breaches Executive Confidentiality, Non-Disclosure, Non-Recruiting and Assignment of Interest in Inventions Agreement executed between Executive and the Company during the time period in which Executive is receiving severance under this Agreement the Company shall have the right, within its sole and absolute discretion, to withhold making any further severance payments until Executive complies with the terms of Executive Confidentiality, Non-Disclosure, Non-Recruiting and Assignment of Interest in Inventions Agreement and shall also have the right to seek reimbursement for any damage caused to the Company as a result of Executive’s breach of Executive Confidentiality, Non-Disclosure, Non-Recruiting and Assignment of Interest in Inventions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Future Employment</w:t>
      </w:r>
      <w:r>
        <w:rPr>
          <w:rFonts w:ascii="Times New Roman" w:cs="Times New Roman" w:eastAsia="Times New Roman" w:hAnsi="Times New Roman"/>
          <w:sz w:val="18"/>
          <w:szCs w:val="18"/>
          <w:color w:val="auto"/>
        </w:rPr>
        <w:t>. Executive understands that his employment with the Company has terminated; he waives any rights to future employment; and he agrees that he will never again apply for or seek employment with the Company or any subsidiary or affiliate of the Company. Executive agrees that should he apply for employment with the Company or any subsidiary or affiliate, then the Company and/or its affiliates shall have cause to deny his application for employment without recourse.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1"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embodies the entire agreement of all the Parties hereto who have executed it and supersedes any and all other agreements, understandings, negotiations, or discussions, either oral or in writing, express or implied, between the Parties to this Agreement. The Parties to this Agreement each acknowledge that no representations, inducements, promises, agreements or warranties, oral or otherwise, have been made by them, or anyone acting on their behalf, which are not embodied in this Agreement: that they have not executed this Agreement in reliance on any representation, inducement, promise, agreements, warranty, fact or circumstances, not expressly set forth in this Agreement; and that no representation, inducement, promise, agreement or warranty not contained in this Agreement including, but not limited to, any purported settlements, modifications, waivers or terminations of this Agreement, shall be valid or binding, unless executed in writing by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495" w:name="page496"/>
    <w:bookmarkEnd w:id="495"/>
    <w:p>
      <w:pPr>
        <w:spacing w:after="0" w:line="282" w:lineRule="auto"/>
        <w:rPr>
          <w:sz w:val="20"/>
          <w:szCs w:val="20"/>
          <w:color w:val="auto"/>
        </w:rPr>
      </w:pPr>
      <w:r>
        <w:rPr>
          <w:rFonts w:ascii="Times New Roman" w:cs="Times New Roman" w:eastAsia="Times New Roman" w:hAnsi="Times New Roman"/>
          <w:sz w:val="18"/>
          <w:szCs w:val="18"/>
          <w:color w:val="auto"/>
        </w:rPr>
        <w:t>of the Parties to this Agreement. This Agreement may be amended and any provision herein waived only pursuant to and in accordance with Section 7(f) of the Employment Agreement (but only in writing, and signed by the party against whom such an amendment or waiver is sought to be enforced).</w:t>
      </w:r>
    </w:p>
    <w:p>
      <w:pPr>
        <w:spacing w:after="0" w:line="162" w:lineRule="exact"/>
        <w:rPr>
          <w:sz w:val="20"/>
          <w:szCs w:val="20"/>
          <w:color w:val="auto"/>
        </w:rPr>
      </w:pPr>
    </w:p>
    <w:p>
      <w:pPr>
        <w:ind w:firstLine="656"/>
        <w:spacing w:after="0" w:line="282"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Nature</w:t>
      </w:r>
      <w:r>
        <w:rPr>
          <w:rFonts w:ascii="Times New Roman" w:cs="Times New Roman" w:eastAsia="Times New Roman" w:hAnsi="Times New Roman"/>
          <w:sz w:val="18"/>
          <w:szCs w:val="18"/>
          <w:color w:val="auto"/>
        </w:rPr>
        <w:t>. This Agreement, and all the terms and provisions contained herein, shall bind the heirs, personal representatives, successors and assigns of each party, and inure to the benefit of each party, its agents, directors, officers, executives, servants, successors, and assigns.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Agreement shall not be construed in favor of one party or against the other.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Invalidity</w:t>
      </w:r>
      <w:r>
        <w:rPr>
          <w:rFonts w:ascii="Times New Roman" w:cs="Times New Roman" w:eastAsia="Times New Roman" w:hAnsi="Times New Roman"/>
          <w:sz w:val="18"/>
          <w:szCs w:val="18"/>
          <w:color w:val="auto"/>
        </w:rPr>
        <w:t>. Should any portion, word, clause, phrase, sentence or Paragraph of this Agreement be declared void or unenforceable, such portion shall be considered independent and severable from the remainder, the validity of which shall remain unaffected.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Terms</w:t>
      </w:r>
      <w:r>
        <w:rPr>
          <w:rFonts w:ascii="Times New Roman" w:cs="Times New Roman" w:eastAsia="Times New Roman" w:hAnsi="Times New Roman"/>
          <w:sz w:val="18"/>
          <w:szCs w:val="18"/>
          <w:color w:val="auto"/>
        </w:rPr>
        <w:t>. The failure to insist upon compliance with any term, covenant or condition contained in this Agreement shall not be deemed a waiver of that term, covenant or condition, nor shall any waiver or relinquishment of any right or power contained in this Agreement at any one time or more times be deemed a waiver or relinquishment of any right or power at any other time or times.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Costs</w:t>
      </w:r>
      <w:r>
        <w:rPr>
          <w:rFonts w:ascii="Times New Roman" w:cs="Times New Roman" w:eastAsia="Times New Roman" w:hAnsi="Times New Roman"/>
          <w:sz w:val="18"/>
          <w:szCs w:val="18"/>
          <w:color w:val="auto"/>
        </w:rPr>
        <w:t>. Executive agrees that in the event Executive breaches any provision of this Agreement, Executive shall pay all costs and attorney’s fees incurred in conjunction with enforcement of this Agreement.</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shall be interpreted under the law of the State of Delaware, both as to interpretation and performance. Any dispute, claim, or controversy arising out of or related in any way to this Agreement shall be determined pursuant to Section 7 of the Employment Agreement, which is incorporated herein by reference.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 and Definitions</w:t>
      </w:r>
      <w:r>
        <w:rPr>
          <w:rFonts w:ascii="Times New Roman" w:cs="Times New Roman" w:eastAsia="Times New Roman" w:hAnsi="Times New Roman"/>
          <w:sz w:val="18"/>
          <w:szCs w:val="18"/>
          <w:color w:val="auto"/>
        </w:rPr>
        <w:t>. The Company and Executive agree that the RECITALS contained at the beginning of this Agreement are incorporated herein by this reference as material terms of this Agreement. Further, all Capitalized definitions in the Employment Agreement and this Agreement are intended to and shall be ascribed the same meaning by the Company and Executive.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and Paragraph headings contained in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deemed an original,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Admissions</w:t>
      </w:r>
      <w:r>
        <w:rPr>
          <w:rFonts w:ascii="Times New Roman" w:cs="Times New Roman" w:eastAsia="Times New Roman" w:hAnsi="Times New Roman"/>
          <w:sz w:val="18"/>
          <w:szCs w:val="18"/>
          <w:color w:val="auto"/>
        </w:rPr>
        <w:t>. It is understood and agreed by the Parties that this Agreement represents a compromise and settlement for various matters and that the promises and payments and consideration of this Agreement shall not be construed to be an admission of any liability or obligation by either party to the other party or any other person.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and Knowing</w:t>
      </w:r>
      <w:r>
        <w:rPr>
          <w:rFonts w:ascii="Times New Roman" w:cs="Times New Roman" w:eastAsia="Times New Roman" w:hAnsi="Times New Roman"/>
          <w:sz w:val="18"/>
          <w:szCs w:val="18"/>
          <w:color w:val="auto"/>
        </w:rPr>
        <w:t>. This Agreement is executed voluntarily and without any duress or undue influence on the part or behalf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hereto.</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Acknowledgment of Representation by Independent Counsel in Negotiation of this Agreement</w:t>
      </w:r>
      <w:r>
        <w:rPr>
          <w:rFonts w:ascii="Times New Roman" w:cs="Times New Roman" w:eastAsia="Times New Roman" w:hAnsi="Times New Roman"/>
          <w:sz w:val="18"/>
          <w:szCs w:val="18"/>
          <w:color w:val="auto"/>
        </w:rPr>
        <w:t>. Executive acknowledges, represents, and warrants that he has in fact been individually, fully, and adequately represented by legal counsel in negotiating with the Company the terms of this Agreement, including without limitation the venue or forum in which a controversy arising from the Agreement may be adjudicated and the choice of law to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7" w:right="339" w:bottom="1440" w:gutter="0" w:footer="0" w:header="0"/>
        </w:sectPr>
      </w:pPr>
    </w:p>
    <w:bookmarkStart w:id="496" w:name="page497"/>
    <w:bookmarkEnd w:id="496"/>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respective dates set forth below.</w:t>
      </w:r>
    </w:p>
    <w:p>
      <w:pPr>
        <w:spacing w:after="0" w:line="254" w:lineRule="exact"/>
        <w:rPr>
          <w:sz w:val="20"/>
          <w:szCs w:val="20"/>
          <w:color w:val="auto"/>
        </w:rPr>
      </w:pPr>
    </w:p>
    <w:p>
      <w:pPr>
        <w:ind w:left="20"/>
        <w:spacing w:after="0"/>
        <w:tabs>
          <w:tab w:leader="none" w:pos="5880" w:val="left"/>
        </w:tabs>
        <w:rPr>
          <w:sz w:val="20"/>
          <w:szCs w:val="20"/>
          <w:color w:val="auto"/>
        </w:rPr>
      </w:pPr>
      <w:r>
        <w:rPr>
          <w:rFonts w:ascii="Times New Roman" w:cs="Times New Roman" w:eastAsia="Times New Roman" w:hAnsi="Times New Roman"/>
          <w:sz w:val="18"/>
          <w:szCs w:val="18"/>
          <w:color w:val="auto"/>
        </w:rPr>
        <w:t>Executive:</w:t>
      </w:r>
      <w:r>
        <w:rPr>
          <w:sz w:val="20"/>
          <w:szCs w:val="20"/>
          <w:color w:val="auto"/>
        </w:rPr>
        <w:tab/>
      </w:r>
      <w:r>
        <w:rPr>
          <w:rFonts w:ascii="Times New Roman" w:cs="Times New Roman" w:eastAsia="Times New Roman" w:hAnsi="Times New Roman"/>
          <w:sz w:val="18"/>
          <w:szCs w:val="18"/>
          <w:color w:val="auto"/>
        </w:rPr>
        <w:t>Accepted and agreed to:</w:t>
      </w:r>
    </w:p>
    <w:p>
      <w:pPr>
        <w:ind w:left="5900"/>
        <w:spacing w:after="0"/>
        <w:rPr>
          <w:sz w:val="20"/>
          <w:szCs w:val="20"/>
          <w:color w:val="auto"/>
        </w:rPr>
      </w:pPr>
      <w:r>
        <w:rPr>
          <w:rFonts w:ascii="Times New Roman" w:cs="Times New Roman" w:eastAsia="Times New Roman" w:hAnsi="Times New Roman"/>
          <w:sz w:val="18"/>
          <w:szCs w:val="18"/>
          <w:color w:val="auto"/>
        </w:rPr>
        <w:t>Arm, Inc.</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RENE ANTHONY ANDRADA HAAS</w:t>
            </w:r>
          </w:p>
        </w:tc>
        <w:tc>
          <w:tcPr>
            <w:tcW w:w="540" w:type="dxa"/>
            <w:vAlign w:val="bottom"/>
          </w:tcPr>
          <w:p>
            <w:pPr>
              <w:spacing w:after="0"/>
              <w:rPr>
                <w:sz w:val="21"/>
                <w:szCs w:val="21"/>
                <w:color w:val="auto"/>
              </w:rPr>
            </w:pPr>
          </w:p>
        </w:tc>
        <w:tc>
          <w:tcPr>
            <w:tcW w:w="5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w:t>
            </w:r>
          </w:p>
        </w:tc>
      </w:tr>
      <w:tr>
        <w:trPr>
          <w:trHeight w:val="522"/>
        </w:trPr>
        <w:tc>
          <w:tcPr>
            <w:tcW w:w="53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54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r>
      <w:tr>
        <w:trPr>
          <w:trHeight w:val="522"/>
        </w:trPr>
        <w:tc>
          <w:tcPr>
            <w:tcW w:w="5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8"/>
        </w:trPr>
        <w:tc>
          <w:tcPr>
            <w:tcW w:w="5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522"/>
        </w:trPr>
        <w:tc>
          <w:tcPr>
            <w:tcW w:w="5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8"/>
        </w:trPr>
        <w:tc>
          <w:tcPr>
            <w:tcW w:w="5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497" w:name="page498"/>
    <w:bookmarkEnd w:id="497"/>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CONFLICT MANAGEMENT ACKNOWLEDGMENT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Investment Conflicts Management Acknowledgement (</w:t>
      </w:r>
      <w:r>
        <w:rPr>
          <w:rFonts w:ascii="Times New Roman" w:cs="Times New Roman" w:eastAsia="Times New Roman" w:hAnsi="Times New Roman"/>
          <w:sz w:val="18"/>
          <w:szCs w:val="18"/>
          <w:b w:val="1"/>
          <w:bCs w:val="1"/>
          <w:i w:val="1"/>
          <w:iCs w:val="1"/>
          <w:color w:val="auto"/>
        </w:rPr>
        <w:t>Acknowledgement</w:t>
      </w:r>
      <w:r>
        <w:rPr>
          <w:rFonts w:ascii="Times New Roman" w:cs="Times New Roman" w:eastAsia="Times New Roman" w:hAnsi="Times New Roman"/>
          <w:sz w:val="18"/>
          <w:szCs w:val="18"/>
          <w:color w:val="auto"/>
        </w:rPr>
        <w:t>) addresses personal equity investments made or to be made by you or your child, stepchild, grandchild, parent, stepparent, grandparent, spouse, sibling, mother-in-law, father-in-law, son-in-law, daughter-in-law, brother-in-law, or sister-in-law, including adoptive relationships, living in the same household as you (</w:t>
      </w:r>
      <w:r>
        <w:rPr>
          <w:rFonts w:ascii="Times New Roman" w:cs="Times New Roman" w:eastAsia="Times New Roman" w:hAnsi="Times New Roman"/>
          <w:sz w:val="18"/>
          <w:szCs w:val="18"/>
          <w:b w:val="1"/>
          <w:bCs w:val="1"/>
          <w:i w:val="1"/>
          <w:iCs w:val="1"/>
          <w:color w:val="auto"/>
        </w:rPr>
        <w:t>Immediate Family Member</w:t>
      </w:r>
      <w:r>
        <w:rPr>
          <w:rFonts w:ascii="Times New Roman" w:cs="Times New Roman" w:eastAsia="Times New Roman" w:hAnsi="Times New Roman"/>
          <w:sz w:val="18"/>
          <w:szCs w:val="18"/>
          <w:color w:val="auto"/>
        </w:rPr>
        <w:t xml:space="preserve">) in certain private companies and/or investment funds for which pre-clearance is required (a </w:t>
      </w:r>
      <w:r>
        <w:rPr>
          <w:rFonts w:ascii="Times New Roman" w:cs="Times New Roman" w:eastAsia="Times New Roman" w:hAnsi="Times New Roman"/>
          <w:sz w:val="18"/>
          <w:szCs w:val="18"/>
          <w:b w:val="1"/>
          <w:bCs w:val="1"/>
          <w:i w:val="1"/>
          <w:iCs w:val="1"/>
          <w:color w:val="auto"/>
        </w:rPr>
        <w:t>Covered Investment</w:t>
      </w:r>
      <w:r>
        <w:rPr>
          <w:rFonts w:ascii="Times New Roman" w:cs="Times New Roman" w:eastAsia="Times New Roman" w:hAnsi="Times New Roman"/>
          <w:sz w:val="18"/>
          <w:szCs w:val="18"/>
          <w:color w:val="auto"/>
        </w:rPr>
        <w:t>) under that certain Investment Conflicts and MNPI Governance Policy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SoftBank Group Corp. (</w:t>
      </w:r>
      <w:r>
        <w:rPr>
          <w:rFonts w:ascii="Times New Roman" w:cs="Times New Roman" w:eastAsia="Times New Roman" w:hAnsi="Times New Roman"/>
          <w:sz w:val="18"/>
          <w:szCs w:val="18"/>
          <w:b w:val="1"/>
          <w:bCs w:val="1"/>
          <w:i w:val="1"/>
          <w:iCs w:val="1"/>
          <w:color w:val="auto"/>
        </w:rPr>
        <w:t>SBG</w:t>
      </w:r>
      <w:r>
        <w:rPr>
          <w:rFonts w:ascii="Times New Roman" w:cs="Times New Roman" w:eastAsia="Times New Roman" w:hAnsi="Times New Roman"/>
          <w:sz w:val="18"/>
          <w:szCs w:val="18"/>
          <w:color w:val="auto"/>
        </w:rPr>
        <w:t>). Under the Policy and its implementing procedures, your ability to make equity investments in any Covered Investment is conditioned upon your execution and delivery of this Acknowledgement.</w:t>
      </w:r>
    </w:p>
    <w:p>
      <w:pPr>
        <w:spacing w:after="0" w:line="182" w:lineRule="exact"/>
        <w:rPr>
          <w:sz w:val="20"/>
          <w:szCs w:val="20"/>
          <w:color w:val="auto"/>
        </w:rPr>
      </w:pPr>
    </w:p>
    <w:p>
      <w:pPr>
        <w:jc w:val="both"/>
        <w:ind w:firstLine="8"/>
        <w:spacing w:after="0" w:line="262" w:lineRule="auto"/>
        <w:tabs>
          <w:tab w:leader="none" w:pos="369"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Potential Conflict</w:t>
      </w:r>
      <w:r>
        <w:rPr>
          <w:rFonts w:ascii="Times New Roman" w:cs="Times New Roman" w:eastAsia="Times New Roman" w:hAnsi="Times New Roman"/>
          <w:sz w:val="18"/>
          <w:szCs w:val="18"/>
          <w:color w:val="auto"/>
        </w:rPr>
        <w:t>. Following the effective date of the Policy, SBG keeps a recorded list of the Covered Investment(s) for which pre-clearance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been granted by SBG. That list may be updated, from time to time, to (i) schedule additional Covered Investments, in the event you seek to make new personal equity investments in Covered Investments, and (ii) remove certain scheduled Covered Investments, in the event you dispose of your equity positions in any such Covered Investments. The companies and investment funds on that recorded list are referred to herein as </w:t>
      </w:r>
      <w:r>
        <w:rPr>
          <w:rFonts w:ascii="Times New Roman" w:cs="Times New Roman" w:eastAsia="Times New Roman" w:hAnsi="Times New Roman"/>
          <w:sz w:val="18"/>
          <w:szCs w:val="18"/>
          <w:b w:val="1"/>
          <w:bCs w:val="1"/>
          <w:i w:val="1"/>
          <w:iCs w:val="1"/>
          <w:color w:val="auto"/>
        </w:rPr>
        <w:t>Restricted Investments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Actual Conflict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95"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In the event SBG or any of its subsidiaries (</w:t>
      </w:r>
      <w:r>
        <w:rPr>
          <w:rFonts w:ascii="Times New Roman" w:cs="Times New Roman" w:eastAsia="Times New Roman" w:hAnsi="Times New Roman"/>
          <w:sz w:val="18"/>
          <w:szCs w:val="18"/>
          <w:b w:val="1"/>
          <w:bCs w:val="1"/>
          <w:i w:val="1"/>
          <w:iCs w:val="1"/>
          <w:color w:val="auto"/>
        </w:rPr>
        <w:t>SoftBank</w:t>
      </w:r>
      <w:r>
        <w:rPr>
          <w:rFonts w:ascii="Times New Roman" w:cs="Times New Roman" w:eastAsia="Times New Roman" w:hAnsi="Times New Roman"/>
          <w:sz w:val="18"/>
          <w:szCs w:val="18"/>
          <w:color w:val="auto"/>
        </w:rPr>
        <w:t xml:space="preserve">) invest in any Restricted Investment (a </w:t>
      </w:r>
      <w:r>
        <w:rPr>
          <w:rFonts w:ascii="Times New Roman" w:cs="Times New Roman" w:eastAsia="Times New Roman" w:hAnsi="Times New Roman"/>
          <w:sz w:val="18"/>
          <w:szCs w:val="18"/>
          <w:b w:val="1"/>
          <w:bCs w:val="1"/>
          <w:i w:val="1"/>
          <w:iCs w:val="1"/>
          <w:color w:val="auto"/>
        </w:rPr>
        <w:t>Conflicted Investment</w:t>
      </w:r>
      <w:r>
        <w:rPr>
          <w:rFonts w:ascii="Times New Roman" w:cs="Times New Roman" w:eastAsia="Times New Roman" w:hAnsi="Times New Roman"/>
          <w:sz w:val="18"/>
          <w:szCs w:val="18"/>
          <w:color w:val="auto"/>
        </w:rPr>
        <w:t>), upon SBG’s request, you agree to use your reasonable best efforts to promptly divest your equity position in such Conflicted Investment by sale: (i) to SoftBank at the price per equity interest paid by investor(s) in the equity financing round immediately preceding the round in which SoftBank invests, subject to a floor equal to the price per equity interest paid by you, provided that SoftBank would bear any transfer, stamp, documentary or similar taxes, fees, costs and expenses applicable to such sale; or (ii) to the applicable issuer or any bona fide third-party person or entity approved by SBG, where SBG’s approval will not be unreasonably withheld.</w:t>
      </w:r>
    </w:p>
    <w:p>
      <w:pPr>
        <w:spacing w:after="0" w:line="186" w:lineRule="exact"/>
        <w:rPr>
          <w:rFonts w:ascii="Times New Roman" w:cs="Times New Roman" w:eastAsia="Times New Roman" w:hAnsi="Times New Roman"/>
          <w:sz w:val="18"/>
          <w:szCs w:val="18"/>
          <w:color w:val="auto"/>
        </w:rPr>
      </w:pPr>
    </w:p>
    <w:p>
      <w:pPr>
        <w:jc w:val="both"/>
        <w:ind w:firstLine="656"/>
        <w:spacing w:after="0" w:line="256" w:lineRule="auto"/>
        <w:tabs>
          <w:tab w:leader="none" w:pos="1038"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In the event you are not successful in or restricted from disposing of your equity position in any Conflicted Investment, upon SBG’s request, you agree to not, without SBG’s prior written consent, transfer, sell, assign, gift or dispose of, or create any pledge, lien or other encumbrance over the ownership of, any equity interests in such Conflicted Investment, until SoftBank disposes of the entirety of its equity interest in such Conflicted Investment or the Conflicted Investment becomes publicly listed on an internationally recognized securities exchange (provided that any other applicable SoftBank restrictions would continue to apply), other than transfers to any trust for the exclusive benefit of, or entity exclusively owned by, you or your immediate family, directly or indirectly (in each case, provided that such trustee or entity, as applicable, agrees to be bound by the restrictions herein).</w:t>
      </w:r>
    </w:p>
    <w:p>
      <w:pPr>
        <w:spacing w:after="0" w:line="183" w:lineRule="exact"/>
        <w:rPr>
          <w:rFonts w:ascii="Times New Roman" w:cs="Times New Roman" w:eastAsia="Times New Roman" w:hAnsi="Times New Roman"/>
          <w:sz w:val="18"/>
          <w:szCs w:val="18"/>
          <w:color w:val="auto"/>
        </w:rPr>
      </w:pPr>
    </w:p>
    <w:p>
      <w:pPr>
        <w:jc w:val="both"/>
        <w:ind w:firstLine="8"/>
        <w:spacing w:after="0" w:line="256" w:lineRule="auto"/>
        <w:tabs>
          <w:tab w:leader="none" w:pos="382"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You agree to execute such further documents and instruments and to take such further actions as may be reasonably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 carry out the purposes and intent of this Acknowledgement. This Acknowledgement may be amended only by a written agreement executed by you and SBG. The term of this Acknowledgement shall survive until the cessation of your employment or other provision of services to SoftBank. This Acknowledgement shall be governed by the laws of Japan (for those based in Japan), England and Wales (for those based in the United Kingdom), the State of Delaware (for those who are not based in Japan or the United Kingdom). Any unresolved controversy or claim arising out of this Acknowledgement shall be submitted to confidential, binding arbitration, in accordance with JAMS’ Streamlined Arbitration Rules and Procedures, by one arbitrator proposed by JAMS who is reasonably acceptable to SBG.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your agreement by signing above your name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-7620</wp:posOffset>
            </wp:positionV>
            <wp:extent cx="7423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3" w:right="339" w:bottom="1440" w:gutter="0" w:footer="0" w:header="0"/>
        </w:sectPr>
      </w:pPr>
    </w:p>
    <w:bookmarkStart w:id="498" w:name="page499"/>
    <w:bookmarkEnd w:id="498"/>
    <w:p>
      <w:pPr>
        <w:spacing w:after="0"/>
        <w:tabs>
          <w:tab w:leader="none" w:pos="700" w:val="left"/>
        </w:tabs>
        <w:rPr>
          <w:sz w:val="20"/>
          <w:szCs w:val="20"/>
          <w:color w:val="auto"/>
        </w:rPr>
      </w:pPr>
      <w:r>
        <w:rPr>
          <w:rFonts w:ascii="Times New Roman" w:cs="Times New Roman" w:eastAsia="Times New Roman" w:hAnsi="Times New Roman"/>
          <w:sz w:val="18"/>
          <w:szCs w:val="18"/>
          <w:color w:val="auto"/>
        </w:rPr>
        <w:t>Name:</w:t>
        <w:tab/>
        <w:t>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-7620</wp:posOffset>
            </wp:positionV>
            <wp:extent cx="7200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139"/>
          </w:cols>
          <w:pgMar w:left="320" w:top="1417" w:right="1440"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Arm Holdings plc</w:t>
      </w:r>
    </w:p>
    <w:p>
      <w:pPr>
        <w:spacing w:after="0" w:line="200" w:lineRule="exact"/>
        <w:rPr>
          <w:sz w:val="20"/>
          <w:szCs w:val="20"/>
          <w:color w:val="auto"/>
        </w:rPr>
      </w:pPr>
    </w:p>
    <w:p>
      <w:pPr>
        <w:spacing w:after="0" w:line="29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Arm Holdings plc as of March 31, 2024, omitting subsidiaries which, considered in the aggregate, would not constitute a significant subsidiary.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by</w:t>
            </w:r>
          </w:p>
        </w:tc>
      </w:tr>
      <w:tr>
        <w:trPr>
          <w:trHeight w:val="265"/>
        </w:trPr>
        <w:tc>
          <w:tcPr>
            <w:tcW w:w="47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40" w:type="dxa"/>
            <w:vAlign w:val="bottom"/>
          </w:tcPr>
          <w:p>
            <w:pPr>
              <w:spacing w:after="0"/>
              <w:rPr>
                <w:sz w:val="23"/>
                <w:szCs w:val="2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60" w:type="dxa"/>
            <w:vAlign w:val="bottom"/>
          </w:tcPr>
          <w:p>
            <w:pPr>
              <w:spacing w:after="0"/>
              <w:rPr>
                <w:sz w:val="23"/>
                <w:szCs w:val="23"/>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Arm Holdings plc</w:t>
            </w:r>
          </w:p>
        </w:tc>
      </w:tr>
      <w:tr>
        <w:trPr>
          <w:trHeight w:val="26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Embedded Technologies Private Limited</w:t>
            </w:r>
          </w:p>
        </w:tc>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France SAS</w:t>
            </w:r>
          </w:p>
        </w:tc>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France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Inc.</w:t>
            </w:r>
          </w:p>
        </w:tc>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Delaware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Limited</w:t>
            </w:r>
          </w:p>
        </w:tc>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Norway AS</w:t>
            </w:r>
          </w:p>
        </w:tc>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Norway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65"/>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Sweden AB</w:t>
            </w:r>
          </w:p>
        </w:tc>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Technologies Israel Ltd.</w:t>
            </w:r>
          </w:p>
        </w:tc>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Israel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ectPr>
          <w:pgSz w:w="11900" w:h="16838" w:orient="portrait"/>
          <w:cols w:equalWidth="0" w:num="1">
            <w:col w:w="11240"/>
          </w:cols>
          <w:pgMar w:left="320" w:top="117" w:right="339" w:bottom="1440" w:gutter="0" w:footer="0" w:header="0"/>
        </w:sectPr>
      </w:pPr>
    </w:p>
    <w:bookmarkStart w:id="500" w:name="page501"/>
    <w:bookmarkEnd w:id="500"/>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706120</wp:posOffset>
            </wp:positionV>
            <wp:extent cx="891540" cy="291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Engaging in transactions involving the securities of a company while in possession of material nonpublic information is referred to as insider trading. Material nonpublic information is information that could reasonably be expected to affect the price of a company’s securities, whether it is positive or negative, and is generally not known or has not been made available to the investing public. At Arm, a variety of roles throughout the organization have access to material nonpublic information, either from time-to-time or on a more continuous basis. It is therefore critical that all officers of Arm and its subsidiaries, all members of Arm’s Board of Directors, all employees and all contractors and consultants of Arm and its subsidiaries read and understand this policy.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Arm’s Insider Trading Policy is designed to help you understand your obligations when it comes to trading in securities of Arm, and securities of Arm’s ecosystem partners and customers that in many cases have listed securities (collectively, the “Relevant Entities,” and the securities of the Relevant Entities, the “Relevant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policy, this policy, including its relevant policies and procedures, does not apply to trading activities by SoftBank Group Corp. or its affiliates subject to the oversight of SoftBank Group Corp. (except that this policy will apply to (i) Arm and its subsidiaries and (ii) trading activities in Relevant Securities, by affiliates of SoftBank Group Corp. who are also directors, officers, employees, contractors or consultants of Arm or its subsidiaries).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will help you protect yourself and Arm against the potentially serious consequences of insider trading. Directors, officers, employees, contractors and consultants of Arm should always consult Arm’s Compliance Team at insidertrading@arm.com with any questions concerning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 breach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believe that there has or might have been a breach of Arm’s Insider Trading Policy or any applicable insider trading laws, you should immediately report your concerns to Arm’s Raise a Concern Helpline. Reports are kept confidential and can be made anonymously, where permitted by local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two options:</w:t>
      </w:r>
    </w:p>
    <w:p>
      <w:pPr>
        <w:spacing w:after="0" w:line="225" w:lineRule="exact"/>
        <w:rPr>
          <w:sz w:val="20"/>
          <w:szCs w:val="20"/>
          <w:color w:val="auto"/>
        </w:rPr>
      </w:pPr>
    </w:p>
    <w:p>
      <w:pPr>
        <w:ind w:left="1300" w:hanging="320"/>
        <w:spacing w:after="0"/>
        <w:tabs>
          <w:tab w:leader="none" w:pos="13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Make a report online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3"/>
        </w:numPr>
        <w:rPr>
          <w:rFonts w:ascii="Times New Roman" w:cs="Times New Roman" w:eastAsia="Times New Roman" w:hAnsi="Times New Roman"/>
          <w:sz w:val="18"/>
          <w:szCs w:val="18"/>
          <w:color w:val="717171"/>
        </w:rPr>
      </w:pPr>
      <w:r>
        <w:rPr>
          <w:rFonts w:ascii="Times New Roman" w:cs="Times New Roman" w:eastAsia="Times New Roman" w:hAnsi="Times New Roman"/>
          <w:sz w:val="18"/>
          <w:szCs w:val="18"/>
          <w:color w:val="auto"/>
        </w:rPr>
        <w:t>Make a report verbally:</w:t>
      </w:r>
    </w:p>
    <w:p>
      <w:pPr>
        <w:spacing w:after="0" w:line="206" w:lineRule="exact"/>
        <w:rPr>
          <w:rFonts w:ascii="Times New Roman" w:cs="Times New Roman" w:eastAsia="Times New Roman" w:hAnsi="Times New Roman"/>
          <w:sz w:val="18"/>
          <w:szCs w:val="18"/>
          <w:color w:val="717171"/>
        </w:rPr>
      </w:pPr>
    </w:p>
    <w:p>
      <w:pPr>
        <w:ind w:left="2600" w:hanging="324"/>
        <w:spacing w:after="0"/>
        <w:tabs>
          <w:tab w:leader="none" w:pos="2600" w:val="left"/>
        </w:tabs>
        <w:numPr>
          <w:ilvl w:val="1"/>
          <w:numId w:val="443"/>
        </w:numPr>
        <w:rPr>
          <w:rFonts w:ascii="Times New Roman" w:cs="Times New Roman" w:eastAsia="Times New Roman" w:hAnsi="Times New Roman"/>
          <w:sz w:val="18"/>
          <w:szCs w:val="18"/>
          <w:color w:val="717171"/>
        </w:rPr>
      </w:pPr>
      <w:r>
        <w:rPr>
          <w:rFonts w:ascii="Times New Roman" w:cs="Times New Roman" w:eastAsia="Times New Roman" w:hAnsi="Times New Roman"/>
          <w:sz w:val="18"/>
          <w:szCs w:val="18"/>
          <w:color w:val="auto"/>
        </w:rPr>
        <w:t>United Kingdom: 0-808-189-1053</w:t>
      </w:r>
    </w:p>
    <w:p>
      <w:pPr>
        <w:spacing w:after="0" w:line="90" w:lineRule="exact"/>
        <w:rPr>
          <w:rFonts w:ascii="Times New Roman" w:cs="Times New Roman" w:eastAsia="Times New Roman" w:hAnsi="Times New Roman"/>
          <w:sz w:val="18"/>
          <w:szCs w:val="18"/>
          <w:color w:val="717171"/>
        </w:rPr>
      </w:pPr>
    </w:p>
    <w:p>
      <w:pPr>
        <w:ind w:left="2600" w:hanging="324"/>
        <w:spacing w:after="0"/>
        <w:tabs>
          <w:tab w:leader="none" w:pos="2600" w:val="left"/>
        </w:tabs>
        <w:numPr>
          <w:ilvl w:val="1"/>
          <w:numId w:val="443"/>
        </w:numPr>
        <w:rPr>
          <w:rFonts w:ascii="Times New Roman" w:cs="Times New Roman" w:eastAsia="Times New Roman" w:hAnsi="Times New Roman"/>
          <w:sz w:val="18"/>
          <w:szCs w:val="18"/>
          <w:color w:val="717171"/>
        </w:rPr>
      </w:pPr>
      <w:r>
        <w:rPr>
          <w:rFonts w:ascii="Times New Roman" w:cs="Times New Roman" w:eastAsia="Times New Roman" w:hAnsi="Times New Roman"/>
          <w:sz w:val="18"/>
          <w:szCs w:val="18"/>
          <w:color w:val="auto"/>
        </w:rPr>
        <w:t>United States: 1-800-461-9330</w:t>
      </w:r>
    </w:p>
    <w:p>
      <w:pPr>
        <w:spacing w:after="0" w:line="103" w:lineRule="exact"/>
        <w:rPr>
          <w:rFonts w:ascii="Times New Roman" w:cs="Times New Roman" w:eastAsia="Times New Roman" w:hAnsi="Times New Roman"/>
          <w:sz w:val="18"/>
          <w:szCs w:val="18"/>
          <w:color w:val="717171"/>
        </w:rPr>
      </w:pPr>
    </w:p>
    <w:p>
      <w:pPr>
        <w:ind w:left="2600" w:hanging="324"/>
        <w:spacing w:after="0"/>
        <w:tabs>
          <w:tab w:leader="none" w:pos="2600" w:val="left"/>
        </w:tabs>
        <w:numPr>
          <w:ilvl w:val="1"/>
          <w:numId w:val="443"/>
        </w:numPr>
        <w:rPr>
          <w:rFonts w:ascii="Times New Roman" w:cs="Times New Roman" w:eastAsia="Times New Roman" w:hAnsi="Times New Roman"/>
          <w:sz w:val="18"/>
          <w:szCs w:val="18"/>
          <w:color w:val="717171"/>
        </w:rPr>
      </w:pPr>
      <w:r>
        <w:rPr>
          <w:rFonts w:ascii="Times New Roman" w:cs="Times New Roman" w:eastAsia="Times New Roman" w:hAnsi="Times New Roman"/>
          <w:sz w:val="18"/>
          <w:szCs w:val="18"/>
          <w:color w:val="auto"/>
        </w:rPr>
        <w:t>France: 0805.080339</w:t>
      </w:r>
    </w:p>
    <w:p>
      <w:pPr>
        <w:spacing w:after="0" w:line="103" w:lineRule="exact"/>
        <w:rPr>
          <w:rFonts w:ascii="Times New Roman" w:cs="Times New Roman" w:eastAsia="Times New Roman" w:hAnsi="Times New Roman"/>
          <w:sz w:val="18"/>
          <w:szCs w:val="18"/>
          <w:color w:val="717171"/>
        </w:rPr>
      </w:pPr>
    </w:p>
    <w:p>
      <w:pPr>
        <w:ind w:left="2600" w:hanging="324"/>
        <w:spacing w:after="0"/>
        <w:tabs>
          <w:tab w:leader="none" w:pos="2600" w:val="left"/>
        </w:tabs>
        <w:numPr>
          <w:ilvl w:val="1"/>
          <w:numId w:val="443"/>
        </w:numPr>
        <w:rPr>
          <w:rFonts w:ascii="Times New Roman" w:cs="Times New Roman" w:eastAsia="Times New Roman" w:hAnsi="Times New Roman"/>
          <w:sz w:val="18"/>
          <w:szCs w:val="18"/>
          <w:color w:val="717171"/>
        </w:rPr>
      </w:pPr>
      <w:r>
        <w:rPr>
          <w:rFonts w:ascii="Times New Roman" w:cs="Times New Roman" w:eastAsia="Times New Roman" w:hAnsi="Times New Roman"/>
          <w:sz w:val="18"/>
          <w:szCs w:val="18"/>
          <w:color w:val="auto"/>
        </w:rPr>
        <w:t xml:space="preserve">Other countries, please </w:t>
      </w:r>
      <w:r>
        <w:rPr>
          <w:rFonts w:ascii="Times New Roman" w:cs="Times New Roman" w:eastAsia="Times New Roman" w:hAnsi="Times New Roman"/>
          <w:sz w:val="18"/>
          <w:szCs w:val="18"/>
          <w:u w:val="single" w:color="auto"/>
          <w:color w:val="auto"/>
        </w:rPr>
        <w:t>click here</w:t>
      </w:r>
      <w:r>
        <w:rPr>
          <w:rFonts w:ascii="Times New Roman" w:cs="Times New Roman" w:eastAsia="Times New Roman" w:hAnsi="Times New Roman"/>
          <w:sz w:val="18"/>
          <w:szCs w:val="18"/>
          <w:color w:val="auto"/>
        </w:rPr>
        <w:t xml:space="preserve"> for local numbers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Arm takes every concern raised seriously and each report will be assessed fully, promptly, and fairly. Arm actively encourages people to raise concerns in a transparent and open way, so that issues can be resolved quickly and effectively. Reports may be made anonymously where the concern relates to financial accounting or fraud, and</w:t>
      </w:r>
    </w:p>
    <w:p>
      <w:pPr>
        <w:sectPr>
          <w:pgSz w:w="11900" w:h="16838" w:orient="portrait"/>
          <w:cols w:equalWidth="0" w:num="1">
            <w:col w:w="11240"/>
          </w:cols>
          <w:pgMar w:left="320" w:top="117" w:right="339" w:bottom="1440" w:gutter="0" w:footer="0" w:header="0"/>
        </w:sectPr>
      </w:pPr>
    </w:p>
    <w:bookmarkStart w:id="501" w:name="page502"/>
    <w:bookmarkEnd w:id="501"/>
    <w:p>
      <w:pPr>
        <w:jc w:val="both"/>
        <w:spacing w:after="0" w:line="282" w:lineRule="auto"/>
        <w:rPr>
          <w:sz w:val="20"/>
          <w:szCs w:val="20"/>
          <w:color w:val="auto"/>
        </w:rPr>
      </w:pPr>
      <w:r>
        <w:rPr>
          <w:rFonts w:ascii="Times New Roman" w:cs="Times New Roman" w:eastAsia="Times New Roman" w:hAnsi="Times New Roman"/>
          <w:sz w:val="18"/>
          <w:szCs w:val="18"/>
          <w:color w:val="auto"/>
        </w:rPr>
        <w:t>where local law and regulations allow. Subject to the requirements of applicable law and to the greatest extent possible, all reports and investigations will be treated as confidential.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Insider Trading Policy provides guidelines for transactions involving the Relevant Securities and the handling of material nonpublic information about the Relevant Entities.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Arm’s business focuses and relies on the safeguarding of proprietary information. Arm has established its reputation for integrity and ethical conduct, and it is critical that the company maintains this reputation and it conducts its business in accordance with the highest ethical standards.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Arm’s Board of Directors has adopted this policy to promote compliance with any laws applicable to transactions involving the Relevant Securities and avoid the appearance of impropriety. All persons subject to this policy must comply globally with all insider trading laws and regulations that apply to them (which may be subject to amendment from time to time), in addition to complying with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Violations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that you understand the breadth of activities that constitute illegal insider trading and the consequences of non-compliance, which can be severe. Engaging in transactions involving securities while aware of material nonpublic information relating to such securities is illegal and prohibited by insider trading laws. It is also illegal to pass along material nonpublic information to others who then trade based on that information.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recipient of the material nonpublic information is referred to as the “tippee” and the person who transmitted the material nonpublic information is referred to as the “tipper.” Both the tippee and tipper may be subject to liability for insider trading where the tippee trades, even if the tipper does not.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persons subject to this policy must comply with all applicable insider trading laws and regulations globally. Law enforcement authorities vigorously pursue parties globally who violate the insider trading laws and punish offenders severely. Punishment for insider trading violations is serious and could include significant fines and imprisonment.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person’s failure to comply with this policy may subject them to company-imposed sanctions, including dismissal for cause, whether or not the person’s failure to comply results in a violation of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Subject to the Policy</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policy applies to all officers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Arm and its subsidiaries, all members of Arm’s Board of Directors, all employees and all contractors and consultants of Arm and its subsidiaries. Arm may also determine that other persons who have access to material nonpublic information should be subject to this policy. The restrictions of this policy also apply to transactions involving the Relevant Securities by any of the following individuals and entities:</w:t>
      </w:r>
    </w:p>
    <w:p>
      <w:pPr>
        <w:spacing w:after="0" w:line="200" w:lineRule="exact"/>
        <w:rPr>
          <w:sz w:val="20"/>
          <w:szCs w:val="20"/>
          <w:color w:val="auto"/>
        </w:rPr>
      </w:pPr>
    </w:p>
    <w:p>
      <w:pPr>
        <w:ind w:left="660" w:hanging="328"/>
        <w:spacing w:after="0" w:line="261" w:lineRule="auto"/>
        <w:tabs>
          <w:tab w:leader="none" w:pos="65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members whose transactions involving the Relevant Securities are directed by, or are subject to, your influence or control, as further described under the heading “Transactions by Family Members and Others”;</w:t>
      </w:r>
    </w:p>
    <w:p>
      <w:pPr>
        <w:ind w:left="660" w:hanging="328"/>
        <w:spacing w:after="0"/>
        <w:tabs>
          <w:tab w:leader="none" w:pos="6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lives in your household, as further described under the heading “Transactions by Family Members and Others”;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other entity controlled or managed by you, as further described under the heading “Transactions by Entities that You Influence or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714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5" w:lineRule="exact"/>
        <w:rPr>
          <w:sz w:val="20"/>
          <w:szCs w:val="20"/>
          <w:color w:val="auto"/>
        </w:rPr>
      </w:pPr>
    </w:p>
    <w:p>
      <w:pPr>
        <w:ind w:right="160" w:firstLine="8"/>
        <w:spacing w:after="0" w:line="206" w:lineRule="auto"/>
        <w:tabs>
          <w:tab w:leader="none" w:pos="99" w:val="left"/>
        </w:tabs>
        <w:numPr>
          <w:ilvl w:val="0"/>
          <w:numId w:val="445"/>
        </w:numPr>
        <w:rPr>
          <w:rFonts w:ascii="Calibri" w:cs="Calibri" w:eastAsia="Calibri" w:hAnsi="Calibri"/>
          <w:sz w:val="23"/>
          <w:szCs w:val="23"/>
          <w:color w:val="auto"/>
          <w:vertAlign w:val="superscript"/>
        </w:rPr>
      </w:pPr>
      <w:r>
        <w:rPr>
          <w:rFonts w:ascii="Calibri" w:cs="Calibri" w:eastAsia="Calibri" w:hAnsi="Calibri"/>
          <w:sz w:val="18"/>
          <w:szCs w:val="18"/>
          <w:color w:val="auto"/>
        </w:rPr>
        <w:t>The term ofcer includes Arm’s Chief Executve Ofcer, Chief Financial Ofcer, any vice president in charge of a principal business unit, division or functon, any other person who performs a policy making functon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502" w:name="page503"/>
    <w:bookmarkEnd w:id="502"/>
    <w:p>
      <w:pPr>
        <w:ind w:left="660" w:hanging="328"/>
        <w:spacing w:after="0" w:line="261" w:lineRule="auto"/>
        <w:tabs>
          <w:tab w:leader="none" w:pos="65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for which you are the trustee or with respect to which you have the ability to vote, transfer or sell Relevant Securities in the trust, as further described under the heading “Transactions by Entities that You Influence or Control”;</w:t>
      </w:r>
    </w:p>
    <w:p>
      <w:pPr>
        <w:ind w:left="660" w:hanging="328"/>
        <w:spacing w:after="0"/>
        <w:tabs>
          <w:tab w:leader="none" w:pos="6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acting as your agent, nominee or person acting at your direction;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execute trades on your behalf.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restrictions apply to any Relevant Securities over which you have voting power or power to transfer or sell, as well as Relevant Securities that you own. Regulators and prosecutors may presume that trading by your family members is based on information you supplied and may treat any such transactions as if you had traded yourself.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Subject to the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transactions involving the Relevant Securities, including in Arm ordinary shares, options to purchase ordinary shares, American depositary shares, or any other type of securities that Arm may issue, as well as derivative securities that are not issued by Arm, such as exchange-traded put or call options or swaps relating to Arm securities. Transactions subject to this policy include purchases, sales and gifts of Arm securities made by the persons subject to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Responsibility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Relevant Entities and to not engage in transactions involving the Relevant Securities while in possession of material nonpublic information. They must not engage in illegal trading and must avoid the appearance of improper trading to preserve Arm’s reputation for adhering to the highest standards of conduct. Each person subject to this policy is responsible for ensuring compliance with this policy, and that any family member, household member or entity whose transactions are subject to this policy, as discussed below, also comply with this policy.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all cases, the responsibility for determining whether a person is in possession of material nonpublic information rests with that person. Any action on the part of Arm, the Chief Legal Officer, the Compliance Officer, any approval party, any director or any other employee in accordance with this policy does not in any way constitute legal advice or insulate a person from liability under applicable global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Arm’s Chief Legal Officer designates the Managing Counsel – Security, Privacy and Compliance to serve as the Compliance Officer for the purposes of this policy. The Compliance Officer, and in their absence, the Chief Legal Officer or another employee designated by the Compliance Officer or Chief Legal Officer shall be responsible for administration of this policy and oversight of the pre-clearance process, subject to any reviews, determinations and interpretations by the Chief Legal Officer. All determinations and interpretations by the Chief Legal Officer or the Compliance Officer shall be final and not subject to further review.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Persons subject to this policy, who are aware of material nonpublic information relating to the Relevant Entities, may not, directly, or indirectly through family members or other persons or entities:</w:t>
      </w:r>
    </w:p>
    <w:p>
      <w:pPr>
        <w:spacing w:after="0" w:line="162" w:lineRule="exact"/>
        <w:rPr>
          <w:sz w:val="20"/>
          <w:szCs w:val="20"/>
          <w:color w:val="auto"/>
        </w:rPr>
      </w:pPr>
    </w:p>
    <w:p>
      <w:pPr>
        <w:ind w:left="980" w:hanging="324"/>
        <w:spacing w:after="0" w:line="282" w:lineRule="auto"/>
        <w:tabs>
          <w:tab w:leader="none" w:pos="9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involving Arm securities, except as otherwise specified in this policy under the headings “Exceptions to Insider Trading Policy and Trading Restrictions” and “Rule 10b5-1 Plans;”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encourage or induce another person to engage in the purchase, sale or gift of any of Arm securities;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(either directly or via an intermediary) material nonpublic information of the Relevant Entities to persons within Arm whose jobs do not require them to have that information, or outside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503" w:name="page504"/>
    <w:bookmarkEnd w:id="503"/>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 to any other persons, unless any such disclosure is made in accordance with the company’s policies regarding the protection or authorized external disclosure of information regarding the company; or</w:t>
      </w:r>
    </w:p>
    <w:p>
      <w:pPr>
        <w:spacing w:after="0" w:line="162" w:lineRule="exact"/>
        <w:rPr>
          <w:sz w:val="20"/>
          <w:szCs w:val="20"/>
          <w:color w:val="auto"/>
        </w:rPr>
      </w:pPr>
    </w:p>
    <w:p>
      <w:pPr>
        <w:ind w:left="980" w:hanging="324"/>
        <w:spacing w:after="0"/>
        <w:tabs>
          <w:tab w:leader="none" w:pos="98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of Arm (or any other person designated as subject to this policy) who, in the course of working for Arm, learns of material nonpublic information about another company (1) with which Arm does business, such as Arm’s partners, distributors, customers, vendors and suppliers, or (2) that is involved in a potential transaction or business relationship with Arm, may engage in transactions involving that other company’s securities until the information becomes public or is no longer 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the policy of Arm that it will not engage in transactions involving its securities while aware of material nonpublic information relating to the company or company securities, including share repurchase programs, other than in compliance with applicable law.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Small transactions or the existence of a personal financial emergency do not excuse you from compliance with this policy and is not a basis for an exception to this policy. Insider trading laws do not recognize any mitigating circumstances, and, in any event, even the appearance of an improper transaction must be avoided to preserve Arm’s reputation for adhering to the highest standards of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Insider trading laws define the concept of material nonpublic information in a variety of ways, all of which focus on factors such as the nature of the information, the significance of the information to investors and whether the information has been adequately disseminated to the public. All persons subject to this policy must comply globally with all applicable laws and regulations regarding insider trading and the handling of material nonpublic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Information</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is considered “material” if a reasonable investor would consider that information important in making a decision to buy, hold or sell securities. Any information that could reasonably be expected to affect the price of a company’s securities, whether it is positive or negative, should be considered material. Information can be considered material even before a specific corporate action is taken by a board of directors or a company’s management, depending on the specific circumstances and an evaluation of the likelihood of the occurrence of a specific event, action or development. There is no bright-line standard for assessing materiality; rather, materiality is based on an assessment of all of the facts and circumstances, and is often evaluated by enforcement authorities with the benefit of hindsight.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it is not possible to define all categories of material information, some examples of information that ordinarily would be regarded as material are:</w:t>
      </w:r>
    </w:p>
    <w:p>
      <w:pPr>
        <w:spacing w:after="0" w:line="225" w:lineRule="exact"/>
        <w:rPr>
          <w:sz w:val="20"/>
          <w:szCs w:val="20"/>
          <w:color w:val="auto"/>
        </w:rPr>
      </w:pPr>
    </w:p>
    <w:p>
      <w:pPr>
        <w:ind w:left="660" w:hanging="328"/>
        <w:spacing w:after="0"/>
        <w:tabs>
          <w:tab w:leader="none" w:pos="66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 of any kind, industry projections of future earnings or losses, or other earnings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to previously announced earnings guidance, or the decision to suspend earnings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anticipated or planned restatements of financial results, or material impairments, write-offs or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Unpublished financial or operational reports or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504" w:name="page505"/>
    <w:bookmarkEnd w:id="504"/>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Arm’s business plans, budgets, models or strategies, or any changes or anticipated changes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in research and development of a significant new technology, product, process, service or other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contracts, including the gain or loss (or the probable gain or loss) of a significant customer, business partner or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or developments in, major litigation, investigations, or regulatory actions or proceedings;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investment, tender offer, changes in control or ownership, divesture, joint venture, restructuring, repurchase, financing transactions,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in dividend policy (if any), the declaration of a share split or subdivision, or the issuance, redemption or repurchase of securities (e.g., share repurchase programs);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Arm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in Arm’s pricing or cost structure;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in senior management, board of directors or auditors, or notification that the auditor’s reports may no longer be relied upon;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or identified significant cybersecurity vulnerability involving Arm or a significant customer or business partner of Arm,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receiverships, potential defaults under any credit agreements or indentures, or the existence of material liquidity deficiencies;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 event-specific restriction on trading in Arm securities or the securities of any other company or the extension or termination of such restriction;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sale or acquisition of significant assets or a subsidiary.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list is for illustrative purposes only and is not an exhaustive list of all types of material information. Investigators and / or relevant law enforcement agencies will scrutinize a questionable trade after the fact with the benefit of hindsight, so if information is not clearly immaterial or already public you should always err on the side of deciding that information is material nonpublic information and not trade. If you have questions regarding specific information or transactions, please contact the Compliance Team at insidertrading@arm.com.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When Information is Considered Public</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that is generally not known or that has not been made available to the investing public is generally considered to be nonpublic information, even if the information is widely known within the company. In order to establish that the information has been made available to the investing public, it may be necessary to demonstrate that the information has been widely disseminated. Information generally would be considered widely disseminated if it has been disclosed through a widely disseminated press release distributed through the newswire services, a broadcast on widely-available radio or television programs, or publication in a widely-available newspaper,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color w:val="auto"/>
        </w:rPr>
        <w:t>magazine or news website or public disclosure document filed with, or furnished to, the SEC that is available on the SEC’s website.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contrast, information likely would not be considered widely disseminated if it is available only to Arm’s employees, or if it is only available to a select group of analysts, brokers and institutional investors. The circulation of market rumors, even if accurate and reported in the media, does not constitute effective public dissemination; therefore, information should not be considered to be public if it has become known through the circulation of market rumors.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provide the investing public with sufficient time to absorb and evaluate the information. As a general rule, information should not be considered fully absorbed by the marketplace until at least two full trading days have passed following release of the information to the marketplace, where trading days are days on which Nasdaq is open for trading. If, for example, Arm were to make an announcement on a Monday, you should not trade in Arm securities until Thursday. Depending on the particular circumstances, Arm may determine that a longer or shorter period should apply to the release of specific material nonpublic information. Any changes to the time period will be detailed at that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by Entities that You Influence or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any entities that you influence or control, including any corporations, partnerships, investment funds, retirement plans, trusts, or any other types of entities over which you have the ability to influence or direct management, policies or investment decisions, in each case other than SoftBank Group Corp. or its affiliates subject to the oversight of SoftBank Group Corp., and other than in compliance with applicable law. Transactions by these controlled entities will be treated for the purposes of this policy and applicable securities laws as if they were made by you for your own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by Family Members and Others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(including a spouse or domestic partner, a child, a child away at college, stepchildren, grandchildren, parents, stepparents, grandparents, siblings and in-laws), your children or your spouse’s children who are financially dependent on you, anyone else who lives in your household, and any family members who do not live in your household but whose transactions involving Relevant Securities are directed by you or are subject to your influence or control, such as individuals who consult with you before they trade in Relevant Securities. You are responsible for the transactions of these other persons and therefore should make them aware of the need to confer with you before they trade in Relevant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who is not controlled by, influenced by or related to you or your family members.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Exceptions to Insider Trading Policy and Trading Restrictions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Share Option Exercises</w:t>
      </w:r>
    </w:p>
    <w:p>
      <w:pPr>
        <w:spacing w:after="0" w:line="27" w:lineRule="exact"/>
        <w:rPr>
          <w:sz w:val="20"/>
          <w:szCs w:val="20"/>
          <w:color w:val="auto"/>
        </w:rPr>
      </w:pPr>
    </w:p>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t>This policy does not apply to the exercise of an employee share option acquired under the company’s plans, or to the exercise of a tax withholding right to which a person has elected to have Arm withhold Arm securities subject to an option to satisfy tax withholding requirements. This policy does apply, however, to any sale of Arm securities as part of a broker-assisted cashless exercise of an option, or any other market sale for the purpose of generating the cash needed to pay the exercise price of an option.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Restricted Share Awards or Restricted Stock Units</w:t>
      </w:r>
    </w:p>
    <w:p>
      <w:pPr>
        <w:spacing w:after="0" w:line="27" w:lineRule="exact"/>
        <w:rPr>
          <w:sz w:val="20"/>
          <w:szCs w:val="20"/>
          <w:color w:val="auto"/>
        </w:rPr>
      </w:pPr>
    </w:p>
    <w:p>
      <w:pPr>
        <w:jc w:val="both"/>
        <w:ind w:left="440"/>
        <w:spacing w:after="0" w:line="260" w:lineRule="auto"/>
        <w:rPr>
          <w:sz w:val="20"/>
          <w:szCs w:val="20"/>
          <w:color w:val="auto"/>
        </w:rPr>
      </w:pPr>
      <w:r>
        <w:rPr>
          <w:rFonts w:ascii="Times New Roman" w:cs="Times New Roman" w:eastAsia="Times New Roman" w:hAnsi="Times New Roman"/>
          <w:sz w:val="18"/>
          <w:szCs w:val="18"/>
          <w:color w:val="auto"/>
        </w:rPr>
        <w:t>This policy does not apply to the vesting of restricted share awards or restricted stock units, or the exercise of a tax withholding right to which you elect to have the company withhold shares to satisfy 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506" w:name="page507"/>
    <w:bookmarkEnd w:id="506"/>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requirements upon the vesting of any restricted share awards or restricted stock units. The policy does apply, however, to any market sale of restricted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401(k)/Pension Plan, Annual Bonus Plan and All-Employee Plan</w:t>
      </w:r>
    </w:p>
    <w:p>
      <w:pPr>
        <w:spacing w:after="0" w:line="27" w:lineRule="exact"/>
        <w:rPr>
          <w:sz w:val="20"/>
          <w:szCs w:val="20"/>
          <w:color w:val="auto"/>
        </w:rPr>
      </w:pPr>
    </w:p>
    <w:p>
      <w:pPr>
        <w:jc w:val="both"/>
        <w:ind w:left="440"/>
        <w:spacing w:after="0" w:line="251" w:lineRule="auto"/>
        <w:rPr>
          <w:sz w:val="20"/>
          <w:szCs w:val="20"/>
          <w:color w:val="auto"/>
        </w:rPr>
      </w:pPr>
      <w:r>
        <w:rPr>
          <w:rFonts w:ascii="Times New Roman" w:cs="Times New Roman" w:eastAsia="Times New Roman" w:hAnsi="Times New Roman"/>
          <w:sz w:val="18"/>
          <w:szCs w:val="18"/>
          <w:color w:val="auto"/>
        </w:rPr>
        <w:t>This policy does not apply to purchases of Arm securities in the company’s 401(k)/Pension plan, the Annual Bonus Plan or the All-Employee Plan resulting from your periodic contribution of money to the plan, provided that such purchases are the result of a payroll deduction election that you made at a time when you were not aware of material nonpublic information and that was not a restricted trading period, subject to the pre-clearance process. This policy does apply, however, to certain elections you may make under such plans, including: (a) beginning or terminating investing in the Arm securities fund of the 401(k) plan; (b) an election to increase or decrease the percentage of your periodic contributions that will be allocated to the Arm securities fund; (c) an election to make an intra-plan transfer of an existing account balance into or out of the Arm securities fund; (d) an election to borrow money, to the extent otherwise permitted, against your plan accounts if the loan will result in a liquidation of some or all of your Arm securities fund balance; and (e) an election to pre-pay any plan loan if the pre-payment will result in allocation of loan proceeds to the Arm securities fund.</w:t>
      </w:r>
    </w:p>
    <w:p>
      <w:pPr>
        <w:spacing w:after="0" w:line="193"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It should be noted that sales of Arm securities from a 401(k) account are also subject to Rule 144 under the Securities Act of 1933 (or any other applicable exemption under securities laws), and therefore directors and executive officers may be deemed to be an “affiliate” of the company, If this is the case, Rule 144 places limits on the number of shares you may be able to sell and provides that certain procedures must be followed before selling company securities. Contact Arm’s legal team for more information on Rule 144 and when you should ensure that a Form 144 is filed with the SEC.</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Employee Share Purchase Plan</w:t>
      </w:r>
    </w:p>
    <w:p>
      <w:pPr>
        <w:spacing w:after="0" w:line="27" w:lineRule="exact"/>
        <w:rPr>
          <w:sz w:val="20"/>
          <w:szCs w:val="20"/>
          <w:color w:val="auto"/>
        </w:rPr>
      </w:pPr>
    </w:p>
    <w:p>
      <w:pPr>
        <w:jc w:val="both"/>
        <w:ind w:left="440"/>
        <w:spacing w:after="0" w:line="252" w:lineRule="auto"/>
        <w:rPr>
          <w:sz w:val="20"/>
          <w:szCs w:val="20"/>
          <w:color w:val="auto"/>
        </w:rPr>
      </w:pPr>
      <w:r>
        <w:rPr>
          <w:rFonts w:ascii="Times New Roman" w:cs="Times New Roman" w:eastAsia="Times New Roman" w:hAnsi="Times New Roman"/>
          <w:sz w:val="18"/>
          <w:szCs w:val="18"/>
          <w:color w:val="auto"/>
        </w:rPr>
        <w:t>This policy does not apply to purchases of Arm securities in an employee share purchase plan resulting from your periodic contribution of money to the plan pursuant to a payroll deduction election that you made at a time when you were not aware of material nonpublic information and that was not a restricted trading period, subject to the pre-clearance process. This policy also does not apply to purchases of Arm securities resulting from lump sum contributions to the employee share purchase plan, if you elected to participate by lump sum payment at the beginning of the applicable enrollment period. This policy does apply, however, to certain elections you may make under such plan, including: (a) your election to participate in the employee share purchase plan for any enrollment period; (b) an election to increase or decrease your level of participation in the plan; and (c) to your sales of Arm securities purchased pursuant to the employee share purchase plan.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Dividend Reinvestment Plan</w:t>
      </w:r>
    </w:p>
    <w:p>
      <w:pPr>
        <w:spacing w:after="0" w:line="27" w:lineRule="exact"/>
        <w:rPr>
          <w:sz w:val="20"/>
          <w:szCs w:val="20"/>
          <w:color w:val="auto"/>
        </w:rPr>
      </w:pPr>
    </w:p>
    <w:p>
      <w:pPr>
        <w:jc w:val="both"/>
        <w:ind w:left="440"/>
        <w:spacing w:after="0" w:line="252" w:lineRule="auto"/>
        <w:rPr>
          <w:sz w:val="20"/>
          <w:szCs w:val="20"/>
          <w:color w:val="auto"/>
        </w:rPr>
      </w:pPr>
      <w:r>
        <w:rPr>
          <w:rFonts w:ascii="Times New Roman" w:cs="Times New Roman" w:eastAsia="Times New Roman" w:hAnsi="Times New Roman"/>
          <w:sz w:val="18"/>
          <w:szCs w:val="18"/>
          <w:color w:val="auto"/>
        </w:rPr>
        <w:t>This policy does not apply to purchases of Arm securities under any company-sponsored dividend reinvestment plan resulting from an election to reinvest dividends paid on Arm securities that you made when you were not aware of material nonpublic information at the time of the election and that was not a restricted trading period, subject to the pre-clearance process. This policy does apply, however, to any (a) voluntary purchase of Arm securities resulting from additional contributions you choose to make to the dividend reinvestment plan, (b) election to participate in the plan or increase your level of participation in the dividend reinvestment plan, and (c) sale of any Arm securities purchased pursuant to the dividend reinvestment plan.</w:t>
      </w:r>
    </w:p>
    <w:p>
      <w:pPr>
        <w:spacing w:after="0" w:line="190"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Any other purchase of Arm securities directly from the company or sales of Arm securities directly to the company are not subject to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and Prohibited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Arm has determined that there is a heightened legal risk and/or the appearance of improper or inappropriate conduct if the persons subject to this policy engage in certain types of transactions. It therefore is the company’s policy that any persons covered by this policy, regardless of whether in possession of material nonpublic information, may not engage in any of the following transactions, or should otherwise consider the company’s preferences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507" w:name="page508"/>
    <w:bookmarkEnd w:id="507"/>
    <w:p>
      <w:pPr>
        <w:jc w:val="both"/>
        <w:ind w:left="440"/>
        <w:spacing w:after="0" w:line="258" w:lineRule="auto"/>
        <w:rPr>
          <w:sz w:val="20"/>
          <w:szCs w:val="20"/>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Short-term trading of Arm securities may be distracting to the person and may unduly focus the person on the short-term appreciation in the value of Arm securities rather than Arm’s long-term business objectives. For these reasons, pursuant to the company’s policy, any director or officer of the company who </w:t>
      </w:r>
      <w:r>
        <w:rPr>
          <w:rFonts w:ascii="Times New Roman" w:cs="Times New Roman" w:eastAsia="Times New Roman" w:hAnsi="Times New Roman"/>
          <w:sz w:val="18"/>
          <w:szCs w:val="18"/>
          <w:i w:val="1"/>
          <w:iCs w:val="1"/>
          <w:color w:val="auto"/>
        </w:rPr>
        <w:t>purchases</w:t>
      </w:r>
      <w:r>
        <w:rPr>
          <w:rFonts w:ascii="Times New Roman" w:cs="Times New Roman" w:eastAsia="Times New Roman" w:hAnsi="Times New Roman"/>
          <w:sz w:val="18"/>
          <w:szCs w:val="18"/>
          <w:color w:val="auto"/>
        </w:rPr>
        <w:t xml:space="preserve"> Arm securities in the open market may not sell any Arm securities of the same class during the six months following the purchase. Similarly, such persons who </w:t>
      </w:r>
      <w:r>
        <w:rPr>
          <w:rFonts w:ascii="Times New Roman" w:cs="Times New Roman" w:eastAsia="Times New Roman" w:hAnsi="Times New Roman"/>
          <w:sz w:val="18"/>
          <w:szCs w:val="18"/>
          <w:i w:val="1"/>
          <w:iCs w:val="1"/>
          <w:color w:val="auto"/>
        </w:rPr>
        <w:t>sell</w:t>
      </w:r>
      <w:r>
        <w:rPr>
          <w:rFonts w:ascii="Times New Roman" w:cs="Times New Roman" w:eastAsia="Times New Roman" w:hAnsi="Times New Roman"/>
          <w:sz w:val="18"/>
          <w:szCs w:val="18"/>
          <w:color w:val="auto"/>
        </w:rPr>
        <w:t xml:space="preserve"> Arm securities in the open market may not purchase any Arm securities of the same class during the six months following the sale.</w:t>
      </w:r>
    </w:p>
    <w:p>
      <w:pPr>
        <w:spacing w:after="0" w:line="181"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Short sales of Arm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sale of a security that the seller does not own at the time of the transaction), including ‘sales against the box’ (i.e., the short sale of a security that the seller owns at the time of the transaction) may evidence an expectation on the part of the seller that the securities will decline in value, and therefore have the potential to signal to the market that the seller lacks confidence in the company’s prospects. In particular, short sales create misalignment with the company and may reduce a seller’s incentive (or create a disincentive) to seek to improve the company’s performance. For these reasons, short sales of Arm securities are prohibited under the company’s policy.</w:t>
      </w:r>
    </w:p>
    <w:p>
      <w:pPr>
        <w:spacing w:after="0" w:line="185"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u w:val="single" w:color="auto"/>
          <w:color w:val="auto"/>
        </w:rPr>
        <w:t>Derivative Securities Transactions</w:t>
      </w:r>
      <w:r>
        <w:rPr>
          <w:rFonts w:ascii="Times New Roman" w:cs="Times New Roman" w:eastAsia="Times New Roman" w:hAnsi="Times New Roman"/>
          <w:sz w:val="18"/>
          <w:szCs w:val="18"/>
          <w:color w:val="auto"/>
        </w:rPr>
        <w:t>. Derivative securities, such as call options or put options, which give the holder a right to buy or sell, respectively, a security at a specific price before a set date, are typically transacted over a relatively short time period. As a consequence, transactions involving derivative securities may create the appearance that a director, officer or employee is trading based on material nonpublic information and could focus a director’s, officer’s or other employee’s attention on short-term performance at the expense of the company’s long-term objectives. Accordingly, transactions involving put options, call options or other derivative securities, on an exchange or in any other organized market, are prohibited by this policy.</w:t>
      </w:r>
    </w:p>
    <w:p>
      <w:pPr>
        <w:spacing w:after="0" w:line="187"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without limitation through the use of financial instruments such as prepaid variable forwards, equity swaps, collars and exchange funds. Such transactions may permit a person subject to this policy to continue to own Arm securities obtained through employee benefit plans or otherwise, but without the full risks and rewards of ownership. When that occurs, the director, officer or employee may no longer have the same objectives as, or alignment with, the company’s other shareholders. Therefore, directors, officers and employees are prohibited from engaging in any such transactions under this policy.</w:t>
      </w:r>
    </w:p>
    <w:p>
      <w:pPr>
        <w:spacing w:after="0" w:line="187"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 customer’s consent if the customer fails to satisfy a margin call. Similarly, securities pledged (or hypothecated) as collateral for a loan may be sold in foreclosure if the borrower defaults on the loan. Because a margin sale or foreclosure sale may occur at a time when the person is aware of material nonpublic information or otherwise is not permitted to trade in Arm securities, persons subject to this policy are prohibited from holding Arm securities in a margin account or otherwise pledging Arm securities as collateral for a loan, unless all Arm securities held in such account are blocked from being margined.</w:t>
      </w:r>
    </w:p>
    <w:p>
      <w:pPr>
        <w:spacing w:after="0" w:line="187"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 Rule 10b5-1 plans, as described below) create heightened risks for insider trading violations. Because there is no control over the timing of purchases or sales that result from standing instructions to a broker, a broker could execute a transaction when a person subject to this policy is in possession of material nonpublic information. The company therefore discourages placing standing or limit orders on Arm securities. If a person subject to this policy determines that they must use a standing order or limit order, the order should be limited to a period generally no more than five trading days and should otherwise comply with the restrictions and procedures outlined below under the headings “Special Trading Restrictions” and “Pre-Clearance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Trading Restrictions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Arm has established special trading restrictions to assist the company in the administration of this policy, to facilitate compliance with laws prohibiting insider trading while in possession of material nonpublic information, and to avoid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color w:val="auto"/>
        </w:rPr>
        <w:t>the appearance of any impropriety. These special trading restrictions are applicable to all persons subject to this policy.</w:t>
      </w:r>
    </w:p>
    <w:p>
      <w:pPr>
        <w:spacing w:after="0" w:line="225" w:lineRule="exact"/>
        <w:rPr>
          <w:sz w:val="20"/>
          <w:szCs w:val="20"/>
          <w:color w:val="auto"/>
        </w:rPr>
      </w:pPr>
    </w:p>
    <w:p>
      <w:pPr>
        <w:jc w:val="both"/>
        <w:ind w:left="44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Quarterly Trading Restricted Period</w:t>
      </w:r>
      <w:r>
        <w:rPr>
          <w:rFonts w:ascii="Times New Roman" w:cs="Times New Roman" w:eastAsia="Times New Roman" w:hAnsi="Times New Roman"/>
          <w:sz w:val="18"/>
          <w:szCs w:val="18"/>
          <w:color w:val="auto"/>
        </w:rPr>
        <w:t xml:space="preserve">. All persons subject to this policy, as well as their family members and/or controlled entities, may not conduct any transactions involving Arm securities (other than as specified by this policy), during a restricted period beginning ten trading days prior to the end of each fiscal quarter and ending upon the completion of the second full trading day following the date of the public release of the company’s earnings results for that quarter. For example, if Arm publicly releases its earnings results on a Monday, the first time you can buy or sell Arm securities is the opening of the market on Thursday </w:t>
      </w:r>
      <w:r>
        <w:rPr>
          <w:rFonts w:ascii="Times New Roman" w:cs="Times New Roman" w:eastAsia="Times New Roman" w:hAnsi="Times New Roman"/>
          <w:sz w:val="18"/>
          <w:szCs w:val="18"/>
          <w:color w:val="212536"/>
        </w:rPr>
        <w:t>(assuming you are not aware of other material nonpublic information at that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4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Event-Specific Restricted Periods</w:t>
      </w:r>
      <w:r>
        <w:rPr>
          <w:rFonts w:ascii="Times New Roman" w:cs="Times New Roman" w:eastAsia="Times New Roman" w:hAnsi="Times New Roman"/>
          <w:sz w:val="18"/>
          <w:szCs w:val="18"/>
          <w:color w:val="auto"/>
        </w:rPr>
        <w:t>. Occasionally, an event may occur (or be probable to occur) that is material to Arm and is known by only a limited number of directors, officers, employees, contractors or consultants. So long as the event remains material and nonpublic, the persons designated by the Chief Legal Officer, as communicated by the Compliance Team, may not trade Arm securities. In addition, Arm’s financial results may be sufficiently material in a particular fiscal quarter that, in the judgment of the Chief Legal Officer, as communicated by the Compliance Team, designated persons must refrain from trading in Arm securities during a period that commences even earlier than the commencement of the quarterly trading restricted period or ends even later than the expiration of the quarterly trading restricted period. In that situation, the Compliance Team may notify these persons that they may not trade in Arm securities until the Compliance Team subsequently notifies such person that the event-specific restricted period has ended, but shall not disclose the reason for the event-specific restriction on trading. The existence of an event-specific restricted period, including the extension of a quarterly trading restricted period, will not be announced to the company as a whole and should not be communicated to any other person. Even if the Chief Legal Officer, as communicated by the Compliance Team, has not designated you as a person who should not trade during an event-specific restricted period, you should not trade while aware of material nonpublic information. Exceptions to this policy will not be granted during an event-specific restricted period.</w:t>
      </w:r>
    </w:p>
    <w:p>
      <w:pPr>
        <w:spacing w:after="0" w:line="190" w:lineRule="exact"/>
        <w:rPr>
          <w:sz w:val="20"/>
          <w:szCs w:val="20"/>
          <w:color w:val="auto"/>
        </w:rPr>
      </w:pPr>
    </w:p>
    <w:p>
      <w:pPr>
        <w:jc w:val="both"/>
        <w:ind w:left="440"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quarterly trading restrictions and event-specific trading restrictions do not apply to those transactions to which this policy does not apply, as described above under the heading “Exceptions to Insider Trading Policy and Trading Restrictions.” Further, the requirement for pre-clearance, the quarterly trading restrictions and event-specific trading restrictions do not apply to transactions conducted pursuant to pre-approved Rule 10b5-1 plans, described under the heading “Rule 10b5-1 Plans,”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Procedures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No person identified in the table below may engage in transactions involving Arm securities without obtaining pre-clearance from the appropriate approval party in accordance with this policy. It is important to note that compliance with these additional procedures, including obtaining pre-clearance, does not insulate such party from insider trading liability. If a person subject to this policy obtains pre-clearance, such party must still make the determination that such person is not in possession of material nonpublic information when the trade is made, that the trade does not have the appearance of impropriety, and that the trade is not in violation of the insider trading and other applicable laws.</w:t>
      </w:r>
    </w:p>
    <w:p>
      <w:pPr>
        <w:spacing w:after="0" w:line="183"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Approval Parties.</w:t>
      </w:r>
      <w:r>
        <w:rPr>
          <w:rFonts w:ascii="Times New Roman" w:cs="Times New Roman" w:eastAsia="Times New Roman" w:hAnsi="Times New Roman"/>
          <w:sz w:val="18"/>
          <w:szCs w:val="18"/>
          <w:color w:val="auto"/>
        </w:rPr>
        <w:t xml:space="preserve"> The persons subject to this policy that are identified in the following table may not engage in any transaction in Arm securities without first obtaining pre-clearance of the transaction in accordance with the following:</w:t>
      </w:r>
    </w:p>
    <w:p>
      <w:pPr>
        <w:spacing w:after="0" w:line="187" w:lineRule="exact"/>
        <w:rPr>
          <w:sz w:val="20"/>
          <w:szCs w:val="20"/>
          <w:color w:val="auto"/>
        </w:rPr>
      </w:pPr>
    </w:p>
    <w:tbl>
      <w:tblPr>
        <w:tblLayout w:type="fixed"/>
        <w:tblInd w:w="450" w:type="dxa"/>
        <w:tblCellMar>
          <w:top w:w="0" w:type="dxa"/>
          <w:left w:w="0" w:type="dxa"/>
          <w:bottom w:w="0" w:type="dxa"/>
          <w:right w:w="0" w:type="dxa"/>
        </w:tblCellMar>
      </w:tblPr>
      <w:tr>
        <w:trPr>
          <w:trHeight w:val="257"/>
        </w:trPr>
        <w:tc>
          <w:tcPr>
            <w:tcW w:w="5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Person or Entity Subject to Pre-Clearance</w:t>
            </w:r>
          </w:p>
        </w:tc>
        <w:tc>
          <w:tcPr>
            <w:tcW w:w="54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Approval Party</w:t>
            </w:r>
          </w:p>
        </w:tc>
      </w:tr>
      <w:tr>
        <w:trPr>
          <w:trHeight w:val="40"/>
        </w:trPr>
        <w:tc>
          <w:tcPr>
            <w:tcW w:w="5400" w:type="dxa"/>
            <w:vAlign w:val="bottom"/>
            <w:tcBorders>
              <w:left w:val="single" w:sz="8" w:color="auto"/>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18"/>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Members of the Board (other than the Audit Committee Chairperson)</w:t>
            </w: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Audit Committee Chairperson</w:t>
            </w:r>
          </w:p>
        </w:tc>
      </w:tr>
      <w:tr>
        <w:trPr>
          <w:trHeight w:val="234"/>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the Chief Executive Officer</w:t>
            </w:r>
          </w:p>
        </w:tc>
        <w:tc>
          <w:tcPr>
            <w:tcW w:w="5420" w:type="dxa"/>
            <w:vAlign w:val="bottom"/>
            <w:tcBorders>
              <w:right w:val="single" w:sz="8" w:color="auto"/>
            </w:tcBorders>
          </w:tcPr>
          <w:p>
            <w:pPr>
              <w:spacing w:after="0"/>
              <w:rPr>
                <w:sz w:val="20"/>
                <w:szCs w:val="20"/>
                <w:color w:val="auto"/>
              </w:rPr>
            </w:pPr>
          </w:p>
        </w:tc>
      </w:tr>
      <w:tr>
        <w:trPr>
          <w:trHeight w:val="243"/>
        </w:trPr>
        <w:tc>
          <w:tcPr>
            <w:tcW w:w="5400" w:type="dxa"/>
            <w:vAlign w:val="bottom"/>
            <w:tcBorders>
              <w:left w:val="single" w:sz="8" w:color="auto"/>
              <w:bottom w:val="single" w:sz="8" w:color="auto"/>
              <w:right w:val="single" w:sz="8" w:color="auto"/>
            </w:tcBorders>
          </w:tcPr>
          <w:p>
            <w:pPr>
              <w:spacing w:after="0"/>
              <w:rPr>
                <w:sz w:val="21"/>
                <w:szCs w:val="21"/>
                <w:color w:val="auto"/>
              </w:rPr>
            </w:pPr>
          </w:p>
        </w:tc>
        <w:tc>
          <w:tcPr>
            <w:tcW w:w="5420" w:type="dxa"/>
            <w:vAlign w:val="bottom"/>
            <w:tcBorders>
              <w:bottom w:val="single" w:sz="8" w:color="auto"/>
              <w:right w:val="single" w:sz="8" w:color="auto"/>
            </w:tcBorders>
          </w:tcPr>
          <w:p>
            <w:pPr>
              <w:spacing w:after="0"/>
              <w:rPr>
                <w:sz w:val="21"/>
                <w:szCs w:val="21"/>
                <w:color w:val="auto"/>
              </w:rPr>
            </w:pPr>
          </w:p>
        </w:tc>
      </w:tr>
      <w:tr>
        <w:trPr>
          <w:trHeight w:val="237"/>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0"/>
        </w:trPr>
        <w:tc>
          <w:tcPr>
            <w:tcW w:w="5400" w:type="dxa"/>
            <w:vAlign w:val="bottom"/>
            <w:tcBorders>
              <w:left w:val="single" w:sz="8" w:color="auto"/>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60"/>
          </w:cols>
          <w:pgMar w:left="320" w:top="1417" w:right="319" w:bottom="1440" w:gutter="0" w:footer="0" w:header="0"/>
        </w:sectPr>
      </w:pPr>
    </w:p>
    <w:bookmarkStart w:id="509" w:name="page510"/>
    <w:bookmarkEnd w:id="509"/>
    <w:p>
      <w:pPr>
        <w:spacing w:after="0" w:line="3" w:lineRule="exact"/>
        <w:rPr>
          <w:sz w:val="20"/>
          <w:szCs w:val="20"/>
          <w:color w:val="auto"/>
        </w:rPr>
      </w:pPr>
    </w:p>
    <w:tbl>
      <w:tblPr>
        <w:tblLayout w:type="fixed"/>
        <w:tblInd w:w="450" w:type="dxa"/>
        <w:tblCellMar>
          <w:top w:w="0" w:type="dxa"/>
          <w:left w:w="0" w:type="dxa"/>
          <w:bottom w:w="0" w:type="dxa"/>
          <w:right w:w="0" w:type="dxa"/>
        </w:tblCellMar>
      </w:tblPr>
      <w:tr>
        <w:trPr>
          <w:trHeight w:val="238"/>
        </w:trPr>
        <w:tc>
          <w:tcPr>
            <w:tcW w:w="5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Officers and Executive Committee (other than the Chief Executive</w:t>
            </w:r>
          </w:p>
        </w:tc>
        <w:tc>
          <w:tcPr>
            <w:tcW w:w="54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234"/>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 and Employees at or above Grade 9</w:t>
            </w:r>
          </w:p>
        </w:tc>
        <w:tc>
          <w:tcPr>
            <w:tcW w:w="5420" w:type="dxa"/>
            <w:vAlign w:val="bottom"/>
            <w:tcBorders>
              <w:right w:val="single" w:sz="8" w:color="auto"/>
            </w:tcBorders>
          </w:tcPr>
          <w:p>
            <w:pPr>
              <w:spacing w:after="0"/>
              <w:rPr>
                <w:sz w:val="20"/>
                <w:szCs w:val="20"/>
                <w:color w:val="auto"/>
              </w:rPr>
            </w:pPr>
          </w:p>
        </w:tc>
      </w:tr>
      <w:tr>
        <w:trPr>
          <w:trHeight w:val="243"/>
        </w:trPr>
        <w:tc>
          <w:tcPr>
            <w:tcW w:w="5400" w:type="dxa"/>
            <w:vAlign w:val="bottom"/>
            <w:tcBorders>
              <w:left w:val="single" w:sz="8" w:color="auto"/>
              <w:bottom w:val="single" w:sz="8" w:color="auto"/>
              <w:right w:val="single" w:sz="8" w:color="auto"/>
            </w:tcBorders>
          </w:tcPr>
          <w:p>
            <w:pPr>
              <w:spacing w:after="0"/>
              <w:rPr>
                <w:sz w:val="21"/>
                <w:szCs w:val="21"/>
                <w:color w:val="auto"/>
              </w:rPr>
            </w:pPr>
          </w:p>
        </w:tc>
        <w:tc>
          <w:tcPr>
            <w:tcW w:w="5420" w:type="dxa"/>
            <w:vAlign w:val="bottom"/>
            <w:tcBorders>
              <w:bottom w:val="single" w:sz="8" w:color="auto"/>
              <w:right w:val="single" w:sz="8" w:color="auto"/>
            </w:tcBorders>
          </w:tcPr>
          <w:p>
            <w:pPr>
              <w:spacing w:after="0"/>
              <w:rPr>
                <w:sz w:val="21"/>
                <w:szCs w:val="21"/>
                <w:color w:val="auto"/>
              </w:rPr>
            </w:pPr>
          </w:p>
        </w:tc>
      </w:tr>
      <w:tr>
        <w:trPr>
          <w:trHeight w:val="237"/>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Compliance Officer</w:t>
            </w: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1"/>
        </w:trPr>
        <w:tc>
          <w:tcPr>
            <w:tcW w:w="5400" w:type="dxa"/>
            <w:vAlign w:val="bottom"/>
            <w:tcBorders>
              <w:left w:val="single" w:sz="8" w:color="auto"/>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Designated persons on insider lists</w:t>
            </w: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40"/>
        </w:trPr>
        <w:tc>
          <w:tcPr>
            <w:tcW w:w="5400" w:type="dxa"/>
            <w:vAlign w:val="bottom"/>
            <w:tcBorders>
              <w:left w:val="single" w:sz="8" w:color="auto"/>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bl>
    <w:p>
      <w:pPr>
        <w:spacing w:after="0" w:line="319" w:lineRule="exact"/>
        <w:rPr>
          <w:sz w:val="20"/>
          <w:szCs w:val="20"/>
          <w:color w:val="auto"/>
        </w:rPr>
      </w:pPr>
    </w:p>
    <w:p>
      <w:pPr>
        <w:jc w:val="both"/>
        <w:ind w:left="440"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Request Form</w:t>
      </w:r>
      <w:r>
        <w:rPr>
          <w:rFonts w:ascii="Times New Roman" w:cs="Times New Roman" w:eastAsia="Times New Roman" w:hAnsi="Times New Roman"/>
          <w:sz w:val="18"/>
          <w:szCs w:val="18"/>
          <w:color w:val="auto"/>
        </w:rPr>
        <w:t>. A request for pre-clearance, which shall be submitted in the company’s approved form of pre-clearance request attached to this policy as Exhibit A, including a certification that such person is not in possession of material nonpublic information, should be submitted to the applicable approval party noted above at least 48 hours in advance of the proposed transaction. The applicable approval party is under no obligation to approve a transaction submitted for pre-clearance and may determine not to permit the transaction in the approval party’s discretion. If a person that seeks pre-clearance and permission to engage in the transaction is denied, then such person must refrain from initiating any transaction in Arm securities and should not inform any other person of the fact that the pre-clearance request was denied.</w:t>
      </w:r>
    </w:p>
    <w:p>
      <w:pPr>
        <w:spacing w:after="0" w:line="214" w:lineRule="exact"/>
        <w:rPr>
          <w:sz w:val="20"/>
          <w:szCs w:val="20"/>
          <w:color w:val="auto"/>
        </w:rPr>
      </w:pPr>
    </w:p>
    <w:p>
      <w:pPr>
        <w:jc w:val="both"/>
        <w:ind w:left="440"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Pre-Cleared Transactions</w:t>
      </w:r>
      <w:r>
        <w:rPr>
          <w:rFonts w:ascii="Times New Roman" w:cs="Times New Roman" w:eastAsia="Times New Roman" w:hAnsi="Times New Roman"/>
          <w:sz w:val="18"/>
          <w:szCs w:val="18"/>
          <w:color w:val="auto"/>
        </w:rPr>
        <w:t>. Pre-cleared transactions must be completed within five trading days following receipt of the pre-clearance (unless a specific exception has been granted by the applicable approval party). A pre-cleared transaction, or any portion of a pre-cleared transaction that has not been completed during such period, must be pre-cleared again prior to execution. All pre-cleared transactions will be reported to and overseen by the Compliance Officer.</w:t>
      </w:r>
    </w:p>
    <w:p>
      <w:pPr>
        <w:spacing w:after="0" w:line="180"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Notwithstanding receipt of pre-clearance, if, before the transaction is completed, the person who received the pre-clearance becomes aware of material nonpublic information or becomes subject to a restricted period described above in “Special Trading Restrictions,” then the transaction cannot be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Rule 10b5-1 under the Securities Exchange Act of 1934 provides a defense from insider trading liability under Rule 10b-5. In order to be eligible to rely on this defense, a person subject to this policy must enter into a Rule 10b5-1 plan for transactions involving Arm securities that meets certain conditions specified in Rule 10b5-1. Transactions involving Arm securities that are effected pursuant to a Rule 10b5-1 plan may occur even when the person who has entered into the plan is aware of material nonpublic information. To comply with this policy, a pre-approved Rule 10b5-1 plan must be approved by the Chief Legal Officer and satisfy the requirements of Rule 10b5-1 and the company’s “Guidelines for Rule 10b5-1 Plans,” attached to this policy as Exhibit 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involving Arm securities even after termination of service to, or a relationship with the company. If a person is in possession of material nonpublic information when such person’s service or relationship terminates, that person may not trade in Arm securities until that information has become public or is no longer material. If a person subject to a quarterly trading restricted period or an event-specific restricted period leaves the company during that restricted period, they will continue to be subject to the applicable restricted period for the remainder of that restricted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Assistance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Compliance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send them by email to insidertrading@arm.com.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persons subject to this policy must certify their understanding of, and intent to comply with, this policy.</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60"/>
          </w:cols>
          <w:pgMar w:left="320" w:top="1440" w:right="319" w:bottom="1440" w:gutter="0" w:footer="0" w:header="0"/>
          <w:type w:val="continuous"/>
        </w:sectPr>
      </w:pPr>
    </w:p>
    <w:bookmarkStart w:id="510" w:name="page511"/>
    <w:bookmarkEnd w:id="510"/>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certify that:</w:t>
      </w:r>
    </w:p>
    <w:p>
      <w:pPr>
        <w:spacing w:after="0" w:line="225" w:lineRule="exact"/>
        <w:rPr>
          <w:sz w:val="20"/>
          <w:szCs w:val="20"/>
          <w:color w:val="auto"/>
        </w:rPr>
      </w:pPr>
    </w:p>
    <w:p>
      <w:pPr>
        <w:ind w:left="980" w:hanging="324"/>
        <w:spacing w:after="0" w:line="282" w:lineRule="auto"/>
        <w:tabs>
          <w:tab w:leader="none" w:pos="9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Arm Holdings plc Insider Trading Policy. I understand that the Compliance Team is available to answer any questions I have regarding the policy.</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13 September 2023, or such shorter period of time that I have been an officer, director, employee, contractor, or consultant of the company, I have complied with the policy.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continue to comply with the policy for as long as I am subject to the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w:t>
      </w:r>
    </w:p>
    <w:p>
      <w:pPr>
        <w:sectPr>
          <w:pgSz w:w="11900" w:h="16838" w:orient="portrait"/>
          <w:cols w:equalWidth="0" w:num="1">
            <w:col w:w="11000"/>
          </w:cols>
          <w:pgMar w:left="320" w:top="1440" w:right="579" w:bottom="1440" w:gutter="0" w:footer="0" w:header="0"/>
        </w:sectPr>
      </w:pPr>
    </w:p>
    <w:bookmarkStart w:id="511" w:name="page512"/>
    <w:bookmarkEnd w:id="5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Pre-Clearance Request and Certification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pre-clearance approval process normally takes two trading days, although individual circumstances may require additional time and you may not receive approval to trade at the time or price that you wanted. Arm will not indemnify you for any changes in the stock price as a result of the timing of your pre-clearance. If your trade is pre-cleared, the pre-clearance approval will be valid for five trading days. If you do not execute your trade within that five trading-day window, you will have to obtain a new pre-clearance approval prior to execution.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ARM HOLDINGS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PRE-CLEARANCE REQUEST AND CERTIFICATION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0575" cy="2074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0575" cy="207454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PLEASE COMPLETE THE FOLLOWING INFORMATION:</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EMPLOYEE ID (if applicable)</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NATURE OF TRANSACTION [INDICATE PURCHASE OR SALE]</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NUMBER OF SHARES OR DOLLAR AMOUNT IN THIS TRANSACTION</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IF THIS IS A SALE: WHAT DATE(S) WERE THESE SHARES ACQUIRED?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HAVE YOU PURCHASED ANY RELEVANT SECURITIES WITHIN THE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PAST SIX MONTHS?</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IF THIS IS A PURCHASE: HAVE YOU SOLD ANY RELEVANT</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SECURITIES?</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ESTIMATED NUMBER OF SHARE HOLDINGS AFTER THIS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TRANSACTION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E-SIGNING THIS FORM, I AM CONFIRMING:</w:t>
      </w:r>
    </w:p>
    <w:p>
      <w:pPr>
        <w:spacing w:after="0" w:line="104" w:lineRule="exact"/>
        <w:rPr>
          <w:sz w:val="20"/>
          <w:szCs w:val="20"/>
          <w:color w:val="auto"/>
        </w:rPr>
      </w:pPr>
    </w:p>
    <w:p>
      <w:pPr>
        <w:ind w:left="660" w:hanging="328"/>
        <w:spacing w:after="0"/>
        <w:tabs>
          <w:tab w:leader="none" w:pos="6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NOT IN POSSESSION OF MATERIAL NON-PUBLIC INFORMATION AT THIS TIME.</w:t>
      </w:r>
    </w:p>
    <w:p>
      <w:pPr>
        <w:spacing w:after="0" w:line="103" w:lineRule="exact"/>
        <w:rPr>
          <w:rFonts w:ascii="Times New Roman" w:cs="Times New Roman" w:eastAsia="Times New Roman" w:hAnsi="Times New Roman"/>
          <w:sz w:val="18"/>
          <w:szCs w:val="18"/>
          <w:color w:val="auto"/>
        </w:rPr>
      </w:pPr>
    </w:p>
    <w:p>
      <w:pPr>
        <w:ind w:left="660" w:right="280" w:hanging="328"/>
        <w:spacing w:after="0" w:line="360" w:lineRule="auto"/>
        <w:tabs>
          <w:tab w:leader="none" w:pos="6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ENTER INTO THE TRANSACTION DESCRIBED ABOVE IF I COME INTO POSSESSION OF MATERIAL NON-PUBLIC INFORMATION.</w:t>
      </w:r>
    </w:p>
    <w:p>
      <w:pPr>
        <w:ind w:left="660" w:hanging="328"/>
        <w:spacing w:after="0"/>
        <w:tabs>
          <w:tab w:leader="none" w:pos="6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ABOVE IS TRUE AND CORRECT AS OF THE DATE HEREOF.</w:t>
      </w:r>
    </w:p>
    <w:p>
      <w:pPr>
        <w:spacing w:after="0" w:line="76" w:lineRule="exact"/>
        <w:rPr>
          <w:rFonts w:ascii="Times New Roman" w:cs="Times New Roman" w:eastAsia="Times New Roman" w:hAnsi="Times New Roman"/>
          <w:sz w:val="18"/>
          <w:szCs w:val="18"/>
          <w:color w:val="auto"/>
        </w:rPr>
      </w:pPr>
    </w:p>
    <w:p>
      <w:pPr>
        <w:ind w:left="660" w:right="80" w:hanging="328"/>
        <w:spacing w:after="0" w:line="299" w:lineRule="exact"/>
        <w:tabs>
          <w:tab w:leader="none" w:pos="66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CLEARANCE GIVEN WILL BE VALID FOR FIVE (5) TRADING DAYS ONLY, AND I WILL NEED TO SUBMIT A NEW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CLEARANCE REQUEST AND CERTIFICATION PRIOR TO EXECUTING THE TRADE IF I DO NOT TRADE WITHIN THE FIVE (5) TRADING-DAY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w:t>
      </w:r>
    </w:p>
    <w:p>
      <w:pPr>
        <w:sectPr>
          <w:pgSz w:w="11900" w:h="16838" w:orient="portrait"/>
          <w:cols w:equalWidth="0" w:num="1">
            <w:col w:w="11240"/>
          </w:cols>
          <w:pgMar w:left="320" w:top="1413" w:right="339" w:bottom="1440" w:gutter="0" w:footer="0" w:header="0"/>
        </w:sectPr>
      </w:pPr>
    </w:p>
    <w:bookmarkStart w:id="512" w:name="page513"/>
    <w:bookmarkEnd w:id="512"/>
    <w:p>
      <w:pPr>
        <w:spacing w:after="0" w:line="3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ONCE YOU SUBMIT THIS REQUEST, IT WILL BE ROUTED TO THE OFFICE OF ETHICS AND COMPLIANCE FOR REVIEW AND FORWARDED TO ANY FURTHER APPROVING PARTIES REQUIRED BY THIS POLICY. PLEASE EXPECT TO RECEIVE A RESPONSE WITHIN TWO (2) TRADING DAYS. IF YOU HAVE ANY QUESTIONS REGARDING THIS REQUEST AND WOULD LIKE TO SPEAK WITH SOMEONE FIRST, PLEASE REACH OUT TO insidertrading@arm.com.</w:t>
      </w:r>
    </w:p>
    <w:p>
      <w:pPr>
        <w:sectPr>
          <w:pgSz w:w="11900" w:h="16838" w:orient="portrait"/>
          <w:cols w:equalWidth="0" w:num="1">
            <w:col w:w="11240"/>
          </w:cols>
          <w:pgMar w:left="320" w:top="1440" w:right="339" w:bottom="1440" w:gutter="0" w:footer="0" w:header="0"/>
        </w:sectPr>
      </w:pPr>
    </w:p>
    <w:bookmarkStart w:id="513" w:name="page514"/>
    <w:bookmarkEnd w:id="5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Guidelines for Rule 10b5-1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Rule 10b5-1(c) under the Securities Exchange Act of 1934, as amended, provides for an affirmative defense against insider trading liability if a trade occurs pursuant to a pre-arranged “trading plan” that meets specified conditions. Specifically, if a purchase or sale is made pursuant to a trading plan that complies with the conditions in Rule 10b5-1(c), as described below, the trade will not be deemed to be made on the basis of material nonpublic information, and therefore will not violate insider trading laws. Trading plans can be established for a single trade or a series of trades. Because Rule 10b5-1(c) is complex, Arm recommends that you work with a broker and fully understand the limitations and conditions of the rule before establishing a plan.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Arm Holdings plc has adopted a written Insider Trading Policy, to which these guidelines for Rule 10b5-1 plans are an attachment, containing certain basic principles and policies concerning the trading by officers, directors and employees of Arm in the securities of the company. These guidelines set forth Arm’s policy concerning Rule 10b5-1 pre-planned trading programs by its directors, officers and employees. All capitalized terms used but not defined in these guidelines have the same meanings provided for in the Insider Trading Policy.</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specified in the Insider Trading Policy, a Rule 10b5-1 plan must be approved by the Chief Legal Officer and meet the requirements of Rule 10b5-1 and these guidelines. Any Rule 10b5-1 plan (or the modification or termination of any existing Rule 10b5-1 plan) must be well documented and submitted for approval ten trading days prior to the entry into the Rule 10b5-1 plan. Arm reserves the right not to approve any proposed Rule 10b5-1 plan (or the modification of any existing Rule 10b5-1 plan) unless it meets the requirements of Rule 10b5-1 and these guidelines, as well as such additional terms and conditions as the company may require from time to time. No further pre-approval of transactions conducted pursuant to the Rule 10b5-1 plan will be required.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25" w:lineRule="exact"/>
        <w:rPr>
          <w:sz w:val="20"/>
          <w:szCs w:val="20"/>
          <w:color w:val="auto"/>
        </w:rPr>
      </w:pPr>
    </w:p>
    <w:p>
      <w:pPr>
        <w:ind w:left="980" w:right="540" w:hanging="324"/>
        <w:spacing w:after="0" w:line="282" w:lineRule="auto"/>
        <w:tabs>
          <w:tab w:leader="none" w:pos="97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modify or terminate a Rule 10b5-1 plan during a restricted period or otherwise while you are aware of material nonpublic information.</w:t>
      </w:r>
    </w:p>
    <w:p>
      <w:pPr>
        <w:spacing w:after="0" w:line="16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(1) specify the amount, price and date of the transactions; (2) include a written formula, algorithm or computer program for determining amounts, prices and dates for the transactions; or (3) not permit the person to exercise any subsequent influence over how, when or whether to make purchases or sales (and any other person exercising such influence under the Rule 10b5-1 plan must not be aware of material nonpublic information when doing so).</w:t>
      </w:r>
    </w:p>
    <w:p>
      <w:pPr>
        <w:spacing w:after="0" w:line="206"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and directors, no transaction may take place under a Rule 10b5-1 plan until the later of (a) 90 days after adoption or modification of the Rule 10b5-1 plan or (b) two trading days following the disclosure of Arm’s financial results in a current report for the fiscal quarter (or annual report on Form 20-F for the fourth fiscal quarter) in which the Rule 10b5-1 plan was adopted or modified (but in any event, the required cooling-off period is subject to a maximum of 120 days after adoption or modification of the Rule 10b5-1 plan).</w:t>
      </w:r>
    </w:p>
    <w:p>
      <w:pPr>
        <w:spacing w:after="0" w:line="179" w:lineRule="exact"/>
        <w:rPr>
          <w:rFonts w:ascii="Times New Roman" w:cs="Times New Roman" w:eastAsia="Times New Roman" w:hAnsi="Times New Roman"/>
          <w:sz w:val="18"/>
          <w:szCs w:val="18"/>
          <w:color w:val="auto"/>
        </w:rPr>
      </w:pPr>
    </w:p>
    <w:p>
      <w:pPr>
        <w:ind w:left="98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other than officers and directors, no transaction may take place under a Rule 10b5-1 plan until 30 days following the adoption or modification of a Rule 10b5-1 plan.</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may not enter into more than one Rule 10b5-1 plan at the same time.</w:t>
      </w:r>
    </w:p>
    <w:p>
      <w:pPr>
        <w:sectPr>
          <w:pgSz w:w="11900" w:h="16838" w:orient="portrait"/>
          <w:cols w:equalWidth="0" w:num="1">
            <w:col w:w="11240"/>
          </w:cols>
          <w:pgMar w:left="320" w:top="1413" w:right="339" w:bottom="1440" w:gutter="0" w:footer="0" w:header="0"/>
        </w:sectPr>
      </w:pPr>
    </w:p>
    <w:bookmarkStart w:id="514" w:name="page515"/>
    <w:bookmarkEnd w:id="514"/>
    <w:p>
      <w:pPr>
        <w:ind w:left="980" w:hanging="324"/>
        <w:spacing w:after="0" w:line="282" w:lineRule="auto"/>
        <w:tabs>
          <w:tab w:leader="none" w:pos="97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are limited to only one Rule 10b5-1 plan designed to effect an open market purchase or sale of the total amount of securities subject to the Rule 10b5-1 plan as a single transaction in any 12-month period.</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Officers and directors must include a representation in the Rule 10b5-1 plan certifying that, on the date of adoption or modification of the plan</w:t>
      </w:r>
    </w:p>
    <w:p>
      <w:pPr>
        <w:spacing w:after="0" w:line="38" w:lineRule="exact"/>
        <w:rPr>
          <w:rFonts w:ascii="Times New Roman" w:cs="Times New Roman" w:eastAsia="Times New Roman" w:hAnsi="Times New Roman"/>
          <w:sz w:val="17"/>
          <w:szCs w:val="17"/>
          <w:color w:val="auto"/>
        </w:rPr>
      </w:pPr>
    </w:p>
    <w:p>
      <w:pPr>
        <w:ind w:left="980"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person is not aware of material nonpublic information about Arm or its securities and (ii) the person is adopting the trading plan in good faith and not as part of plan or scheme to evade the prohibitions of Rule 10b-5.</w:t>
      </w:r>
    </w:p>
    <w:p>
      <w:pPr>
        <w:spacing w:after="0" w:line="18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Arm and its officers and directors must make certain disclosures in SEC filings concerning Rule 10b5-1 plans and certain material terms. Officers and directors of Arm must undertake to provide any information requested by the company regarding Rule 10b5-1 plans for the purpose of providing the required disclosures or any other disclosures that the company deems to be appropriate under the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questions arise, such person should consult with their own counsel in implementing a Rule 10b5-1 plan.</w:t>
      </w:r>
    </w:p>
    <w:p>
      <w:pPr>
        <w:sectPr>
          <w:pgSz w:w="11900" w:h="16838" w:orient="portrait"/>
          <w:cols w:equalWidth="0" w:num="1">
            <w:col w:w="11220"/>
          </w:cols>
          <w:pgMar w:left="320" w:top="1417" w:right="359" w:bottom="1440" w:gutter="0" w:footer="0" w:header="0"/>
        </w:sectPr>
      </w:pPr>
    </w:p>
    <w:bookmarkStart w:id="515" w:name="page516"/>
    <w:bookmarkEnd w:id="51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 Haas, certify that:</w:t>
      </w:r>
    </w:p>
    <w:p>
      <w:pPr>
        <w:spacing w:after="0" w:line="252" w:lineRule="exact"/>
        <w:rPr>
          <w:sz w:val="20"/>
          <w:szCs w:val="20"/>
          <w:color w:val="auto"/>
        </w:rPr>
      </w:pPr>
    </w:p>
    <w:p>
      <w:pPr>
        <w:ind w:left="340" w:hanging="332"/>
        <w:spacing w:after="0"/>
        <w:tabs>
          <w:tab w:leader="none" w:pos="3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Arm Holdings plc;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ind w:left="20"/>
        <w:spacing w:after="0"/>
        <w:tabs>
          <w:tab w:leader="none" w:pos="96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2024</w:t>
      </w:r>
      <w:r>
        <w:rPr>
          <w:sz w:val="20"/>
          <w:szCs w:val="20"/>
          <w:color w:val="auto"/>
        </w:rPr>
        <w:tab/>
      </w:r>
      <w:r>
        <w:rPr>
          <w:rFonts w:ascii="Times New Roman" w:cs="Times New Roman" w:eastAsia="Times New Roman" w:hAnsi="Times New Roman"/>
          <w:sz w:val="18"/>
          <w:szCs w:val="18"/>
          <w:color w:val="auto"/>
        </w:rPr>
        <w:t>By: /s/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Rene Haas</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516" w:name="page517"/>
    <w:bookmarkEnd w:id="51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Child, certify that:</w:t>
      </w:r>
    </w:p>
    <w:p>
      <w:pPr>
        <w:spacing w:after="0" w:line="252" w:lineRule="exact"/>
        <w:rPr>
          <w:sz w:val="20"/>
          <w:szCs w:val="20"/>
          <w:color w:val="auto"/>
        </w:rPr>
      </w:pPr>
    </w:p>
    <w:p>
      <w:pPr>
        <w:ind w:left="340" w:hanging="332"/>
        <w:spacing w:after="0"/>
        <w:tabs>
          <w:tab w:leader="none" w:pos="34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Arm Holdings plc;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ind w:left="20"/>
        <w:spacing w:after="0"/>
        <w:tabs>
          <w:tab w:leader="none" w:pos="96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2024</w:t>
      </w:r>
      <w:r>
        <w:rPr>
          <w:sz w:val="20"/>
          <w:szCs w:val="20"/>
          <w:color w:val="auto"/>
        </w:rPr>
        <w:tab/>
      </w:r>
      <w:r>
        <w:rPr>
          <w:rFonts w:ascii="Times New Roman" w:cs="Times New Roman" w:eastAsia="Times New Roman" w:hAnsi="Times New Roman"/>
          <w:sz w:val="18"/>
          <w:szCs w:val="18"/>
          <w:color w:val="auto"/>
        </w:rPr>
        <w:t>By: /s/ Jason 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Jason Child</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4" w:right="339" w:bottom="1440" w:gutter="0" w:footer="0" w:header="0"/>
        </w:sectPr>
      </w:pPr>
    </w:p>
    <w:bookmarkStart w:id="517" w:name="page518"/>
    <w:bookmarkEnd w:id="51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35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Arm Holdings plc (the “Company”) on Form 20-F for the fiscal year ended March 31, 2024, as filed with the Securities and Exchange Commission on the date hereof (the “Report”), the undersigned certify, pursuant to 18 U.S.C. § 1350, as adopted pursuant to Section 906 of the Sarbanes-Oxley Act of 2002, in their capacity as officers of the Company that, to their knowledge:</w:t>
      </w:r>
    </w:p>
    <w:p>
      <w:pPr>
        <w:spacing w:after="0" w:line="176" w:lineRule="exact"/>
        <w:rPr>
          <w:sz w:val="20"/>
          <w:szCs w:val="20"/>
          <w:color w:val="auto"/>
        </w:rPr>
      </w:pPr>
    </w:p>
    <w:p>
      <w:pPr>
        <w:ind w:left="660" w:hanging="328"/>
        <w:spacing w:after="0"/>
        <w:tabs>
          <w:tab w:leader="none" w:pos="66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96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2024</w:t>
      </w:r>
      <w:r>
        <w:rPr>
          <w:sz w:val="20"/>
          <w:szCs w:val="20"/>
          <w:color w:val="auto"/>
        </w:rPr>
        <w:tab/>
      </w:r>
      <w:r>
        <w:rPr>
          <w:rFonts w:ascii="Times New Roman" w:cs="Times New Roman" w:eastAsia="Times New Roman" w:hAnsi="Times New Roman"/>
          <w:sz w:val="18"/>
          <w:szCs w:val="18"/>
          <w:color w:val="auto"/>
        </w:rPr>
        <w:t>By: /s/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Rene Haas</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Jason 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Jason Child</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518" w:name="page519"/>
    <w:bookmarkEnd w:id="518"/>
    <w:p>
      <w:pPr>
        <w:ind w:left="1032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ind w:firstLine="324"/>
        <w:spacing w:after="0" w:line="288"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the Registration Statement No. 333-274544 on Form S-8 of our report dated May 29, 2024, relating to the financial statements of </w:t>
      </w:r>
      <w:r>
        <w:rPr>
          <w:rFonts w:ascii="Times New Roman" w:cs="Times New Roman" w:eastAsia="Times New Roman" w:hAnsi="Times New Roman"/>
          <w:sz w:val="19"/>
          <w:szCs w:val="19"/>
          <w:color w:val="auto"/>
        </w:rPr>
        <w:t>Arm Holdings plc</w:t>
      </w:r>
      <w:r>
        <w:rPr>
          <w:rFonts w:ascii="Times New Roman" w:cs="Times New Roman" w:eastAsia="Times New Roman" w:hAnsi="Times New Roman"/>
          <w:sz w:val="18"/>
          <w:szCs w:val="18"/>
          <w:color w:val="auto"/>
        </w:rPr>
        <w:t xml:space="preserve"> appearing in this Annual Report on Form 20-F for the fiscal year ended March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2024</w:t>
      </w:r>
    </w:p>
    <w:p>
      <w:pPr>
        <w:sectPr>
          <w:pgSz w:w="11900" w:h="16838" w:orient="portrait"/>
          <w:cols w:equalWidth="0" w:num="1">
            <w:col w:w="11240"/>
          </w:cols>
          <w:pgMar w:left="320" w:top="117" w:right="339" w:bottom="1440" w:gutter="0" w:footer="0" w:header="0"/>
        </w:sectPr>
      </w:pPr>
    </w:p>
    <w:bookmarkStart w:id="519" w:name="page520"/>
    <w:bookmarkEnd w:id="519"/>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705485</wp:posOffset>
            </wp:positionV>
            <wp:extent cx="891540" cy="291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sets forth the conditions under which Arm Holdings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must seek to recover certain Incentive-Based Compensation received by current or former executive officers, each a Covered Person. Notwithstanding anything to the contrary in any of the Company’s equity, bonus or incentive plans applicable to a Covered Person, or any award agreements under such plans, in the event that the Company is required to prepare a Restatement, the Company will reasonably promptly recover the Recovery Amount from each Covered Person. This policy shall be interpreted in a manner that is consistent with any applicable rules and regulations of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any other applicable law. This policy shall be effective as of November 15, 2023. Capitalized terms herein shall have the meanings ascribed to such terms in the Definitions section below.</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Remuneration Committee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full and final authority to make all determinations required under this policy, and all such determinations shall be final and binding on all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INCENTIVE-BASED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Restatement, the Remuneration Committee will seek recovery of the Recovery Amount. However, the Remuneration Committee may seek to recover more than the Recovery Amount if it decides such action is appropriate. In making such determination, the Remuneration Committee shall consider all relevant facts and circumstances, including whether the Covered Person has engaged in fraud, misconduct or negligent conduct that caused or contributed to the Restatement.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applies to all Incentive-Based Compensation received by a Covered Person on or after October 2, 2023 and during the Recovery Period. Incentive-Based Compensation will be deemed to be received for the purposes of this policy in the fiscal period during which the Financial Reporting Measure specified in the applicable Incentive-Based Compensation award is attained, even if the payment or grant occurs after the end of that period. This policy does not apply to any Incentive-Based Compensation received before the Company had a class of securities listed on a U.S. national securities exchange.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obligation to recover erroneously awarded Incentive-Based Compensation under this policy is not dependent on when, or if, restated financial statements are filed.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in a reasonably prompt manner, recover the Recovery Amount as determined by the Remuneration Committee, unless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Remuneration Committee determines that recovery is impracticable because:</w:t>
      </w:r>
    </w:p>
    <w:p>
      <w:pPr>
        <w:spacing w:after="0" w:line="9" w:lineRule="exact"/>
        <w:rPr>
          <w:sz w:val="20"/>
          <w:szCs w:val="20"/>
          <w:color w:val="auto"/>
        </w:rPr>
      </w:pPr>
    </w:p>
    <w:p>
      <w:pPr>
        <w:jc w:val="both"/>
        <w:ind w:left="660" w:hanging="328"/>
        <w:spacing w:after="0" w:line="250" w:lineRule="auto"/>
        <w:tabs>
          <w:tab w:leader="none" w:pos="65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to a third party to assist in enforcing this policy would exceed the Recovery Amount, however, the Company must make a reasonable attempt to recover the Recovery Amount before concluding that recovery is impracticable, document such reasonable attempt to recover the Recovery Amount and provide such related documentation to Nasdaq;</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applicable U.K. law adopted prior to November 28, 2022, however, the Company must obtain an opinion of counsel before concluding that recovery is impracticable, acceptable to Nasdaq, that recovery would result in such a violation, and the Company will provide that opinion to Nasdaq; or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applicable requirements of 26 U.S.C. 401(a)(13) or 26 U.S.C. 411(a) and regulations thereunder.</w:t>
      </w:r>
    </w:p>
    <w:p>
      <w:pPr>
        <w:sectPr>
          <w:pgSz w:w="11900" w:h="16838" w:orient="portrait"/>
          <w:cols w:equalWidth="0" w:num="1">
            <w:col w:w="11240"/>
          </w:cols>
          <w:pgMar w:left="320" w:top="117" w:right="339" w:bottom="1440" w:gutter="0" w:footer="0" w:header="0"/>
        </w:sectPr>
      </w:pPr>
    </w:p>
    <w:bookmarkStart w:id="520" w:name="page521"/>
    <w:bookmarkEnd w:id="520"/>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AND ENFORCEMENT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application and enforcement of this policy does not preclude the Company from taking any other action to enforce a Covered Person’s obligations to the Company, including termination of employment or institution of legal proceedings. Nothing in this policy restricts the Company from seeking recovery under any other remuneration recovery policy or any applicable provisions in plans, agreements, awards or other arrangements that contemplate the recovery of remuneration from a Covered Person. If a Covered Person fails to repay the Recovery Amount that is owed to the Company under this policy, the Company shall take all appropriate action to recover such Recovery Amount from the Covered Person, and the Covered Person shall be required to reimburse the Company for all expenses (including legal expenses) incurred by the Company in recovering such Recovery Amount.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policy shall be binding and enforceable against all Covered Persons and their beneficiaries, heirs, executors, administrators and legal representatives. If any provision of this policy or the application of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INDEMNIFICATION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 event will the Company indemnify any Covered Person for any amounts that are recovered under this policy.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LAWS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policy is in addition to (and not in lieu of) any right of repayment, forfeiture or right of offset against any Covered Person that is required pursuant to any statutory repayment requirement (regardless of whether implemented at any time prior to or following the adoption of the Policy), including Section 304 of the Sarbanes-Oxley Act of 2002 that is applicable to the Company’s Chief Executive Officer and Chief Financial Officer. To the extent that the application of this policy would provide for recovery of Incentive-Based Compensation that the Company already recovered pursuant to any such statutory repayment requirement, any such amount recovered from a Covered Person will be credited to any recovery required under this policy in respect of such Covered Person.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TERMINATION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amend or terminate this policy at any time.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Covered Person shall sign and return to the Company, within 30 calendar days following the later of:</w:t>
      </w:r>
    </w:p>
    <w:p>
      <w:pPr>
        <w:spacing w:after="0" w:line="27" w:lineRule="exact"/>
        <w:rPr>
          <w:sz w:val="20"/>
          <w:szCs w:val="20"/>
          <w:color w:val="auto"/>
        </w:rPr>
      </w:pPr>
    </w:p>
    <w:p>
      <w:pPr>
        <w:ind w:left="980" w:hanging="648"/>
        <w:spacing w:after="0"/>
        <w:tabs>
          <w:tab w:leader="none" w:pos="9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this policy first set forth above; or</w:t>
      </w:r>
    </w:p>
    <w:p>
      <w:pPr>
        <w:spacing w:after="0" w:line="9" w:lineRule="exact"/>
        <w:rPr>
          <w:rFonts w:ascii="Times New Roman" w:cs="Times New Roman" w:eastAsia="Times New Roman" w:hAnsi="Times New Roman"/>
          <w:sz w:val="18"/>
          <w:szCs w:val="18"/>
          <w:color w:val="auto"/>
        </w:rPr>
      </w:pPr>
    </w:p>
    <w:p>
      <w:pPr>
        <w:ind w:left="980" w:hanging="648"/>
        <w:spacing w:after="0" w:line="260" w:lineRule="auto"/>
        <w:tabs>
          <w:tab w:leader="none" w:pos="97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the individual becomes a Covered Person, the Acknowledgement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pursuant to which the Covered Person agrees to be bound by, and to comply with, the terms and conditions of this policy.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terms are defined as follows: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means all of the Company’s current and former executive officers. The term executive officer includes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significant policy-making function, or any other person who performs similar policy-making functions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21" w:name="page522"/>
    <w:bookmarkEnd w:id="521"/>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Company’s financial statements or included in a filing with the SEC.</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Incentive-Based Compensation is deemed “received” for purposes of this Policy in the Company’s fiscal period during which the Financial Reporting Measure(s) specified in the Incentive-Based Compensation award is attained, even if the payment or grant of such Incentive-Based Compensation occurs after the end of that period.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Amount</w:t>
      </w:r>
      <w:r>
        <w:rPr>
          <w:rFonts w:ascii="Times New Roman" w:cs="Times New Roman" w:eastAsia="Times New Roman" w:hAnsi="Times New Roman"/>
          <w:sz w:val="18"/>
          <w:szCs w:val="18"/>
          <w:color w:val="auto"/>
        </w:rPr>
        <w:t>” means, in the event of a Restatement, the amount as determined by the Remuneration Committee of Incentive-Based Compensation received by a Covered Person that exceeds the amount of Incentive-Based Compensation that otherwise would have been received had such Incentive-Based Compensation been determined based on the restated amounts, and must be computed without regard to any taxes paid by the relevant Covered Person. For Incentive-Based Compensation based on stock price or total shareholder return, where the amount is not subject to mathematical recalculation directly from the information in a Restatement, the amount must be based on a reasonable estimate of the effect of the Restatement on the stock price or total shareholder return, as applicable, upon which the Incentive-Based Compensation was received, and the Company must maintain documentation of that reasonable estimate and provide such documentation to Nasdaq.</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Period</w:t>
      </w:r>
      <w:r>
        <w:rPr>
          <w:rFonts w:ascii="Times New Roman" w:cs="Times New Roman" w:eastAsia="Times New Roman" w:hAnsi="Times New Roman"/>
          <w:sz w:val="18"/>
          <w:szCs w:val="18"/>
          <w:color w:val="auto"/>
        </w:rPr>
        <w:t>” means, with respect to all Incentive-Based Compensation received by a person:</w:t>
      </w:r>
    </w:p>
    <w:p>
      <w:pPr>
        <w:spacing w:after="0" w:line="27" w:lineRule="exact"/>
        <w:rPr>
          <w:sz w:val="20"/>
          <w:szCs w:val="20"/>
          <w:color w:val="auto"/>
        </w:rPr>
      </w:pPr>
    </w:p>
    <w:p>
      <w:pPr>
        <w:ind w:left="980" w:hanging="648"/>
        <w:spacing w:after="0"/>
        <w:tabs>
          <w:tab w:leader="none" w:pos="9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beginning service as a Covered Person;</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served as a Covered Person at any time during the performance period for the Incentive-Based Compensation;</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 and</w:t>
      </w:r>
    </w:p>
    <w:p>
      <w:pPr>
        <w:spacing w:after="0" w:line="9" w:lineRule="exact"/>
        <w:rPr>
          <w:rFonts w:ascii="Times New Roman" w:cs="Times New Roman" w:eastAsia="Times New Roman" w:hAnsi="Times New Roman"/>
          <w:sz w:val="18"/>
          <w:szCs w:val="18"/>
          <w:color w:val="auto"/>
        </w:rPr>
      </w:pPr>
    </w:p>
    <w:p>
      <w:pPr>
        <w:jc w:val="both"/>
        <w:ind w:left="980" w:hanging="648"/>
        <w:spacing w:after="0" w:line="255" w:lineRule="auto"/>
        <w:tabs>
          <w:tab w:leader="none" w:pos="97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a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deemed to be required to prepare a Restatement on the earlier of:</w:t>
      </w:r>
    </w:p>
    <w:p>
      <w:pPr>
        <w:spacing w:after="0" w:line="27" w:lineRule="exact"/>
        <w:rPr>
          <w:sz w:val="20"/>
          <w:szCs w:val="20"/>
          <w:color w:val="auto"/>
        </w:rPr>
      </w:pPr>
    </w:p>
    <w:p>
      <w:pPr>
        <w:ind w:left="980" w:hanging="648"/>
        <w:spacing w:after="0" w:line="250" w:lineRule="auto"/>
        <w:tabs>
          <w:tab w:leader="none" w:pos="97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Board, a committee of the Board, or the Company’s officers authorized to take such action if Board action is not required, concludes, or reasonably should have concluded, that the Company is required to prepare a Restatement; or</w:t>
      </w:r>
    </w:p>
    <w:p>
      <w:pPr>
        <w:ind w:left="980" w:hanging="648"/>
        <w:spacing w:after="0"/>
        <w:tabs>
          <w:tab w:leader="none" w:pos="9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court, regulator, or other legally authorized body directs the Company to prepare a Restatement.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any required accounting restatement of the Company’s financial statements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522" w:name="page523"/>
    <w:bookmarkEnd w:id="5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CLAWBACK POLICY ACKNOWLEDGEMENT FORM</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Arm Holdings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the Recovery Amount (as defined in the Policy) to the Company to the extent required by, and in a manner consistent with, the Policy.</w:t>
      </w:r>
    </w:p>
    <w:p>
      <w:pPr>
        <w:spacing w:after="0" w:line="200" w:lineRule="exact"/>
        <w:rPr>
          <w:sz w:val="20"/>
          <w:szCs w:val="20"/>
          <w:color w:val="auto"/>
        </w:rPr>
      </w:pPr>
    </w:p>
    <w:p>
      <w:pPr>
        <w:spacing w:after="0" w:line="3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COVERED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45720</wp:posOffset>
            </wp:positionV>
            <wp:extent cx="23742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43180</wp:posOffset>
            </wp:positionV>
            <wp:extent cx="23742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43180</wp:posOffset>
            </wp:positionV>
            <wp:extent cx="23742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A70B69"/>
    <w:multiLevelType w:val="hybridMultilevel"/>
    <w:lvl w:ilvl="0">
      <w:lvlJc w:val="left"/>
      <w:lvlText w:val="☐"/>
      <w:numFmt w:val="bullet"/>
      <w:start w:val="1"/>
    </w:lvl>
  </w:abstractNum>
  <w:abstractNum w:abstractNumId="1">
    <w:nsid w:val="5953172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7EDFE3A"/>
    <w:multiLevelType w:val="hybridMultilevel"/>
    <w:lvl w:ilvl="0">
      <w:lvlJc w:val="left"/>
      <w:lvlText w:val="†"/>
      <w:numFmt w:val="bullet"/>
      <w:start w:val="1"/>
    </w:lvl>
  </w:abstractNum>
  <w:abstractNum w:abstractNumId="3">
    <w:nsid w:val="52AC7DFF"/>
    <w:multiLevelType w:val="hybridMultilevel"/>
    <w:lvl w:ilvl="0">
      <w:lvlJc w:val="left"/>
      <w:lvlText w:val="•"/>
      <w:numFmt w:val="bullet"/>
      <w:start w:val="1"/>
    </w:lvl>
  </w:abstractNum>
  <w:abstractNum w:abstractNumId="4">
    <w:nsid w:val="C4C3AF"/>
    <w:multiLevelType w:val="hybridMultilevel"/>
    <w:lvl w:ilvl="0">
      <w:lvlJc w:val="left"/>
      <w:lvlText w:val="•"/>
      <w:numFmt w:val="bullet"/>
      <w:start w:val="1"/>
    </w:lvl>
  </w:abstractNum>
  <w:abstractNum w:abstractNumId="5">
    <w:nsid w:val="44380727"/>
    <w:multiLevelType w:val="hybridMultilevel"/>
    <w:lvl w:ilvl="0">
      <w:lvlJc w:val="left"/>
      <w:lvlText w:val="%1."/>
      <w:numFmt w:val="upperLetter"/>
      <w:start w:val="1"/>
    </w:lvl>
  </w:abstractNum>
  <w:abstractNum w:abstractNumId="6">
    <w:nsid w:val="6C053B16"/>
    <w:multiLevelType w:val="hybridMultilevel"/>
    <w:lvl w:ilvl="0">
      <w:lvlJc w:val="left"/>
      <w:lvlText w:val="%1."/>
      <w:numFmt w:val="upperLetter"/>
      <w:start w:val="3"/>
    </w:lvl>
  </w:abstractNum>
  <w:abstractNum w:abstractNumId="7">
    <w:nsid w:val="4F294393"/>
    <w:multiLevelType w:val="hybridMultilevel"/>
    <w:lvl w:ilvl="0">
      <w:lvlJc w:val="left"/>
      <w:lvlText w:val="%1."/>
      <w:numFmt w:val="upperLetter"/>
      <w:start w:val="4"/>
    </w:lvl>
  </w:abstractNum>
  <w:abstractNum w:abstractNumId="8">
    <w:nsid w:val="5243BFAC"/>
    <w:multiLevelType w:val="hybridMultilevel"/>
    <w:lvl w:ilvl="0">
      <w:lvlJc w:val="left"/>
      <w:lvlText w:val="•"/>
      <w:numFmt w:val="bullet"/>
      <w:start w:val="1"/>
    </w:lvl>
  </w:abstractNum>
  <w:abstractNum w:abstractNumId="9">
    <w:nsid w:val="425EB207"/>
    <w:multiLevelType w:val="hybridMultilevel"/>
    <w:lvl w:ilvl="0">
      <w:lvlJc w:val="left"/>
      <w:lvlText w:val="•"/>
      <w:numFmt w:val="bullet"/>
      <w:start w:val="1"/>
    </w:lvl>
  </w:abstractNum>
  <w:abstractNum w:abstractNumId="10">
    <w:nsid w:val="334A6F1F"/>
    <w:multiLevelType w:val="hybridMultilevel"/>
    <w:lvl w:ilvl="0">
      <w:lvlJc w:val="left"/>
      <w:lvlText w:val="•"/>
      <w:numFmt w:val="bullet"/>
      <w:start w:val="1"/>
    </w:lvl>
  </w:abstractNum>
  <w:abstractNum w:abstractNumId="11">
    <w:nsid w:val="2E5B12B8"/>
    <w:multiLevelType w:val="hybridMultilevel"/>
    <w:lvl w:ilvl="0">
      <w:lvlJc w:val="left"/>
      <w:lvlText w:val="•"/>
      <w:numFmt w:val="bullet"/>
      <w:start w:val="1"/>
    </w:lvl>
  </w:abstractNum>
  <w:abstractNum w:abstractNumId="12">
    <w:nsid w:val="5C03D76D"/>
    <w:multiLevelType w:val="hybridMultilevel"/>
    <w:lvl w:ilvl="0">
      <w:lvlJc w:val="left"/>
      <w:lvlText w:val="•"/>
      <w:numFmt w:val="bullet"/>
      <w:start w:val="1"/>
    </w:lvl>
  </w:abstractNum>
  <w:abstractNum w:abstractNumId="13">
    <w:nsid w:val="66A48D11"/>
    <w:multiLevelType w:val="hybridMultilevel"/>
    <w:lvl w:ilvl="0">
      <w:lvlJc w:val="left"/>
      <w:lvlText w:val="•"/>
      <w:numFmt w:val="bullet"/>
      <w:start w:val="1"/>
    </w:lvl>
  </w:abstractNum>
  <w:abstractNum w:abstractNumId="14">
    <w:nsid w:val="56C28E34"/>
    <w:multiLevelType w:val="hybridMultilevel"/>
    <w:lvl w:ilvl="0">
      <w:lvlJc w:val="left"/>
      <w:lvlText w:val="•"/>
      <w:numFmt w:val="bullet"/>
      <w:start w:val="1"/>
    </w:lvl>
  </w:abstractNum>
  <w:abstractNum w:abstractNumId="15">
    <w:nsid w:val="13916F2D"/>
    <w:multiLevelType w:val="hybridMultilevel"/>
    <w:lvl w:ilvl="0">
      <w:lvlJc w:val="left"/>
      <w:lvlText w:val="•"/>
      <w:numFmt w:val="bullet"/>
      <w:start w:val="1"/>
    </w:lvl>
  </w:abstractNum>
  <w:abstractNum w:abstractNumId="16">
    <w:nsid w:val="435D38D"/>
    <w:multiLevelType w:val="hybridMultilevel"/>
    <w:lvl w:ilvl="0">
      <w:lvlJc w:val="left"/>
      <w:lvlText w:val="•"/>
      <w:numFmt w:val="bullet"/>
      <w:start w:val="1"/>
    </w:lvl>
  </w:abstractNum>
  <w:abstractNum w:abstractNumId="17">
    <w:nsid w:val="822C0EF"/>
    <w:multiLevelType w:val="hybridMultilevel"/>
    <w:lvl w:ilvl="0">
      <w:lvlJc w:val="left"/>
      <w:lvlText w:val="%1."/>
      <w:numFmt w:val="decimal"/>
      <w:start w:val="7"/>
    </w:lvl>
  </w:abstractNum>
  <w:abstractNum w:abstractNumId="18">
    <w:nsid w:val="57C5BB4F"/>
    <w:multiLevelType w:val="hybridMultilevel"/>
    <w:lvl w:ilvl="0">
      <w:lvlJc w:val="left"/>
      <w:lvlText w:val="•"/>
      <w:numFmt w:val="bullet"/>
      <w:start w:val="1"/>
    </w:lvl>
  </w:abstractNum>
  <w:abstractNum w:abstractNumId="19">
    <w:nsid w:val="1803D089"/>
    <w:multiLevelType w:val="hybridMultilevel"/>
    <w:lvl w:ilvl="0">
      <w:lvlJc w:val="left"/>
      <w:lvlText w:val="•"/>
      <w:numFmt w:val="bullet"/>
      <w:start w:val="1"/>
    </w:lvl>
  </w:abstractNum>
  <w:abstractNum w:abstractNumId="20">
    <w:nsid w:val="4F3A06D4"/>
    <w:multiLevelType w:val="hybridMultilevel"/>
    <w:lvl w:ilvl="0">
      <w:lvlJc w:val="left"/>
      <w:lvlText w:val="•"/>
      <w:numFmt w:val="bullet"/>
      <w:start w:val="1"/>
    </w:lvl>
  </w:abstractNum>
  <w:abstractNum w:abstractNumId="21">
    <w:nsid w:val="59A377B6"/>
    <w:multiLevelType w:val="hybridMultilevel"/>
    <w:lvl w:ilvl="0">
      <w:lvlJc w:val="left"/>
      <w:lvlText w:val="•"/>
      <w:numFmt w:val="bullet"/>
      <w:start w:val="1"/>
    </w:lvl>
  </w:abstractNum>
  <w:abstractNum w:abstractNumId="22">
    <w:nsid w:val="48AEB063"/>
    <w:multiLevelType w:val="hybridMultilevel"/>
    <w:lvl w:ilvl="0">
      <w:lvlJc w:val="left"/>
      <w:lvlText w:val="•"/>
      <w:numFmt w:val="bullet"/>
      <w:start w:val="1"/>
    </w:lvl>
  </w:abstractNum>
  <w:abstractNum w:abstractNumId="23">
    <w:nsid w:val="24E135"/>
    <w:multiLevelType w:val="hybridMultilevel"/>
    <w:lvl w:ilvl="0">
      <w:lvlJc w:val="left"/>
      <w:lvlText w:val="(%1)"/>
      <w:numFmt w:val="decimal"/>
      <w:start w:val="1"/>
    </w:lvl>
  </w:abstractNum>
  <w:abstractNum w:abstractNumId="24">
    <w:nsid w:val="BB13C1"/>
    <w:multiLevelType w:val="hybridMultilevel"/>
    <w:lvl w:ilvl="0">
      <w:lvlJc w:val="left"/>
      <w:lvlText w:val="%1."/>
      <w:numFmt w:val="upperLetter"/>
      <w:start w:val="1"/>
    </w:lvl>
  </w:abstractNum>
  <w:abstractNum w:abstractNumId="25">
    <w:nsid w:val="271210C7"/>
    <w:multiLevelType w:val="hybridMultilevel"/>
    <w:lvl w:ilvl="0">
      <w:lvlJc w:val="left"/>
      <w:lvlText w:val="%1."/>
      <w:numFmt w:val="decimal"/>
      <w:start w:val="400"/>
    </w:lvl>
  </w:abstractNum>
  <w:abstractNum w:abstractNumId="26">
    <w:nsid w:val="217B22E4"/>
    <w:multiLevelType w:val="hybridMultilevel"/>
    <w:lvl w:ilvl="0">
      <w:lvlJc w:val="left"/>
      <w:lvlText w:val="%1."/>
      <w:numFmt w:val="upperLetter"/>
      <w:start w:val="2"/>
    </w:lvl>
  </w:abstractNum>
  <w:abstractNum w:abstractNumId="27">
    <w:nsid w:val="53E31A24"/>
    <w:multiLevelType w:val="hybridMultilevel"/>
    <w:lvl w:ilvl="0">
      <w:lvlJc w:val="left"/>
      <w:lvlText w:val="•"/>
      <w:numFmt w:val="bullet"/>
      <w:start w:val="1"/>
    </w:lvl>
    <w:lvl w:ilvl="1">
      <w:lvlJc w:val="left"/>
      <w:lvlText w:val="•"/>
      <w:numFmt w:val="bullet"/>
      <w:start w:val="1"/>
    </w:lvl>
  </w:abstractNum>
  <w:abstractNum w:abstractNumId="28">
    <w:nsid w:val="6DC45E83"/>
    <w:multiLevelType w:val="hybridMultilevel"/>
    <w:lvl w:ilvl="0">
      <w:lvlJc w:val="left"/>
      <w:lvlText w:val="•"/>
      <w:numFmt w:val="bullet"/>
      <w:start w:val="1"/>
    </w:lvl>
  </w:abstractNum>
  <w:abstractNum w:abstractNumId="29">
    <w:nsid w:val="17304A67"/>
    <w:multiLevelType w:val="hybridMultilevel"/>
    <w:lvl w:ilvl="0">
      <w:lvlJc w:val="left"/>
      <w:lvlText w:val="•"/>
      <w:numFmt w:val="bullet"/>
      <w:start w:val="1"/>
    </w:lvl>
  </w:abstractNum>
  <w:abstractNum w:abstractNumId="30">
    <w:nsid w:val="2BB180D8"/>
    <w:multiLevelType w:val="hybridMultilevel"/>
    <w:lvl w:ilvl="0">
      <w:lvlJc w:val="left"/>
      <w:lvlText w:val="•"/>
      <w:numFmt w:val="bullet"/>
      <w:start w:val="1"/>
    </w:lvl>
  </w:abstractNum>
  <w:abstractNum w:abstractNumId="31">
    <w:nsid w:val="556B69ED"/>
    <w:multiLevelType w:val="hybridMultilevel"/>
    <w:lvl w:ilvl="0">
      <w:lvlJc w:val="left"/>
      <w:lvlText w:val="•"/>
      <w:numFmt w:val="bullet"/>
      <w:start w:val="1"/>
    </w:lvl>
  </w:abstractNum>
  <w:abstractNum w:abstractNumId="32">
    <w:nsid w:val="70836196"/>
    <w:multiLevelType w:val="hybridMultilevel"/>
    <w:lvl w:ilvl="0">
      <w:lvlJc w:val="left"/>
      <w:lvlText w:val="•"/>
      <w:numFmt w:val="bullet"/>
      <w:start w:val="1"/>
    </w:lvl>
  </w:abstractNum>
  <w:abstractNum w:abstractNumId="33">
    <w:nsid w:val="539F7F12"/>
    <w:multiLevelType w:val="hybridMultilevel"/>
    <w:lvl w:ilvl="0">
      <w:lvlJc w:val="left"/>
      <w:lvlText w:val="%1."/>
      <w:numFmt w:val="upperLetter"/>
      <w:start w:val="3"/>
    </w:lvl>
  </w:abstractNum>
  <w:abstractNum w:abstractNumId="34">
    <w:nsid w:val="2817E7EC"/>
    <w:multiLevelType w:val="hybridMultilevel"/>
    <w:lvl w:ilvl="0">
      <w:lvlJc w:val="left"/>
      <w:lvlText w:val="%1."/>
      <w:numFmt w:val="upperLetter"/>
      <w:start w:val="4"/>
    </w:lvl>
  </w:abstractNum>
  <w:abstractNum w:abstractNumId="35">
    <w:nsid w:val="71482545"/>
    <w:multiLevelType w:val="hybridMultilevel"/>
    <w:lvl w:ilvl="0">
      <w:lvlJc w:val="left"/>
      <w:lvlText w:val="%1."/>
      <w:numFmt w:val="upperLetter"/>
      <w:start w:val="1"/>
    </w:lvl>
  </w:abstractNum>
  <w:abstractNum w:abstractNumId="36">
    <w:nsid w:val="17D78639"/>
    <w:multiLevelType w:val="hybridMultilevel"/>
    <w:lvl w:ilvl="0">
      <w:lvlJc w:val="left"/>
      <w:lvlText w:val="•"/>
      <w:numFmt w:val="bullet"/>
      <w:start w:val="1"/>
    </w:lvl>
  </w:abstractNum>
  <w:abstractNum w:abstractNumId="37">
    <w:nsid w:val="141D2302"/>
    <w:multiLevelType w:val="hybridMultilevel"/>
    <w:lvl w:ilvl="0">
      <w:lvlJc w:val="left"/>
      <w:lvlText w:val="%1."/>
      <w:numFmt w:val="upperLetter"/>
      <w:start w:val="2"/>
    </w:lvl>
  </w:abstractNum>
  <w:abstractNum w:abstractNumId="38">
    <w:nsid w:val="407168D8"/>
    <w:multiLevelType w:val="hybridMultilevel"/>
    <w:lvl w:ilvl="0">
      <w:lvlJc w:val="left"/>
      <w:lvlText w:val="%1."/>
      <w:numFmt w:val="upperLetter"/>
      <w:start w:val="3"/>
    </w:lvl>
  </w:abstractNum>
  <w:abstractNum w:abstractNumId="39">
    <w:nsid w:val="6A1B45E5"/>
    <w:multiLevelType w:val="hybridMultilevel"/>
    <w:lvl w:ilvl="0">
      <w:lvlJc w:val="left"/>
      <w:lvlText w:val="%1."/>
      <w:numFmt w:val="upperLetter"/>
      <w:start w:val="4"/>
    </w:lvl>
  </w:abstractNum>
  <w:abstractNum w:abstractNumId="40">
    <w:nsid w:val="567BD50A"/>
    <w:multiLevelType w:val="hybridMultilevel"/>
    <w:lvl w:ilvl="0">
      <w:lvlJc w:val="left"/>
      <w:lvlText w:val="%1."/>
      <w:numFmt w:val="upperLetter"/>
      <w:start w:val="5"/>
    </w:lvl>
  </w:abstractNum>
  <w:abstractNum w:abstractNumId="41">
    <w:nsid w:val="73BBD7F8"/>
    <w:multiLevelType w:val="hybridMultilevel"/>
    <w:lvl w:ilvl="0">
      <w:lvlJc w:val="left"/>
      <w:lvlText w:val="(%1)"/>
      <w:numFmt w:val="decimal"/>
      <w:start w:val="3"/>
    </w:lvl>
  </w:abstractNum>
  <w:abstractNum w:abstractNumId="42">
    <w:nsid w:val="1876589D"/>
    <w:multiLevelType w:val="hybridMultilevel"/>
    <w:lvl w:ilvl="0">
      <w:lvlJc w:val="left"/>
      <w:lvlText w:val="%1."/>
      <w:numFmt w:val="upperLetter"/>
      <w:start w:val="1"/>
    </w:lvl>
  </w:abstractNum>
  <w:abstractNum w:abstractNumId="43">
    <w:nsid w:val="327FAC77"/>
    <w:multiLevelType w:val="hybridMultilevel"/>
    <w:lvl w:ilvl="0">
      <w:lvlJc w:val="left"/>
      <w:lvlText w:val="%1."/>
      <w:numFmt w:val="upperLetter"/>
      <w:start w:val="2"/>
    </w:lvl>
  </w:abstractNum>
  <w:abstractNum w:abstractNumId="44">
    <w:nsid w:val="5A606509"/>
    <w:multiLevelType w:val="hybridMultilevel"/>
    <w:lvl w:ilvl="0">
      <w:lvlJc w:val="left"/>
      <w:lvlText w:val="•"/>
      <w:numFmt w:val="bullet"/>
      <w:start w:val="1"/>
    </w:lvl>
  </w:abstractNum>
  <w:abstractNum w:abstractNumId="45">
    <w:nsid w:val="6F38E6D1"/>
    <w:multiLevelType w:val="hybridMultilevel"/>
    <w:lvl w:ilvl="0">
      <w:lvlJc w:val="left"/>
      <w:lvlText w:val="•"/>
      <w:numFmt w:val="bullet"/>
      <w:start w:val="1"/>
    </w:lvl>
  </w:abstractNum>
  <w:abstractNum w:abstractNumId="46">
    <w:nsid w:val="46111BA5"/>
    <w:multiLevelType w:val="hybridMultilevel"/>
    <w:lvl w:ilvl="0">
      <w:lvlJc w:val="left"/>
      <w:lvlText w:val="(%1)"/>
      <w:numFmt w:val="decimal"/>
      <w:start w:val="1"/>
    </w:lvl>
  </w:abstractNum>
  <w:abstractNum w:abstractNumId="47">
    <w:nsid w:val="5E963896"/>
    <w:multiLevelType w:val="hybridMultilevel"/>
    <w:lvl w:ilvl="0">
      <w:lvlJc w:val="left"/>
      <w:lvlText w:val="•"/>
      <w:numFmt w:val="bullet"/>
      <w:start w:val="1"/>
    </w:lvl>
  </w:abstractNum>
  <w:abstractNum w:abstractNumId="48">
    <w:nsid w:val="775BA7C1"/>
    <w:multiLevelType w:val="hybridMultilevel"/>
    <w:lvl w:ilvl="0">
      <w:lvlJc w:val="left"/>
      <w:lvlText w:val="•"/>
      <w:numFmt w:val="bullet"/>
      <w:start w:val="1"/>
    </w:lvl>
  </w:abstractNum>
  <w:abstractNum w:abstractNumId="49">
    <w:nsid w:val="1DD6D6F4"/>
    <w:multiLevelType w:val="hybridMultilevel"/>
    <w:lvl w:ilvl="0">
      <w:lvlJc w:val="left"/>
      <w:lvlText w:val="•"/>
      <w:numFmt w:val="bullet"/>
      <w:start w:val="1"/>
    </w:lvl>
  </w:abstractNum>
  <w:abstractNum w:abstractNumId="50">
    <w:nsid w:val="769A091F"/>
    <w:multiLevelType w:val="hybridMultilevel"/>
    <w:lvl w:ilvl="0">
      <w:lvlJc w:val="left"/>
      <w:lvlText w:val="•"/>
      <w:numFmt w:val="bullet"/>
      <w:start w:val="1"/>
    </w:lvl>
  </w:abstractNum>
  <w:abstractNum w:abstractNumId="51">
    <w:nsid w:val="4695AE95"/>
    <w:multiLevelType w:val="hybridMultilevel"/>
    <w:lvl w:ilvl="0">
      <w:lvlJc w:val="left"/>
      <w:lvlText w:val="•"/>
      <w:numFmt w:val="bullet"/>
      <w:start w:val="1"/>
    </w:lvl>
  </w:abstractNum>
  <w:abstractNum w:abstractNumId="52">
    <w:nsid w:val="777A4EAA"/>
    <w:multiLevelType w:val="hybridMultilevel"/>
    <w:lvl w:ilvl="0">
      <w:lvlJc w:val="left"/>
      <w:lvlText w:val="•"/>
      <w:numFmt w:val="bullet"/>
      <w:start w:val="1"/>
    </w:lvl>
  </w:abstractNum>
  <w:abstractNum w:abstractNumId="53">
    <w:nsid w:val="3F48B982"/>
    <w:multiLevelType w:val="hybridMultilevel"/>
    <w:lvl w:ilvl="0">
      <w:lvlJc w:val="left"/>
      <w:lvlText w:val="%1."/>
      <w:numFmt w:val="upperLetter"/>
      <w:start w:val="3"/>
    </w:lvl>
  </w:abstractNum>
  <w:abstractNum w:abstractNumId="54">
    <w:nsid w:val="46BA8FCA"/>
    <w:multiLevelType w:val="hybridMultilevel"/>
    <w:lvl w:ilvl="0">
      <w:lvlJc w:val="left"/>
      <w:lvlText w:val="•"/>
      <w:numFmt w:val="bullet"/>
      <w:start w:val="1"/>
    </w:lvl>
  </w:abstractNum>
  <w:abstractNum w:abstractNumId="55">
    <w:nsid w:val="7835626C"/>
    <w:multiLevelType w:val="hybridMultilevel"/>
    <w:lvl w:ilvl="0">
      <w:lvlJc w:val="left"/>
      <w:lvlText w:val="•"/>
      <w:numFmt w:val="bullet"/>
      <w:start w:val="1"/>
    </w:lvl>
  </w:abstractNum>
  <w:abstractNum w:abstractNumId="56">
    <w:nsid w:val="665ACA49"/>
    <w:multiLevelType w:val="hybridMultilevel"/>
    <w:lvl w:ilvl="0">
      <w:lvlJc w:val="left"/>
      <w:lvlText w:val="•"/>
      <w:numFmt w:val="bullet"/>
      <w:start w:val="1"/>
    </w:lvl>
  </w:abstractNum>
  <w:abstractNum w:abstractNumId="57">
    <w:nsid w:val="6835B2AE"/>
    <w:multiLevelType w:val="hybridMultilevel"/>
    <w:lvl w:ilvl="0">
      <w:lvlJc w:val="left"/>
      <w:lvlText w:val="%1."/>
      <w:numFmt w:val="upperLetter"/>
      <w:start w:val="4"/>
    </w:lvl>
  </w:abstractNum>
  <w:abstractNum w:abstractNumId="58">
    <w:nsid w:val="4C187C90"/>
    <w:multiLevelType w:val="hybridMultilevel"/>
    <w:lvl w:ilvl="0">
      <w:lvlJc w:val="left"/>
      <w:lvlText w:val="%1."/>
      <w:numFmt w:val="upperLetter"/>
      <w:start w:val="5"/>
    </w:lvl>
  </w:abstractNum>
  <w:abstractNum w:abstractNumId="59">
    <w:nsid w:val="541F28CD"/>
    <w:multiLevelType w:val="hybridMultilevel"/>
    <w:lvl w:ilvl="0">
      <w:lvlJc w:val="left"/>
      <w:lvlText w:val="%1."/>
      <w:numFmt w:val="upperLetter"/>
      <w:start w:val="6"/>
    </w:lvl>
  </w:abstractNum>
  <w:abstractNum w:abstractNumId="60">
    <w:nsid w:val="7F65FD16"/>
    <w:multiLevelType w:val="hybridMultilevel"/>
    <w:lvl w:ilvl="0">
      <w:lvlJc w:val="left"/>
      <w:lvlText w:val="%1."/>
      <w:numFmt w:val="upperLetter"/>
      <w:start w:val="1"/>
    </w:lvl>
  </w:abstractNum>
  <w:abstractNum w:abstractNumId="61">
    <w:nsid w:val="77C9FD68"/>
    <w:multiLevelType w:val="hybridMultilevel"/>
    <w:lvl w:ilvl="0">
      <w:lvlJc w:val="left"/>
      <w:lvlText w:val="•"/>
      <w:numFmt w:val="bullet"/>
      <w:start w:val="1"/>
    </w:lvl>
  </w:abstractNum>
  <w:abstractNum w:abstractNumId="62">
    <w:nsid w:val="298A92BA"/>
    <w:multiLevelType w:val="hybridMultilevel"/>
    <w:lvl w:ilvl="0">
      <w:lvlJc w:val="left"/>
      <w:lvlText w:val="*"/>
      <w:numFmt w:val="bullet"/>
      <w:start w:val="1"/>
    </w:lvl>
  </w:abstractNum>
  <w:abstractNum w:abstractNumId="63">
    <w:nsid w:val="6FE95EAC"/>
    <w:multiLevelType w:val="hybridMultilevel"/>
    <w:lvl w:ilvl="0">
      <w:lvlJc w:val="left"/>
      <w:lvlText w:val="(%1)"/>
      <w:numFmt w:val="decimal"/>
      <w:start w:val="1"/>
    </w:lvl>
  </w:abstractNum>
  <w:abstractNum w:abstractNumId="64">
    <w:nsid w:val="4B697C7A"/>
    <w:multiLevelType w:val="hybridMultilevel"/>
    <w:lvl w:ilvl="0">
      <w:lvlJc w:val="left"/>
      <w:lvlText w:val="%1."/>
      <w:numFmt w:val="upperLetter"/>
      <w:start w:val="2"/>
    </w:lvl>
  </w:abstractNum>
  <w:abstractNum w:abstractNumId="65">
    <w:nsid w:val="51A27AA6"/>
    <w:multiLevelType w:val="hybridMultilevel"/>
    <w:lvl w:ilvl="0">
      <w:lvlJc w:val="left"/>
      <w:lvlText w:val="•"/>
      <w:numFmt w:val="bullet"/>
      <w:start w:val="1"/>
    </w:lvl>
  </w:abstractNum>
  <w:abstractNum w:abstractNumId="66">
    <w:nsid w:val="613183F2"/>
    <w:multiLevelType w:val="hybridMultilevel"/>
    <w:lvl w:ilvl="0">
      <w:lvlJc w:val="left"/>
      <w:lvlText w:val="•"/>
      <w:numFmt w:val="bullet"/>
      <w:start w:val="1"/>
    </w:lvl>
  </w:abstractNum>
  <w:abstractNum w:abstractNumId="67">
    <w:nsid w:val="634102B4"/>
    <w:multiLevelType w:val="hybridMultilevel"/>
    <w:lvl w:ilvl="0">
      <w:lvlJc w:val="left"/>
      <w:lvlText w:val="%1."/>
      <w:numFmt w:val="upperLetter"/>
      <w:start w:val="3"/>
    </w:lvl>
  </w:abstractNum>
  <w:abstractNum w:abstractNumId="68">
    <w:nsid w:val="65BF9D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21A2ECCA"/>
    <w:multiLevelType w:val="hybridMultilevel"/>
    <w:lvl w:ilvl="0">
      <w:lvlJc w:val="left"/>
      <w:lvlText w:val="(%1)"/>
      <w:numFmt w:val="decimal"/>
      <w:start w:val="1"/>
    </w:lvl>
  </w:abstractNum>
  <w:abstractNum w:abstractNumId="70">
    <w:nsid w:val="4D5C4899"/>
    <w:multiLevelType w:val="hybridMultilevel"/>
    <w:lvl w:ilvl="0">
      <w:lvlJc w:val="left"/>
      <w:lvlText w:val="•"/>
      <w:numFmt w:val="bullet"/>
      <w:start w:val="1"/>
    </w:lvl>
  </w:abstractNum>
  <w:abstractNum w:abstractNumId="71">
    <w:nsid w:val="3C3B72B2"/>
    <w:multiLevelType w:val="hybridMultilevel"/>
    <w:lvl w:ilvl="0">
      <w:lvlJc w:val="left"/>
      <w:lvlText w:val="•"/>
      <w:numFmt w:val="bullet"/>
      <w:start w:val="1"/>
    </w:lvl>
  </w:abstractNum>
  <w:abstractNum w:abstractNumId="72">
    <w:nsid w:val="155EC4C2"/>
    <w:multiLevelType w:val="hybridMultilevel"/>
    <w:lvl w:ilvl="0">
      <w:lvlJc w:val="left"/>
      <w:lvlText w:val="•"/>
      <w:numFmt w:val="bullet"/>
      <w:start w:val="1"/>
    </w:lvl>
  </w:abstractNum>
  <w:abstractNum w:abstractNumId="73">
    <w:nsid w:val="65D2A137"/>
    <w:multiLevelType w:val="hybridMultilevel"/>
    <w:lvl w:ilvl="0">
      <w:lvlJc w:val="left"/>
      <w:lvlText w:val="•"/>
      <w:numFmt w:val="bullet"/>
      <w:start w:val="1"/>
    </w:lvl>
  </w:abstractNum>
  <w:abstractNum w:abstractNumId="74">
    <w:nsid w:val="6EBB1F2A"/>
    <w:multiLevelType w:val="hybridMultilevel"/>
    <w:lvl w:ilvl="0">
      <w:lvlJc w:val="left"/>
      <w:lvlText w:val="•"/>
      <w:numFmt w:val="bullet"/>
      <w:start w:val="1"/>
    </w:lvl>
  </w:abstractNum>
  <w:abstractNum w:abstractNumId="75">
    <w:nsid w:val="6FBF29CB"/>
    <w:multiLevelType w:val="hybridMultilevel"/>
    <w:lvl w:ilvl="0">
      <w:lvlJc w:val="left"/>
      <w:lvlText w:val="•"/>
      <w:numFmt w:val="bullet"/>
      <w:start w:val="1"/>
    </w:lvl>
  </w:abstractNum>
  <w:abstractNum w:abstractNumId="76">
    <w:nsid w:val="550B8808"/>
    <w:multiLevelType w:val="hybridMultilevel"/>
    <w:lvl w:ilvl="0">
      <w:lvlJc w:val="left"/>
      <w:lvlText w:val="•"/>
      <w:numFmt w:val="bullet"/>
      <w:start w:val="1"/>
    </w:lvl>
  </w:abstractNum>
  <w:abstractNum w:abstractNumId="77">
    <w:nsid w:val="34CC3ACF"/>
    <w:multiLevelType w:val="hybridMultilevel"/>
    <w:lvl w:ilvl="0">
      <w:lvlJc w:val="left"/>
      <w:lvlText w:val="•"/>
      <w:numFmt w:val="bullet"/>
      <w:start w:val="1"/>
    </w:lvl>
  </w:abstractNum>
  <w:abstractNum w:abstractNumId="78">
    <w:nsid w:val="4E556261"/>
    <w:multiLevelType w:val="hybridMultilevel"/>
    <w:lvl w:ilvl="0">
      <w:lvlJc w:val="left"/>
      <w:lvlText w:val="•"/>
      <w:numFmt w:val="bullet"/>
      <w:start w:val="1"/>
    </w:lvl>
  </w:abstractNum>
  <w:abstractNum w:abstractNumId="79">
    <w:nsid w:val="4C672FC9"/>
    <w:multiLevelType w:val="hybridMultilevel"/>
    <w:lvl w:ilvl="0">
      <w:lvlJc w:val="left"/>
      <w:lvlText w:val="•"/>
      <w:numFmt w:val="bullet"/>
      <w:start w:val="1"/>
    </w:lvl>
  </w:abstractNum>
  <w:abstractNum w:abstractNumId="80">
    <w:nsid w:val="52A311C3"/>
    <w:multiLevelType w:val="hybridMultilevel"/>
    <w:lvl w:ilvl="0">
      <w:lvlJc w:val="left"/>
      <w:lvlText w:val="(%1)"/>
      <w:numFmt w:val="decimal"/>
      <w:start w:val="1"/>
    </w:lvl>
  </w:abstractNum>
  <w:abstractNum w:abstractNumId="81">
    <w:nsid w:val="44EF6B80"/>
    <w:multiLevelType w:val="hybridMultilevel"/>
    <w:lvl w:ilvl="0">
      <w:lvlJc w:val="left"/>
      <w:lvlText w:val="(%1)"/>
      <w:numFmt w:val="decimal"/>
      <w:start w:val="1"/>
    </w:lvl>
  </w:abstractNum>
  <w:abstractNum w:abstractNumId="82">
    <w:nsid w:val="12FCDE5E"/>
    <w:multiLevelType w:val="hybridMultilevel"/>
    <w:lvl w:ilvl="0">
      <w:lvlJc w:val="left"/>
      <w:lvlText w:val="(%1)"/>
      <w:numFmt w:val="decimal"/>
      <w:start w:val="1"/>
    </w:lvl>
  </w:abstractNum>
  <w:abstractNum w:abstractNumId="83">
    <w:nsid w:val="4A1D606E"/>
    <w:multiLevelType w:val="hybridMultilevel"/>
    <w:lvl w:ilvl="0">
      <w:lvlJc w:val="left"/>
      <w:lvlText w:val="(%1)"/>
      <w:numFmt w:val="decimal"/>
      <w:start w:val="1"/>
    </w:lvl>
  </w:abstractNum>
  <w:abstractNum w:abstractNumId="84">
    <w:nsid w:val="4382503"/>
    <w:multiLevelType w:val="hybridMultilevel"/>
    <w:lvl w:ilvl="0">
      <w:lvlJc w:val="left"/>
      <w:lvlText w:val="(%1)"/>
      <w:numFmt w:val="decimal"/>
      <w:start w:val="1"/>
    </w:lvl>
  </w:abstractNum>
  <w:abstractNum w:abstractNumId="85">
    <w:nsid w:val="59B76E28"/>
    <w:multiLevelType w:val="hybridMultilevel"/>
    <w:lvl w:ilvl="0">
      <w:lvlJc w:val="left"/>
      <w:lvlText w:val="(%1)"/>
      <w:numFmt w:val="decimal"/>
      <w:start w:val="1"/>
    </w:lvl>
  </w:abstractNum>
  <w:abstractNum w:abstractNumId="86">
    <w:nsid w:val="4252C2DA"/>
    <w:multiLevelType w:val="hybridMultilevel"/>
    <w:lvl w:ilvl="0">
      <w:lvlJc w:val="left"/>
      <w:lvlText w:val="(%1)"/>
      <w:numFmt w:val="decimal"/>
      <w:start w:val="1"/>
    </w:lvl>
  </w:abstractNum>
  <w:abstractNum w:abstractNumId="87">
    <w:nsid w:val="6A92EF4C"/>
    <w:multiLevelType w:val="hybridMultilevel"/>
    <w:lvl w:ilvl="0">
      <w:lvlJc w:val="left"/>
      <w:lvlText w:val="(%1)"/>
      <w:numFmt w:val="decimal"/>
      <w:start w:val="1"/>
    </w:lvl>
  </w:abstractNum>
  <w:abstractNum w:abstractNumId="88">
    <w:nsid w:val="41ED20D7"/>
    <w:multiLevelType w:val="hybridMultilevel"/>
    <w:lvl w:ilvl="0">
      <w:lvlJc w:val="left"/>
      <w:lvlText w:val="(%1)"/>
      <w:numFmt w:val="decimal"/>
      <w:start w:val="1"/>
    </w:lvl>
  </w:abstractNum>
  <w:abstractNum w:abstractNumId="89">
    <w:nsid w:val="E6B3F6A"/>
    <w:multiLevelType w:val="hybridMultilevel"/>
    <w:lvl w:ilvl="0">
      <w:lvlJc w:val="left"/>
      <w:lvlText w:val="(%1)"/>
      <w:numFmt w:val="decimal"/>
      <w:start w:val="1"/>
    </w:lvl>
  </w:abstractNum>
  <w:abstractNum w:abstractNumId="90">
    <w:nsid w:val="3EB21819"/>
    <w:multiLevelType w:val="hybridMultilevel"/>
    <w:lvl w:ilvl="0">
      <w:lvlJc w:val="left"/>
      <w:lvlText w:val="(%1)"/>
      <w:numFmt w:val="decimal"/>
      <w:start w:val="1"/>
    </w:lvl>
  </w:abstractNum>
  <w:abstractNum w:abstractNumId="91">
    <w:nsid w:val="41531DED"/>
    <w:multiLevelType w:val="hybridMultilevel"/>
    <w:lvl w:ilvl="0">
      <w:lvlJc w:val="left"/>
      <w:lvlText w:val="(%1)"/>
      <w:numFmt w:val="decimal"/>
      <w:start w:val="1"/>
    </w:lvl>
  </w:abstractNum>
  <w:abstractNum w:abstractNumId="92">
    <w:nsid w:val="6353CD2"/>
    <w:multiLevelType w:val="hybridMultilevel"/>
    <w:lvl w:ilvl="0">
      <w:lvlJc w:val="left"/>
      <w:lvlText w:val="(%1)"/>
      <w:numFmt w:val="decimal"/>
      <w:start w:val="1"/>
    </w:lvl>
  </w:abstractNum>
  <w:abstractNum w:abstractNumId="93">
    <w:nsid w:val="683CAAD3"/>
    <w:multiLevelType w:val="hybridMultilevel"/>
    <w:lvl w:ilvl="0">
      <w:lvlJc w:val="left"/>
      <w:lvlText w:val="(%1)"/>
      <w:numFmt w:val="decimal"/>
      <w:start w:val="1"/>
    </w:lvl>
  </w:abstractNum>
  <w:abstractNum w:abstractNumId="94">
    <w:nsid w:val="313C7C99"/>
    <w:multiLevelType w:val="hybridMultilevel"/>
    <w:lvl w:ilvl="0">
      <w:lvlJc w:val="left"/>
      <w:lvlText w:val="(%1)"/>
      <w:numFmt w:val="decimal"/>
      <w:start w:val="1"/>
    </w:lvl>
  </w:abstractNum>
  <w:abstractNum w:abstractNumId="95">
    <w:nsid w:val="519EB94C"/>
    <w:multiLevelType w:val="hybridMultilevel"/>
    <w:lvl w:ilvl="0">
      <w:lvlJc w:val="left"/>
      <w:lvlText w:val="%1."/>
      <w:numFmt w:val="upperLetter"/>
      <w:start w:val="2"/>
    </w:lvl>
  </w:abstractNum>
  <w:abstractNum w:abstractNumId="96">
    <w:nsid w:val="39DF2579"/>
    <w:multiLevelType w:val="hybridMultilevel"/>
    <w:lvl w:ilvl="0">
      <w:lvlJc w:val="left"/>
      <w:lvlText w:val="%1."/>
      <w:numFmt w:val="upperLetter"/>
      <w:start w:val="1"/>
    </w:lvl>
  </w:abstractNum>
  <w:abstractNum w:abstractNumId="97">
    <w:nsid w:val="126E008B"/>
    <w:multiLevelType w:val="hybridMultilevel"/>
    <w:lvl w:ilvl="0">
      <w:lvlJc w:val="left"/>
      <w:lvlText w:val="%1."/>
      <w:numFmt w:val="upperLetter"/>
      <w:start w:val="2"/>
    </w:lvl>
  </w:abstractNum>
  <w:abstractNum w:abstractNumId="98">
    <w:nsid w:val="34DFBC00"/>
    <w:multiLevelType w:val="hybridMultilevel"/>
    <w:lvl w:ilvl="0">
      <w:lvlJc w:val="left"/>
      <w:lvlText w:val="%1."/>
      <w:numFmt w:val="upperLetter"/>
      <w:start w:val="3"/>
    </w:lvl>
  </w:abstractNum>
  <w:abstractNum w:abstractNumId="99">
    <w:nsid w:val="1F9EC322"/>
    <w:multiLevelType w:val="hybridMultilevel"/>
    <w:lvl w:ilvl="0">
      <w:lvlJc w:val="left"/>
      <w:lvlText w:val="%1."/>
      <w:numFmt w:val="upperLetter"/>
      <w:start w:val="4"/>
    </w:lvl>
  </w:abstractNum>
  <w:abstractNum w:abstractNumId="100">
    <w:nsid w:val="3410ED56"/>
    <w:multiLevelType w:val="hybridMultilevel"/>
    <w:lvl w:ilvl="0">
      <w:lvlJc w:val="left"/>
      <w:lvlText w:val="%1."/>
      <w:numFmt w:val="upperLetter"/>
      <w:start w:val="5"/>
    </w:lvl>
  </w:abstractNum>
  <w:abstractNum w:abstractNumId="101">
    <w:nsid w:val="23C049A"/>
    <w:multiLevelType w:val="hybridMultilevel"/>
    <w:lvl w:ilvl="0">
      <w:lvlJc w:val="left"/>
      <w:lvlText w:val="%1."/>
      <w:numFmt w:val="upperLetter"/>
      <w:start w:val="6"/>
    </w:lvl>
  </w:abstractNum>
  <w:abstractNum w:abstractNumId="102">
    <w:nsid w:val="5BDA35D4"/>
    <w:multiLevelType w:val="hybridMultilevel"/>
    <w:lvl w:ilvl="0">
      <w:lvlJc w:val="left"/>
      <w:lvlText w:val="%1."/>
      <w:numFmt w:val="upperLetter"/>
      <w:start w:val="1"/>
    </w:lvl>
  </w:abstractNum>
  <w:abstractNum w:abstractNumId="103">
    <w:nsid w:val="496FB218"/>
    <w:multiLevelType w:val="hybridMultilevel"/>
    <w:lvl w:ilvl="0">
      <w:lvlJc w:val="left"/>
      <w:lvlText w:val="%1."/>
      <w:numFmt w:val="upperLetter"/>
      <w:start w:val="2"/>
    </w:lvl>
  </w:abstractNum>
  <w:abstractNum w:abstractNumId="104">
    <w:nsid w:val="680EA5D1"/>
    <w:multiLevelType w:val="hybridMultilevel"/>
    <w:lvl w:ilvl="0">
      <w:lvlJc w:val="left"/>
      <w:lvlText w:val="%1."/>
      <w:numFmt w:val="upperLetter"/>
      <w:start w:val="3"/>
    </w:lvl>
  </w:abstractNum>
  <w:abstractNum w:abstractNumId="105">
    <w:nsid w:val="4A9554FE"/>
    <w:multiLevelType w:val="hybridMultilevel"/>
    <w:lvl w:ilvl="0">
      <w:lvlJc w:val="left"/>
      <w:lvlText w:val="%1."/>
      <w:numFmt w:val="upperLetter"/>
      <w:start w:val="4"/>
    </w:lvl>
  </w:abstractNum>
  <w:abstractNum w:abstractNumId="106">
    <w:nsid w:val="392EDBE4"/>
    <w:multiLevelType w:val="hybridMultilevel"/>
    <w:lvl w:ilvl="0">
      <w:lvlJc w:val="left"/>
      <w:lvlText w:val="%1."/>
      <w:numFmt w:val="upperLetter"/>
      <w:start w:val="5"/>
    </w:lvl>
  </w:abstractNum>
  <w:abstractNum w:abstractNumId="107">
    <w:nsid w:val="3D1A2DD9"/>
    <w:multiLevelType w:val="hybridMultilevel"/>
    <w:lvl w:ilvl="0">
      <w:lvlJc w:val="left"/>
      <w:lvlText w:val="•"/>
      <w:numFmt w:val="bullet"/>
      <w:start w:val="1"/>
    </w:lvl>
  </w:abstractNum>
  <w:abstractNum w:abstractNumId="108">
    <w:nsid w:val="7F618FCD"/>
    <w:multiLevelType w:val="hybridMultilevel"/>
    <w:lvl w:ilvl="0">
      <w:lvlJc w:val="left"/>
      <w:lvlText w:val="•"/>
      <w:numFmt w:val="bullet"/>
      <w:start w:val="1"/>
    </w:lvl>
  </w:abstractNum>
  <w:abstractNum w:abstractNumId="109">
    <w:nsid w:val="7843E45"/>
    <w:multiLevelType w:val="hybridMultilevel"/>
    <w:lvl w:ilvl="0">
      <w:lvlJc w:val="left"/>
      <w:lvlText w:val="•"/>
      <w:numFmt w:val="bullet"/>
      <w:start w:val="1"/>
    </w:lvl>
  </w:abstractNum>
  <w:abstractNum w:abstractNumId="110">
    <w:nsid w:val="9815DA3"/>
    <w:multiLevelType w:val="hybridMultilevel"/>
    <w:lvl w:ilvl="0">
      <w:lvlJc w:val="left"/>
      <w:lvlText w:val="•"/>
      <w:numFmt w:val="bullet"/>
      <w:start w:val="1"/>
    </w:lvl>
  </w:abstractNum>
  <w:abstractNum w:abstractNumId="111">
    <w:nsid w:val="5204A191"/>
    <w:multiLevelType w:val="hybridMultilevel"/>
    <w:lvl w:ilvl="0">
      <w:lvlJc w:val="left"/>
      <w:lvlText w:val="•"/>
      <w:numFmt w:val="bullet"/>
      <w:start w:val="1"/>
    </w:lvl>
  </w:abstractNum>
  <w:abstractNum w:abstractNumId="112">
    <w:nsid w:val="4C73A9C6"/>
    <w:multiLevelType w:val="hybridMultilevel"/>
    <w:lvl w:ilvl="0">
      <w:lvlJc w:val="left"/>
      <w:lvlText w:val="•"/>
      <w:numFmt w:val="bullet"/>
      <w:start w:val="1"/>
    </w:lvl>
  </w:abstractNum>
  <w:abstractNum w:abstractNumId="113">
    <w:nsid w:val="1C7E3C01"/>
    <w:multiLevelType w:val="hybridMultilevel"/>
    <w:lvl w:ilvl="0">
      <w:lvlJc w:val="left"/>
      <w:lvlText w:val="•"/>
      <w:numFmt w:val="bullet"/>
      <w:start w:val="1"/>
    </w:lvl>
  </w:abstractNum>
  <w:abstractNum w:abstractNumId="114">
    <w:nsid w:val="1C2201FF"/>
    <w:multiLevelType w:val="hybridMultilevel"/>
    <w:lvl w:ilvl="0">
      <w:lvlJc w:val="left"/>
      <w:lvlText w:val="%1."/>
      <w:numFmt w:val="upperLetter"/>
      <w:start w:val="6"/>
    </w:lvl>
  </w:abstractNum>
  <w:abstractNum w:abstractNumId="115">
    <w:nsid w:val="50ABCEC9"/>
    <w:multiLevelType w:val="hybridMultilevel"/>
    <w:lvl w:ilvl="0">
      <w:lvlJc w:val="left"/>
      <w:lvlText w:val="%1."/>
      <w:numFmt w:val="upperLetter"/>
      <w:start w:val="8"/>
    </w:lvl>
  </w:abstractNum>
  <w:abstractNum w:abstractNumId="116">
    <w:nsid w:val="7635AA2A"/>
    <w:multiLevelType w:val="hybridMultilevel"/>
    <w:lvl w:ilvl="0">
      <w:lvlJc w:val="left"/>
      <w:lvlText w:val="%1."/>
      <w:numFmt w:val="upperLetter"/>
      <w:start w:val="9"/>
    </w:lvl>
  </w:abstractNum>
  <w:abstractNum w:abstractNumId="117">
    <w:nsid w:val="5E74C4D9"/>
    <w:multiLevelType w:val="hybridMultilevel"/>
    <w:lvl w:ilvl="0">
      <w:lvlJc w:val="left"/>
      <w:lvlText w:val="%1."/>
      <w:numFmt w:val="upperLetter"/>
      <w:start w:val="2"/>
    </w:lvl>
  </w:abstractNum>
  <w:abstractNum w:abstractNumId="118">
    <w:nsid w:val="3B3EBE15"/>
    <w:multiLevelType w:val="hybridMultilevel"/>
    <w:lvl w:ilvl="0">
      <w:lvlJc w:val="left"/>
      <w:lvlText w:val="•"/>
      <w:numFmt w:val="bullet"/>
      <w:start w:val="1"/>
    </w:lvl>
  </w:abstractNum>
  <w:abstractNum w:abstractNumId="119">
    <w:nsid w:val="3822CB01"/>
    <w:multiLevelType w:val="hybridMultilevel"/>
    <w:lvl w:ilvl="0">
      <w:lvlJc w:val="left"/>
      <w:lvlText w:val="%1."/>
      <w:numFmt w:val="upperLetter"/>
      <w:start w:val="2"/>
    </w:lvl>
  </w:abstractNum>
  <w:abstractNum w:abstractNumId="120">
    <w:nsid w:val="6CE00443"/>
    <w:multiLevelType w:val="hybridMultilevel"/>
    <w:lvl w:ilvl="0">
      <w:lvlJc w:val="left"/>
      <w:lvlText w:val="(%1)"/>
      <w:numFmt w:val="decimal"/>
      <w:start w:val="1"/>
    </w:lvl>
  </w:abstractNum>
  <w:abstractNum w:abstractNumId="121">
    <w:nsid w:val="79F0D62F"/>
    <w:multiLevelType w:val="hybridMultilevel"/>
    <w:lvl w:ilvl="0">
      <w:lvlJc w:val="left"/>
      <w:lvlText w:val="(%1)"/>
      <w:numFmt w:val="decimal"/>
      <w:start w:val="1"/>
    </w:lvl>
  </w:abstractNum>
  <w:abstractNum w:abstractNumId="122">
    <w:nsid w:val="7975E8EE"/>
    <w:multiLevelType w:val="hybridMultilevel"/>
    <w:lvl w:ilvl="0">
      <w:lvlJc w:val="left"/>
      <w:lvlText w:val="•"/>
      <w:numFmt w:val="bullet"/>
      <w:start w:val="1"/>
    </w:lvl>
  </w:abstractNum>
  <w:abstractNum w:abstractNumId="123">
    <w:nsid w:val="73154115"/>
    <w:multiLevelType w:val="hybridMultilevel"/>
    <w:lvl w:ilvl="0">
      <w:lvlJc w:val="left"/>
      <w:lvlText w:val="•"/>
      <w:numFmt w:val="bullet"/>
      <w:start w:val="1"/>
    </w:lvl>
  </w:abstractNum>
  <w:abstractNum w:abstractNumId="124">
    <w:nsid w:val="622D8102"/>
    <w:multiLevelType w:val="hybridMultilevel"/>
    <w:lvl w:ilvl="0">
      <w:lvlJc w:val="left"/>
      <w:lvlText w:val="%1"/>
      <w:numFmt w:val="decimal"/>
      <w:start w:val="101"/>
    </w:lvl>
  </w:abstractNum>
  <w:abstractNum w:abstractNumId="125">
    <w:nsid w:val="2AB26587"/>
    <w:multiLevelType w:val="hybridMultilevel"/>
    <w:lvl w:ilvl="0">
      <w:lvlJc w:val="left"/>
      <w:lvlText w:val="*"/>
      <w:numFmt w:val="bullet"/>
      <w:start w:val="1"/>
    </w:lvl>
    <w:lvl w:ilvl="1">
      <w:lvlJc w:val="left"/>
      <w:lvlText w:val="%2"/>
      <w:numFmt w:val="decimal"/>
      <w:start w:val="104"/>
    </w:lvl>
  </w:abstractNum>
  <w:abstractNum w:abstractNumId="126">
    <w:nsid w:val="44B3FA61"/>
    <w:multiLevelType w:val="hybridMultilevel"/>
    <w:lvl w:ilvl="0">
      <w:lvlJc w:val="left"/>
      <w:lvlText w:val="1"/>
      <w:numFmt w:val="bullet"/>
      <w:start w:val="1"/>
    </w:lvl>
  </w:abstractNum>
  <w:abstractNum w:abstractNumId="127">
    <w:nsid w:val="1C0CA67C"/>
    <w:multiLevelType w:val="hybridMultilevel"/>
    <w:lvl w:ilvl="0">
      <w:lvlJc w:val="left"/>
      <w:lvlText w:val="2"/>
      <w:numFmt w:val="bullet"/>
      <w:start w:val="1"/>
    </w:lvl>
  </w:abstractNum>
  <w:abstractNum w:abstractNumId="128">
    <w:nsid w:val="3D206613"/>
    <w:multiLevelType w:val="hybridMultilevel"/>
    <w:lvl w:ilvl="0">
      <w:lvlJc w:val="left"/>
      <w:lvlText w:val="3"/>
      <w:numFmt w:val="bullet"/>
      <w:start w:val="1"/>
    </w:lvl>
  </w:abstractNum>
  <w:abstractNum w:abstractNumId="129">
    <w:nsid w:val="7993B662"/>
    <w:multiLevelType w:val="hybridMultilevel"/>
    <w:lvl w:ilvl="0">
      <w:lvlJc w:val="left"/>
      <w:lvlText w:val="4"/>
      <w:numFmt w:val="bullet"/>
      <w:start w:val="1"/>
    </w:lvl>
  </w:abstractNum>
  <w:abstractNum w:abstractNumId="130">
    <w:nsid w:val="3BAB699E"/>
    <w:multiLevelType w:val="hybridMultilevel"/>
    <w:lvl w:ilvl="0">
      <w:lvlJc w:val="left"/>
      <w:lvlText w:val="5"/>
      <w:numFmt w:val="bullet"/>
      <w:start w:val="1"/>
    </w:lvl>
  </w:abstractNum>
  <w:abstractNum w:abstractNumId="131">
    <w:nsid w:val="71315369"/>
    <w:multiLevelType w:val="hybridMultilevel"/>
    <w:lvl w:ilvl="0">
      <w:lvlJc w:val="left"/>
      <w:lvlText w:val="6"/>
      <w:numFmt w:val="bullet"/>
      <w:start w:val="1"/>
    </w:lvl>
  </w:abstractNum>
  <w:abstractNum w:abstractNumId="132">
    <w:nsid w:val="7BCFBAFC"/>
    <w:multiLevelType w:val="hybridMultilevel"/>
    <w:lvl w:ilvl="0">
      <w:lvlJc w:val="left"/>
      <w:lvlText w:val="7"/>
      <w:numFmt w:val="bullet"/>
      <w:start w:val="1"/>
    </w:lvl>
  </w:abstractNum>
  <w:abstractNum w:abstractNumId="133">
    <w:nsid w:val="17859F72"/>
    <w:multiLevelType w:val="hybridMultilevel"/>
    <w:lvl w:ilvl="0">
      <w:lvlJc w:val="left"/>
      <w:lvlText w:val="8"/>
      <w:numFmt w:val="bullet"/>
      <w:start w:val="1"/>
    </w:lvl>
  </w:abstractNum>
  <w:abstractNum w:abstractNumId="134">
    <w:nsid w:val="3AA10581"/>
    <w:multiLevelType w:val="hybridMultilevel"/>
    <w:lvl w:ilvl="0">
      <w:lvlJc w:val="left"/>
      <w:lvlText w:val="9"/>
      <w:numFmt w:val="bullet"/>
      <w:start w:val="1"/>
    </w:lvl>
  </w:abstractNum>
  <w:abstractNum w:abstractNumId="135">
    <w:nsid w:val="63DE60CD"/>
    <w:multiLevelType w:val="hybridMultilevel"/>
    <w:lvl w:ilvl="0">
      <w:lvlJc w:val="left"/>
      <w:lvlText w:val="%1"/>
      <w:numFmt w:val="decimal"/>
      <w:start w:val="10"/>
    </w:lvl>
  </w:abstractNum>
  <w:abstractNum w:abstractNumId="136">
    <w:nsid w:val="621AF471"/>
    <w:multiLevelType w:val="hybridMultilevel"/>
    <w:lvl w:ilvl="0">
      <w:lvlJc w:val="left"/>
      <w:lvlText w:val="%1"/>
      <w:numFmt w:val="decimal"/>
      <w:start w:val="17"/>
    </w:lvl>
  </w:abstractNum>
  <w:abstractNum w:abstractNumId="137">
    <w:nsid w:val="73CFE165"/>
    <w:multiLevelType w:val="hybridMultilevel"/>
    <w:lvl w:ilvl="0">
      <w:lvlJc w:val="left"/>
      <w:lvlText w:val="(%1)"/>
      <w:numFmt w:val="lowerRoman"/>
      <w:start w:val="1"/>
    </w:lvl>
  </w:abstractNum>
  <w:abstractNum w:abstractNumId="138">
    <w:nsid w:val="20F88EA6"/>
    <w:multiLevelType w:val="hybridMultilevel"/>
    <w:lvl w:ilvl="0">
      <w:lvlJc w:val="left"/>
      <w:lvlText w:val="%1"/>
      <w:numFmt w:val="decimal"/>
      <w:start w:val="28"/>
    </w:lvl>
  </w:abstractNum>
  <w:abstractNum w:abstractNumId="139">
    <w:nsid w:val="617C843E"/>
    <w:multiLevelType w:val="hybridMultilevel"/>
    <w:lvl w:ilvl="0">
      <w:lvlJc w:val="left"/>
      <w:lvlText w:val="%1"/>
      <w:numFmt w:val="decimal"/>
      <w:start w:val="33"/>
    </w:lvl>
  </w:abstractNum>
  <w:abstractNum w:abstractNumId="140">
    <w:nsid w:val="7B541FAB"/>
    <w:multiLevelType w:val="hybridMultilevel"/>
    <w:lvl w:ilvl="0">
      <w:lvlJc w:val="left"/>
      <w:lvlText w:val="%1"/>
      <w:numFmt w:val="decimal"/>
      <w:start w:val="38"/>
    </w:lvl>
  </w:abstractNum>
  <w:abstractNum w:abstractNumId="141">
    <w:nsid w:val="2A79EC49"/>
    <w:multiLevelType w:val="hybridMultilevel"/>
    <w:lvl w:ilvl="0">
      <w:lvlJc w:val="left"/>
      <w:lvlText w:val="%1"/>
      <w:numFmt w:val="decimal"/>
      <w:start w:val="40"/>
    </w:lvl>
  </w:abstractNum>
  <w:abstractNum w:abstractNumId="142">
    <w:nsid w:val="338125CF"/>
    <w:multiLevelType w:val="hybridMultilevel"/>
    <w:lvl w:ilvl="0">
      <w:lvlJc w:val="left"/>
      <w:lvlText w:val="%1"/>
      <w:numFmt w:val="decimal"/>
      <w:start w:val="41"/>
    </w:lvl>
  </w:abstractNum>
  <w:abstractNum w:abstractNumId="143">
    <w:nsid w:val="47C7C971"/>
    <w:multiLevelType w:val="hybridMultilevel"/>
    <w:lvl w:ilvl="0">
      <w:lvlJc w:val="left"/>
      <w:lvlText w:val="%1"/>
      <w:numFmt w:val="decimal"/>
      <w:start w:val="44"/>
    </w:lvl>
  </w:abstractNum>
  <w:abstractNum w:abstractNumId="144">
    <w:nsid w:val="46F8284B"/>
    <w:multiLevelType w:val="hybridMultilevel"/>
    <w:lvl w:ilvl="0">
      <w:lvlJc w:val="left"/>
      <w:lvlText w:val="%1"/>
      <w:numFmt w:val="decimal"/>
      <w:start w:val="47"/>
    </w:lvl>
  </w:abstractNum>
  <w:abstractNum w:abstractNumId="145">
    <w:nsid w:val="4FA327CE"/>
    <w:multiLevelType w:val="hybridMultilevel"/>
    <w:lvl w:ilvl="0">
      <w:lvlJc w:val="left"/>
      <w:lvlText w:val="%1"/>
      <w:numFmt w:val="decimal"/>
      <w:start w:val="55"/>
    </w:lvl>
  </w:abstractNum>
  <w:abstractNum w:abstractNumId="146">
    <w:nsid w:val="1873983A"/>
    <w:multiLevelType w:val="hybridMultilevel"/>
    <w:lvl w:ilvl="0">
      <w:lvlJc w:val="left"/>
      <w:lvlText w:val="%1"/>
      <w:numFmt w:val="decimal"/>
      <w:start w:val="58"/>
    </w:lvl>
  </w:abstractNum>
  <w:abstractNum w:abstractNumId="147">
    <w:nsid w:val="3D2DD275"/>
    <w:multiLevelType w:val="hybridMultilevel"/>
    <w:lvl w:ilvl="0">
      <w:lvlJc w:val="left"/>
      <w:lvlText w:val="%1"/>
      <w:numFmt w:val="decimal"/>
      <w:start w:val="61"/>
    </w:lvl>
  </w:abstractNum>
  <w:abstractNum w:abstractNumId="148">
    <w:nsid w:val="2E17ECA7"/>
    <w:multiLevelType w:val="hybridMultilevel"/>
    <w:lvl w:ilvl="0">
      <w:lvlJc w:val="left"/>
      <w:lvlText w:val="%1"/>
      <w:numFmt w:val="decimal"/>
      <w:start w:val="63"/>
    </w:lvl>
  </w:abstractNum>
  <w:abstractNum w:abstractNumId="149">
    <w:nsid w:val="53B2564F"/>
    <w:multiLevelType w:val="hybridMultilevel"/>
    <w:lvl w:ilvl="0">
      <w:lvlJc w:val="left"/>
      <w:lvlText w:val="(%1)"/>
      <w:numFmt w:val="lowerRoman"/>
      <w:start w:val="1"/>
    </w:lvl>
  </w:abstractNum>
  <w:abstractNum w:abstractNumId="150">
    <w:nsid w:val="75509D76"/>
    <w:multiLevelType w:val="hybridMultilevel"/>
    <w:lvl w:ilvl="0">
      <w:lvlJc w:val="left"/>
      <w:lvlText w:val="(%1)"/>
      <w:numFmt w:val="lowerRoman"/>
      <w:start w:val="1"/>
    </w:lvl>
  </w:abstractNum>
  <w:abstractNum w:abstractNumId="151">
    <w:nsid w:val="1AF7F0EA"/>
    <w:multiLevelType w:val="hybridMultilevel"/>
    <w:lvl w:ilvl="0">
      <w:lvlJc w:val="left"/>
      <w:lvlText w:val="%1"/>
      <w:numFmt w:val="decimal"/>
      <w:start w:val="65"/>
    </w:lvl>
  </w:abstractNum>
  <w:abstractNum w:abstractNumId="152">
    <w:nsid w:val="4DA32C7E"/>
    <w:multiLevelType w:val="hybridMultilevel"/>
    <w:lvl w:ilvl="0">
      <w:lvlJc w:val="left"/>
      <w:lvlText w:val="%1"/>
      <w:numFmt w:val="decimal"/>
      <w:start w:val="68"/>
    </w:lvl>
  </w:abstractNum>
  <w:abstractNum w:abstractNumId="153">
    <w:nsid w:val="6EC68664"/>
    <w:multiLevelType w:val="hybridMultilevel"/>
    <w:lvl w:ilvl="0">
      <w:lvlJc w:val="left"/>
      <w:lvlText w:val="%1"/>
      <w:numFmt w:val="decimal"/>
      <w:start w:val="69"/>
    </w:lvl>
  </w:abstractNum>
  <w:abstractNum w:abstractNumId="154">
    <w:nsid w:val="E0D31FF"/>
    <w:multiLevelType w:val="hybridMultilevel"/>
    <w:lvl w:ilvl="0">
      <w:lvlJc w:val="left"/>
      <w:lvlText w:val="%1"/>
      <w:numFmt w:val="decimal"/>
      <w:start w:val="72"/>
    </w:lvl>
  </w:abstractNum>
  <w:abstractNum w:abstractNumId="155">
    <w:nsid w:val="2FD0AD81"/>
    <w:multiLevelType w:val="hybridMultilevel"/>
    <w:lvl w:ilvl="0">
      <w:lvlJc w:val="left"/>
      <w:lvlText w:val="%1"/>
      <w:numFmt w:val="decimal"/>
      <w:start w:val="73"/>
    </w:lvl>
  </w:abstractNum>
  <w:abstractNum w:abstractNumId="156">
    <w:nsid w:val="1978EBEB"/>
    <w:multiLevelType w:val="hybridMultilevel"/>
    <w:lvl w:ilvl="0">
      <w:lvlJc w:val="left"/>
      <w:lvlText w:val="%1"/>
      <w:numFmt w:val="decimal"/>
      <w:start w:val="77"/>
    </w:lvl>
  </w:abstractNum>
  <w:abstractNum w:abstractNumId="157">
    <w:nsid w:val="52C12C61"/>
    <w:multiLevelType w:val="hybridMultilevel"/>
    <w:lvl w:ilvl="0">
      <w:lvlJc w:val="left"/>
      <w:lvlText w:val="%1"/>
      <w:numFmt w:val="decimal"/>
      <w:start w:val="81"/>
    </w:lvl>
  </w:abstractNum>
  <w:abstractNum w:abstractNumId="158">
    <w:nsid w:val="4BDD53FD"/>
    <w:multiLevelType w:val="hybridMultilevel"/>
    <w:lvl w:ilvl="0">
      <w:lvlJc w:val="left"/>
      <w:lvlText w:val="%1"/>
      <w:numFmt w:val="decimal"/>
      <w:start w:val="84"/>
    </w:lvl>
  </w:abstractNum>
  <w:abstractNum w:abstractNumId="159">
    <w:nsid w:val="569951FE"/>
    <w:multiLevelType w:val="hybridMultilevel"/>
    <w:lvl w:ilvl="0">
      <w:lvlJc w:val="left"/>
      <w:lvlText w:val="%1"/>
      <w:numFmt w:val="decimal"/>
      <w:start w:val="90"/>
    </w:lvl>
  </w:abstractNum>
  <w:abstractNum w:abstractNumId="160">
    <w:nsid w:val="4C54E2C3"/>
    <w:multiLevelType w:val="hybridMultilevel"/>
    <w:lvl w:ilvl="0">
      <w:lvlJc w:val="left"/>
      <w:lvlText w:val="%1"/>
      <w:numFmt w:val="decimal"/>
      <w:start w:val="98"/>
    </w:lvl>
  </w:abstractNum>
  <w:abstractNum w:abstractNumId="161">
    <w:nsid w:val="788BD9B"/>
    <w:multiLevelType w:val="hybridMultilevel"/>
    <w:lvl w:ilvl="0">
      <w:lvlJc w:val="left"/>
      <w:lvlText w:val="%1"/>
      <w:numFmt w:val="decimal"/>
      <w:start w:val="107"/>
    </w:lvl>
  </w:abstractNum>
  <w:abstractNum w:abstractNumId="162">
    <w:nsid w:val="47CAA567"/>
    <w:multiLevelType w:val="hybridMultilevel"/>
    <w:lvl w:ilvl="0">
      <w:lvlJc w:val="left"/>
      <w:lvlText w:val="%1"/>
      <w:numFmt w:val="decimal"/>
      <w:start w:val="110"/>
    </w:lvl>
  </w:abstractNum>
  <w:abstractNum w:abstractNumId="163">
    <w:nsid w:val="48249DBF"/>
    <w:multiLevelType w:val="hybridMultilevel"/>
    <w:lvl w:ilvl="0">
      <w:lvlJc w:val="left"/>
      <w:lvlText w:val="%1"/>
      <w:numFmt w:val="decimal"/>
      <w:start w:val="112"/>
    </w:lvl>
  </w:abstractNum>
  <w:abstractNum w:abstractNumId="164">
    <w:nsid w:val="1F0E5D0D"/>
    <w:multiLevelType w:val="hybridMultilevel"/>
    <w:lvl w:ilvl="0">
      <w:lvlJc w:val="left"/>
      <w:lvlText w:val="%1"/>
      <w:numFmt w:val="decimal"/>
      <w:start w:val="117"/>
    </w:lvl>
  </w:abstractNum>
  <w:abstractNum w:abstractNumId="165">
    <w:nsid w:val="26BAAE9"/>
    <w:multiLevelType w:val="hybridMultilevel"/>
    <w:lvl w:ilvl="0">
      <w:lvlJc w:val="left"/>
      <w:lvlText w:val="%1"/>
      <w:numFmt w:val="decimal"/>
      <w:start w:val="120"/>
    </w:lvl>
  </w:abstractNum>
  <w:abstractNum w:abstractNumId="166">
    <w:nsid w:val="2C02FE8C"/>
    <w:multiLevelType w:val="hybridMultilevel"/>
    <w:lvl w:ilvl="0">
      <w:lvlJc w:val="left"/>
      <w:lvlText w:val="%1"/>
      <w:numFmt w:val="decimal"/>
      <w:start w:val="121"/>
    </w:lvl>
  </w:abstractNum>
  <w:abstractNum w:abstractNumId="167">
    <w:nsid w:val="129517E"/>
    <w:multiLevelType w:val="hybridMultilevel"/>
    <w:lvl w:ilvl="0">
      <w:lvlJc w:val="left"/>
      <w:lvlText w:val="(%1)"/>
      <w:numFmt w:val="lowerRoman"/>
      <w:start w:val="1"/>
    </w:lvl>
  </w:abstractNum>
  <w:abstractNum w:abstractNumId="168">
    <w:nsid w:val="763B8C4E"/>
    <w:multiLevelType w:val="hybridMultilevel"/>
    <w:lvl w:ilvl="0">
      <w:lvlJc w:val="left"/>
      <w:lvlText w:val="(%1)"/>
      <w:numFmt w:val="lowerRoman"/>
      <w:start w:val="1"/>
    </w:lvl>
  </w:abstractNum>
  <w:abstractNum w:abstractNumId="169">
    <w:nsid w:val="4CFB8D32"/>
    <w:multiLevelType w:val="hybridMultilevel"/>
    <w:lvl w:ilvl="0">
      <w:lvlJc w:val="left"/>
      <w:lvlText w:val="(%1)"/>
      <w:numFmt w:val="lowerRoman"/>
      <w:start w:val="1"/>
    </w:lvl>
  </w:abstractNum>
  <w:abstractNum w:abstractNumId="170">
    <w:nsid w:val="62A5D5BD"/>
    <w:multiLevelType w:val="hybridMultilevel"/>
    <w:lvl w:ilvl="0">
      <w:lvlJc w:val="left"/>
      <w:lvlText w:val="(%1)"/>
      <w:numFmt w:val="lowerRoman"/>
      <w:start w:val="1"/>
    </w:lvl>
  </w:abstractNum>
  <w:abstractNum w:abstractNumId="171">
    <w:nsid w:val="718FABF9"/>
    <w:multiLevelType w:val="hybridMultilevel"/>
    <w:lvl w:ilvl="0">
      <w:lvlJc w:val="left"/>
      <w:lvlText w:val="(%1)"/>
      <w:numFmt w:val="lowerLetter"/>
      <w:start w:val="1"/>
    </w:lvl>
  </w:abstractNum>
  <w:abstractNum w:abstractNumId="172">
    <w:nsid w:val="7775797C"/>
    <w:multiLevelType w:val="hybridMultilevel"/>
    <w:lvl w:ilvl="0">
      <w:lvlJc w:val="left"/>
      <w:lvlText w:val="(%1)"/>
      <w:numFmt w:val="lowerLetter"/>
      <w:start w:val="1"/>
    </w:lvl>
  </w:abstractNum>
  <w:abstractNum w:abstractNumId="173">
    <w:nsid w:val="1626FB8C"/>
    <w:multiLevelType w:val="hybridMultilevel"/>
    <w:lvl w:ilvl="0">
      <w:lvlJc w:val="left"/>
      <w:lvlText w:val="(%1)"/>
      <w:numFmt w:val="lowerLetter"/>
      <w:start w:val="4"/>
    </w:lvl>
  </w:abstractNum>
  <w:abstractNum w:abstractNumId="174">
    <w:nsid w:val="3957756A"/>
    <w:multiLevelType w:val="hybridMultilevel"/>
    <w:lvl w:ilvl="0">
      <w:lvlJc w:val="left"/>
      <w:lvlText w:val="(%1)"/>
      <w:numFmt w:val="lowerLetter"/>
      <w:start w:val="2"/>
    </w:lvl>
  </w:abstractNum>
  <w:abstractNum w:abstractNumId="175">
    <w:nsid w:val="3E6DA1C7"/>
    <w:multiLevelType w:val="hybridMultilevel"/>
    <w:lvl w:ilvl="0">
      <w:lvlJc w:val="left"/>
      <w:lvlText w:val="(%1)"/>
      <w:numFmt w:val="upperLetter"/>
      <w:start w:val="1"/>
    </w:lvl>
  </w:abstractNum>
  <w:abstractNum w:abstractNumId="176">
    <w:nsid w:val="65CA235B"/>
    <w:multiLevelType w:val="hybridMultilevel"/>
    <w:lvl w:ilvl="0">
      <w:lvlJc w:val="left"/>
      <w:lvlText w:val="(%1)"/>
      <w:numFmt w:val="lowerLetter"/>
      <w:start w:val="1"/>
    </w:lvl>
  </w:abstractNum>
  <w:abstractNum w:abstractNumId="177">
    <w:nsid w:val="51CB0DA4"/>
    <w:multiLevelType w:val="hybridMultilevel"/>
    <w:lvl w:ilvl="0">
      <w:lvlJc w:val="left"/>
      <w:lvlText w:val="(%1)"/>
      <w:numFmt w:val="lowerLetter"/>
      <w:start w:val="2"/>
    </w:lvl>
  </w:abstractNum>
  <w:abstractNum w:abstractNumId="178">
    <w:nsid w:val="7B9B743C"/>
    <w:multiLevelType w:val="hybridMultilevel"/>
    <w:lvl w:ilvl="0">
      <w:lvlJc w:val="left"/>
      <w:lvlText w:val="(%1)"/>
      <w:numFmt w:val="lowerLetter"/>
      <w:start w:val="9"/>
    </w:lvl>
  </w:abstractNum>
  <w:abstractNum w:abstractNumId="179">
    <w:nsid w:val="13E21002"/>
    <w:multiLevelType w:val="hybridMultilevel"/>
    <w:lvl w:ilvl="0">
      <w:lvlJc w:val="left"/>
      <w:lvlText w:val="(%1)"/>
      <w:numFmt w:val="lowerLetter"/>
      <w:start w:val="1"/>
    </w:lvl>
  </w:abstractNum>
  <w:abstractNum w:abstractNumId="180">
    <w:nsid w:val="257D63F4"/>
    <w:multiLevelType w:val="hybridMultilevel"/>
    <w:lvl w:ilvl="0">
      <w:lvlJc w:val="left"/>
      <w:lvlText w:val="(%1)"/>
      <w:numFmt w:val="lowerLetter"/>
      <w:start w:val="1"/>
    </w:lvl>
  </w:abstractNum>
  <w:abstractNum w:abstractNumId="181">
    <w:nsid w:val="70EC11B2"/>
    <w:multiLevelType w:val="hybridMultilevel"/>
    <w:lvl w:ilvl="0">
      <w:lvlJc w:val="left"/>
      <w:lvlText w:val="(%1)"/>
      <w:numFmt w:val="lowerLetter"/>
      <w:start w:val="1"/>
    </w:lvl>
  </w:abstractNum>
  <w:abstractNum w:abstractNumId="182">
    <w:nsid w:val="2EDA00ED"/>
    <w:multiLevelType w:val="hybridMultilevel"/>
    <w:lvl w:ilvl="0">
      <w:lvlJc w:val="left"/>
      <w:lvlText w:val="(%1)"/>
      <w:numFmt w:val="lowerLetter"/>
      <w:start w:val="1"/>
    </w:lvl>
  </w:abstractNum>
  <w:abstractNum w:abstractNumId="183">
    <w:nsid w:val="73209072"/>
    <w:multiLevelType w:val="hybridMultilevel"/>
    <w:lvl w:ilvl="0">
      <w:lvlJc w:val="left"/>
      <w:lvlText w:val="(%1)"/>
      <w:numFmt w:val="lowerLetter"/>
      <w:start w:val="2"/>
    </w:lvl>
  </w:abstractNum>
  <w:abstractNum w:abstractNumId="184">
    <w:nsid w:val="5FB29816"/>
    <w:multiLevelType w:val="hybridMultilevel"/>
    <w:lvl w:ilvl="0">
      <w:lvlJc w:val="left"/>
      <w:lvlText w:val="%1"/>
      <w:numFmt w:val="lowerLetter"/>
      <w:start w:val="1"/>
    </w:lvl>
    <w:lvl w:ilvl="1">
      <w:lvlJc w:val="left"/>
      <w:lvlText w:val="(%2)"/>
      <w:numFmt w:val="lowerLetter"/>
      <w:start w:val="1"/>
    </w:lvl>
  </w:abstractNum>
  <w:abstractNum w:abstractNumId="185">
    <w:nsid w:val="3CE732EC"/>
    <w:multiLevelType w:val="hybridMultilevel"/>
    <w:lvl w:ilvl="0">
      <w:lvlJc w:val="left"/>
      <w:lvlText w:val="(%1)"/>
      <w:numFmt w:val="lowerLetter"/>
      <w:start w:val="35"/>
    </w:lvl>
    <w:lvl w:ilvl="1">
      <w:lvlJc w:val="left"/>
      <w:lvlText w:val="(%2)"/>
      <w:numFmt w:val="lowerLetter"/>
      <w:start w:val="2"/>
    </w:lvl>
  </w:abstractNum>
  <w:abstractNum w:abstractNumId="186">
    <w:nsid w:val="22F13DF3"/>
    <w:multiLevelType w:val="hybridMultilevel"/>
    <w:lvl w:ilvl="0">
      <w:lvlJc w:val="left"/>
      <w:lvlText w:val="(%1)"/>
      <w:numFmt w:val="lowerLetter"/>
      <w:start w:val="4"/>
    </w:lvl>
  </w:abstractNum>
  <w:abstractNum w:abstractNumId="187">
    <w:nsid w:val="792B8401"/>
    <w:multiLevelType w:val="hybridMultilevel"/>
    <w:lvl w:ilvl="0">
      <w:lvlJc w:val="left"/>
      <w:lvlText w:val="(%1)"/>
      <w:numFmt w:val="lowerRoman"/>
      <w:start w:val="2"/>
    </w:lvl>
  </w:abstractNum>
  <w:abstractNum w:abstractNumId="188">
    <w:nsid w:val="FA85F4D"/>
    <w:multiLevelType w:val="hybridMultilevel"/>
    <w:lvl w:ilvl="0">
      <w:lvlJc w:val="left"/>
      <w:lvlText w:val="(%1)"/>
      <w:numFmt w:val="lowerRoman"/>
      <w:start w:val="2"/>
    </w:lvl>
  </w:abstractNum>
  <w:abstractNum w:abstractNumId="189">
    <w:nsid w:val="6ECE91F0"/>
    <w:multiLevelType w:val="hybridMultilevel"/>
    <w:lvl w:ilvl="0">
      <w:lvlJc w:val="left"/>
      <w:lvlText w:val="(%1)"/>
      <w:numFmt w:val="lowerRoman"/>
      <w:start w:val="1"/>
    </w:lvl>
  </w:abstractNum>
  <w:abstractNum w:abstractNumId="190">
    <w:nsid w:val="4FC4D600"/>
    <w:multiLevelType w:val="hybridMultilevel"/>
    <w:lvl w:ilvl="0">
      <w:lvlJc w:val="left"/>
      <w:lvlText w:val="(%1)"/>
      <w:numFmt w:val="lowerLetter"/>
      <w:start w:val="1"/>
    </w:lvl>
  </w:abstractNum>
  <w:abstractNum w:abstractNumId="191">
    <w:nsid w:val="5BFD4210"/>
    <w:multiLevelType w:val="hybridMultilevel"/>
    <w:lvl w:ilvl="0">
      <w:lvlJc w:val="left"/>
      <w:lvlText w:val="(%1)"/>
      <w:numFmt w:val="lowerLetter"/>
      <w:start w:val="1"/>
    </w:lvl>
  </w:abstractNum>
  <w:abstractNum w:abstractNumId="192">
    <w:nsid w:val="76574F8B"/>
    <w:multiLevelType w:val="hybridMultilevel"/>
    <w:lvl w:ilvl="0">
      <w:lvlJc w:val="left"/>
      <w:lvlText w:val="(%1)"/>
      <w:numFmt w:val="lowerLetter"/>
      <w:start w:val="2"/>
    </w:lvl>
  </w:abstractNum>
  <w:abstractNum w:abstractNumId="193">
    <w:nsid w:val="178F7B67"/>
    <w:multiLevelType w:val="hybridMultilevel"/>
    <w:lvl w:ilvl="0">
      <w:lvlJc w:val="left"/>
      <w:lvlText w:val="(%1)"/>
      <w:numFmt w:val="decimal"/>
      <w:start w:val="1"/>
    </w:lvl>
  </w:abstractNum>
  <w:abstractNum w:abstractNumId="194">
    <w:nsid w:val="2421DFCF"/>
    <w:multiLevelType w:val="hybridMultilevel"/>
    <w:lvl w:ilvl="0">
      <w:lvlJc w:val="left"/>
      <w:lvlText w:val="(%1)"/>
      <w:numFmt w:val="decimal"/>
      <w:start w:val="2"/>
    </w:lvl>
  </w:abstractNum>
  <w:abstractNum w:abstractNumId="195">
    <w:nsid w:val="1565AC99"/>
    <w:multiLevelType w:val="hybridMultilevel"/>
    <w:lvl w:ilvl="0">
      <w:lvlJc w:val="left"/>
      <w:lvlText w:val="(%1)"/>
      <w:numFmt w:val="lowerLetter"/>
      <w:start w:val="9"/>
    </w:lvl>
  </w:abstractNum>
  <w:abstractNum w:abstractNumId="196">
    <w:nsid w:val="19FB2650"/>
    <w:multiLevelType w:val="hybridMultilevel"/>
    <w:lvl w:ilvl="0">
      <w:lvlJc w:val="left"/>
      <w:lvlText w:val="(%1)"/>
      <w:numFmt w:val="lowerLetter"/>
      <w:start w:val="1"/>
    </w:lvl>
  </w:abstractNum>
  <w:abstractNum w:abstractNumId="197">
    <w:nsid w:val="5024DE5B"/>
    <w:multiLevelType w:val="hybridMultilevel"/>
    <w:lvl w:ilvl="0">
      <w:lvlJc w:val="left"/>
      <w:lvlText w:val="(%1)"/>
      <w:numFmt w:val="decimal"/>
      <w:start w:val="3"/>
    </w:lvl>
  </w:abstractNum>
  <w:abstractNum w:abstractNumId="198">
    <w:nsid w:val="168EFE17"/>
    <w:multiLevelType w:val="hybridMultilevel"/>
    <w:lvl w:ilvl="0">
      <w:lvlJc w:val="left"/>
      <w:lvlText w:val="(%1)"/>
      <w:numFmt w:val="decimal"/>
      <w:start w:val="4"/>
    </w:lvl>
  </w:abstractNum>
  <w:abstractNum w:abstractNumId="199">
    <w:nsid w:val="1036B29F"/>
    <w:multiLevelType w:val="hybridMultilevel"/>
    <w:lvl w:ilvl="0">
      <w:lvlJc w:val="left"/>
      <w:lvlText w:val="(%1)"/>
      <w:numFmt w:val="decimal"/>
      <w:start w:val="5"/>
    </w:lvl>
  </w:abstractNum>
  <w:abstractNum w:abstractNumId="200">
    <w:nsid w:val="1D206B8E"/>
    <w:multiLevelType w:val="hybridMultilevel"/>
    <w:lvl w:ilvl="0">
      <w:lvlJc w:val="left"/>
      <w:lvlText w:val="(%1)"/>
      <w:numFmt w:val="decimal"/>
      <w:start w:val="6"/>
    </w:lvl>
  </w:abstractNum>
  <w:abstractNum w:abstractNumId="201">
    <w:nsid w:val="7934D3D4"/>
    <w:multiLevelType w:val="hybridMultilevel"/>
    <w:lvl w:ilvl="0">
      <w:lvlJc w:val="left"/>
      <w:lvlText w:val="(%1)"/>
      <w:numFmt w:val="decimal"/>
      <w:start w:val="8"/>
    </w:lvl>
  </w:abstractNum>
  <w:abstractNum w:abstractNumId="202">
    <w:nsid w:val="1C65E98"/>
    <w:multiLevelType w:val="hybridMultilevel"/>
    <w:lvl w:ilvl="0">
      <w:lvlJc w:val="left"/>
      <w:lvlText w:val="(%1)"/>
      <w:numFmt w:val="decimal"/>
      <w:start w:val="10"/>
    </w:lvl>
    <w:lvl w:ilvl="1">
      <w:lvlJc w:val="left"/>
      <w:lvlText w:val="(%2)"/>
      <w:numFmt w:val="lowerRoman"/>
      <w:start w:val="1"/>
    </w:lvl>
  </w:abstractNum>
  <w:abstractNum w:abstractNumId="203">
    <w:nsid w:val="1495E50A"/>
    <w:multiLevelType w:val="hybridMultilevel"/>
    <w:lvl w:ilvl="0">
      <w:lvlJc w:val="left"/>
      <w:lvlText w:val="(%1)"/>
      <w:numFmt w:val="lowerRoman"/>
      <w:start w:val="2"/>
    </w:lvl>
  </w:abstractNum>
  <w:abstractNum w:abstractNumId="204">
    <w:nsid w:val="F5BCF61"/>
    <w:multiLevelType w:val="hybridMultilevel"/>
    <w:lvl w:ilvl="0">
      <w:lvlJc w:val="left"/>
      <w:lvlText w:val="(%1)"/>
      <w:numFmt w:val="lowerLetter"/>
      <w:start w:val="1"/>
    </w:lvl>
  </w:abstractNum>
  <w:abstractNum w:abstractNumId="205">
    <w:nsid w:val="3B1DD403"/>
    <w:multiLevelType w:val="hybridMultilevel"/>
    <w:lvl w:ilvl="0">
      <w:lvlJc w:val="left"/>
      <w:lvlText w:val="(%1)"/>
      <w:numFmt w:val="decimal"/>
      <w:start w:val="12"/>
    </w:lvl>
  </w:abstractNum>
  <w:abstractNum w:abstractNumId="206">
    <w:nsid w:val="530386D1"/>
    <w:multiLevelType w:val="hybridMultilevel"/>
    <w:lvl w:ilvl="0">
      <w:lvlJc w:val="left"/>
      <w:lvlText w:val="%1"/>
      <w:numFmt w:val="lowerRoman"/>
      <w:start w:val="1"/>
    </w:lvl>
    <w:lvl w:ilvl="1">
      <w:lvlJc w:val="left"/>
      <w:lvlText w:val="(%2)"/>
      <w:numFmt w:val="decimal"/>
      <w:start w:val="13"/>
    </w:lvl>
  </w:abstractNum>
  <w:abstractNum w:abstractNumId="207">
    <w:nsid w:val="7525F2BC"/>
    <w:multiLevelType w:val="hybridMultilevel"/>
    <w:lvl w:ilvl="0">
      <w:lvlJc w:val="left"/>
      <w:lvlText w:val="(%1)"/>
      <w:numFmt w:val="lowerRoman"/>
      <w:start w:val="3"/>
    </w:lvl>
    <w:lvl w:ilvl="1">
      <w:lvlJc w:val="left"/>
      <w:lvlText w:val="(%2)"/>
      <w:numFmt w:val="decimal"/>
      <w:start w:val="14"/>
    </w:lvl>
  </w:abstractNum>
  <w:abstractNum w:abstractNumId="208">
    <w:nsid w:val="CE8E1A7"/>
    <w:multiLevelType w:val="hybridMultilevel"/>
    <w:lvl w:ilvl="0">
      <w:lvlJc w:val="left"/>
      <w:lvlText w:val="(%1)"/>
      <w:numFmt w:val="decimal"/>
      <w:start w:val="15"/>
    </w:lvl>
  </w:abstractNum>
  <w:abstractNum w:abstractNumId="209">
    <w:nsid w:val="4E9EFB0D"/>
    <w:multiLevelType w:val="hybridMultilevel"/>
    <w:lvl w:ilvl="0">
      <w:lvlJc w:val="left"/>
      <w:lvlText w:val="(%1)"/>
      <w:numFmt w:val="lowerLetter"/>
      <w:start w:val="2"/>
    </w:lvl>
  </w:abstractNum>
  <w:abstractNum w:abstractNumId="210">
    <w:nsid w:val="90802BE"/>
    <w:multiLevelType w:val="hybridMultilevel"/>
    <w:lvl w:ilvl="0">
      <w:lvlJc w:val="left"/>
      <w:lvlText w:val="%1"/>
      <w:numFmt w:val="lowerLetter"/>
      <w:start w:val="1"/>
    </w:lvl>
    <w:lvl w:ilvl="1">
      <w:lvlJc w:val="left"/>
      <w:lvlText w:val="(%2)"/>
      <w:numFmt w:val="lowerLetter"/>
      <w:start w:val="3"/>
    </w:lvl>
  </w:abstractNum>
  <w:abstractNum w:abstractNumId="211">
    <w:nsid w:val="3266459B"/>
    <w:multiLevelType w:val="hybridMultilevel"/>
    <w:lvl w:ilvl="0">
      <w:lvlJc w:val="left"/>
      <w:lvlText w:val="(%1)"/>
      <w:numFmt w:val="lowerLetter"/>
      <w:start w:val="9"/>
    </w:lvl>
    <w:lvl w:ilvl="1">
      <w:lvlJc w:val="left"/>
      <w:lvlText w:val="%2"/>
      <w:numFmt w:val="lowerLetter"/>
      <w:start w:val="1"/>
    </w:lvl>
  </w:abstractNum>
  <w:abstractNum w:abstractNumId="212">
    <w:nsid w:val="3F8B0CBF"/>
    <w:multiLevelType w:val="hybridMultilevel"/>
    <w:lvl w:ilvl="0">
      <w:lvlJc w:val="left"/>
      <w:lvlText w:val="(%1)"/>
      <w:numFmt w:val="lowerLetter"/>
      <w:start w:val="4"/>
    </w:lvl>
  </w:abstractNum>
  <w:abstractNum w:abstractNumId="213">
    <w:nsid w:val="37E203AB"/>
    <w:multiLevelType w:val="hybridMultilevel"/>
    <w:lvl w:ilvl="0">
      <w:lvlJc w:val="left"/>
      <w:lvlText w:val="%1"/>
      <w:numFmt w:val="lowerLetter"/>
      <w:start w:val="1"/>
    </w:lvl>
    <w:lvl w:ilvl="1">
      <w:lvlJc w:val="left"/>
      <w:lvlText w:val="(%2)"/>
      <w:numFmt w:val="lowerLetter"/>
      <w:start w:val="5"/>
    </w:lvl>
  </w:abstractNum>
  <w:abstractNum w:abstractNumId="214">
    <w:nsid w:val="2586D60E"/>
    <w:multiLevelType w:val="hybridMultilevel"/>
    <w:lvl w:ilvl="0">
      <w:lvlJc w:val="left"/>
      <w:lvlText w:val="(%1)"/>
      <w:numFmt w:val="lowerLetter"/>
      <w:start w:val="35"/>
    </w:lvl>
    <w:lvl w:ilvl="1">
      <w:lvlJc w:val="left"/>
      <w:lvlText w:val="%2"/>
      <w:numFmt w:val="lowerLetter"/>
      <w:start w:val="1"/>
    </w:lvl>
  </w:abstractNum>
  <w:abstractNum w:abstractNumId="215">
    <w:nsid w:val="1F3DA4D5"/>
    <w:multiLevelType w:val="hybridMultilevel"/>
    <w:lvl w:ilvl="0">
      <w:lvlJc w:val="left"/>
      <w:lvlText w:val="(%1)"/>
      <w:numFmt w:val="decimal"/>
      <w:start w:val="16"/>
    </w:lvl>
  </w:abstractNum>
  <w:abstractNum w:abstractNumId="216">
    <w:nsid w:val="74C93698"/>
    <w:multiLevelType w:val="hybridMultilevel"/>
    <w:lvl w:ilvl="0">
      <w:lvlJc w:val="left"/>
      <w:lvlText w:val="(%1)"/>
      <w:numFmt w:val="decimal"/>
      <w:start w:val="17"/>
    </w:lvl>
  </w:abstractNum>
  <w:abstractNum w:abstractNumId="217">
    <w:nsid w:val="48781401"/>
    <w:multiLevelType w:val="hybridMultilevel"/>
    <w:lvl w:ilvl="0">
      <w:lvlJc w:val="left"/>
      <w:lvlText w:val="(%1)"/>
      <w:numFmt w:val="decimal"/>
      <w:start w:val="18"/>
    </w:lvl>
  </w:abstractNum>
  <w:abstractNum w:abstractNumId="218">
    <w:nsid w:val="186928D6"/>
    <w:multiLevelType w:val="hybridMultilevel"/>
    <w:lvl w:ilvl="0">
      <w:lvlJc w:val="left"/>
      <w:lvlText w:val="(%1)"/>
      <w:numFmt w:val="decimal"/>
      <w:start w:val="19"/>
    </w:lvl>
  </w:abstractNum>
  <w:abstractNum w:abstractNumId="219">
    <w:nsid w:val="47195E5"/>
    <w:multiLevelType w:val="hybridMultilevel"/>
    <w:lvl w:ilvl="0">
      <w:lvlJc w:val="left"/>
      <w:lvlText w:val="(%1)"/>
      <w:numFmt w:val="decimal"/>
      <w:start w:val="20"/>
    </w:lvl>
  </w:abstractNum>
  <w:abstractNum w:abstractNumId="220">
    <w:nsid w:val="3746A5F2"/>
    <w:multiLevelType w:val="hybridMultilevel"/>
    <w:lvl w:ilvl="0">
      <w:lvlJc w:val="left"/>
      <w:lvlText w:val="(%1)"/>
      <w:numFmt w:val="decimal"/>
      <w:start w:val="21"/>
    </w:lvl>
  </w:abstractNum>
  <w:abstractNum w:abstractNumId="221">
    <w:nsid w:val="682DFED6"/>
    <w:multiLevelType w:val="hybridMultilevel"/>
    <w:lvl w:ilvl="0">
      <w:lvlJc w:val="left"/>
      <w:lvlText w:val="(%1)"/>
      <w:numFmt w:val="decimal"/>
      <w:start w:val="22"/>
    </w:lvl>
  </w:abstractNum>
  <w:abstractNum w:abstractNumId="222">
    <w:nsid w:val="606ED7F6"/>
    <w:multiLevelType w:val="hybridMultilevel"/>
    <w:lvl w:ilvl="0">
      <w:lvlJc w:val="left"/>
      <w:lvlText w:val="(%1)"/>
      <w:numFmt w:val="decimal"/>
      <w:start w:val="24"/>
    </w:lvl>
  </w:abstractNum>
  <w:abstractNum w:abstractNumId="223">
    <w:nsid w:val="2D9DF57D"/>
    <w:multiLevelType w:val="hybridMultilevel"/>
    <w:lvl w:ilvl="0">
      <w:lvlJc w:val="left"/>
      <w:lvlText w:val="(%1)"/>
      <w:numFmt w:val="decimal"/>
      <w:start w:val="25"/>
    </w:lvl>
  </w:abstractNum>
  <w:abstractNum w:abstractNumId="224">
    <w:nsid w:val="7FBD7A3E"/>
    <w:multiLevelType w:val="hybridMultilevel"/>
    <w:lvl w:ilvl="0">
      <w:lvlJc w:val="left"/>
      <w:lvlText w:val="(%1)"/>
      <w:numFmt w:val="lowerLetter"/>
      <w:start w:val="2"/>
    </w:lvl>
  </w:abstractNum>
  <w:abstractNum w:abstractNumId="225">
    <w:nsid w:val="490B7C5"/>
    <w:multiLevelType w:val="hybridMultilevel"/>
    <w:lvl w:ilvl="0">
      <w:lvlJc w:val="left"/>
      <w:lvlText w:val="(%1)"/>
      <w:numFmt w:val="decimal"/>
      <w:start w:val="26"/>
    </w:lvl>
  </w:abstractNum>
  <w:abstractNum w:abstractNumId="226">
    <w:nsid w:val="4303A216"/>
    <w:multiLevelType w:val="hybridMultilevel"/>
    <w:lvl w:ilvl="0">
      <w:lvlJc w:val="left"/>
      <w:lvlText w:val="%1."/>
      <w:numFmt w:val="upperLetter"/>
      <w:start w:val="9"/>
    </w:lvl>
  </w:abstractNum>
  <w:abstractNum w:abstractNumId="227">
    <w:nsid w:val="19B8A08E"/>
    <w:multiLevelType w:val="hybridMultilevel"/>
    <w:lvl w:ilvl="0">
      <w:lvlJc w:val="left"/>
      <w:lvlText w:val="%1."/>
      <w:numFmt w:val="upperLetter"/>
      <w:start w:val="35"/>
    </w:lvl>
  </w:abstractNum>
  <w:abstractNum w:abstractNumId="228">
    <w:nsid w:val="54B59621"/>
    <w:multiLevelType w:val="hybridMultilevel"/>
    <w:lvl w:ilvl="0">
      <w:lvlJc w:val="left"/>
      <w:lvlText w:val="(%1)"/>
      <w:numFmt w:val="lowerRoman"/>
      <w:start w:val="1"/>
    </w:lvl>
  </w:abstractNum>
  <w:abstractNum w:abstractNumId="229">
    <w:nsid w:val="5992A02E"/>
    <w:multiLevelType w:val="hybridMultilevel"/>
    <w:lvl w:ilvl="0">
      <w:lvlJc w:val="left"/>
      <w:lvlText w:val="•"/>
      <w:numFmt w:val="bullet"/>
      <w:start w:val="1"/>
    </w:lvl>
  </w:abstractNum>
  <w:abstractNum w:abstractNumId="230">
    <w:nsid w:val="29EF532D"/>
    <w:multiLevelType w:val="hybridMultilevel"/>
    <w:lvl w:ilvl="0">
      <w:lvlJc w:val="left"/>
      <w:lvlText w:val="•"/>
      <w:numFmt w:val="bullet"/>
      <w:start w:val="1"/>
    </w:lvl>
  </w:abstractNum>
  <w:abstractNum w:abstractNumId="231">
    <w:nsid w:val="71D601AF"/>
    <w:multiLevelType w:val="hybridMultilevel"/>
    <w:lvl w:ilvl="0">
      <w:lvlJc w:val="left"/>
      <w:lvlText w:val="•"/>
      <w:numFmt w:val="bullet"/>
      <w:start w:val="1"/>
    </w:lvl>
  </w:abstractNum>
  <w:abstractNum w:abstractNumId="232">
    <w:nsid w:val="52C77402"/>
    <w:multiLevelType w:val="hybridMultilevel"/>
    <w:lvl w:ilvl="0">
      <w:lvlJc w:val="left"/>
      <w:lvlText w:val="•"/>
      <w:numFmt w:val="bullet"/>
      <w:start w:val="1"/>
    </w:lvl>
  </w:abstractNum>
  <w:abstractNum w:abstractNumId="233">
    <w:nsid w:val="2BB5B1C6"/>
    <w:multiLevelType w:val="hybridMultilevel"/>
    <w:lvl w:ilvl="0">
      <w:lvlJc w:val="left"/>
      <w:lvlText w:val="•"/>
      <w:numFmt w:val="bullet"/>
      <w:start w:val="1"/>
    </w:lvl>
  </w:abstractNum>
  <w:abstractNum w:abstractNumId="234">
    <w:nsid w:val="66BE6B9"/>
    <w:multiLevelType w:val="hybridMultilevel"/>
    <w:lvl w:ilvl="0">
      <w:lvlJc w:val="left"/>
      <w:lvlText w:val="•"/>
      <w:numFmt w:val="bullet"/>
      <w:start w:val="1"/>
    </w:lvl>
  </w:abstractNum>
  <w:abstractNum w:abstractNumId="235">
    <w:nsid w:val="62234363"/>
    <w:multiLevelType w:val="hybridMultilevel"/>
    <w:lvl w:ilvl="0">
      <w:lvlJc w:val="left"/>
      <w:lvlText w:val="•"/>
      <w:numFmt w:val="bullet"/>
      <w:start w:val="1"/>
    </w:lvl>
  </w:abstractNum>
  <w:abstractNum w:abstractNumId="236">
    <w:nsid w:val="66D385C9"/>
    <w:multiLevelType w:val="hybridMultilevel"/>
    <w:lvl w:ilvl="0">
      <w:lvlJc w:val="left"/>
      <w:lvlText w:val="•"/>
      <w:numFmt w:val="bullet"/>
      <w:start w:val="1"/>
    </w:lvl>
  </w:abstractNum>
  <w:abstractNum w:abstractNumId="237">
    <w:nsid w:val="596F6D8A"/>
    <w:multiLevelType w:val="hybridMultilevel"/>
    <w:lvl w:ilvl="0">
      <w:lvlJc w:val="left"/>
      <w:lvlText w:val="•"/>
      <w:numFmt w:val="bullet"/>
      <w:start w:val="1"/>
    </w:lvl>
  </w:abstractNum>
  <w:abstractNum w:abstractNumId="238">
    <w:nsid w:val="5749361F"/>
    <w:multiLevelType w:val="hybridMultilevel"/>
    <w:lvl w:ilvl="0">
      <w:lvlJc w:val="left"/>
      <w:lvlText w:val="•"/>
      <w:numFmt w:val="bullet"/>
      <w:start w:val="1"/>
    </w:lvl>
    <w:lvl w:ilvl="1">
      <w:lvlJc w:val="left"/>
      <w:lvlText w:val="(%2)"/>
      <w:numFmt w:val="lowerLetter"/>
      <w:start w:val="2"/>
    </w:lvl>
  </w:abstractNum>
  <w:abstractNum w:abstractNumId="239">
    <w:nsid w:val="73BC6770"/>
    <w:multiLevelType w:val="hybridMultilevel"/>
    <w:lvl w:ilvl="0">
      <w:lvlJc w:val="left"/>
      <w:lvlText w:val="•"/>
      <w:numFmt w:val="bullet"/>
      <w:start w:val="1"/>
    </w:lvl>
  </w:abstractNum>
  <w:abstractNum w:abstractNumId="240">
    <w:nsid w:val="280E6897"/>
    <w:multiLevelType w:val="hybridMultilevel"/>
    <w:lvl w:ilvl="0">
      <w:lvlJc w:val="left"/>
      <w:lvlText w:val="•"/>
      <w:numFmt w:val="bullet"/>
      <w:start w:val="1"/>
    </w:lvl>
  </w:abstractNum>
  <w:abstractNum w:abstractNumId="241">
    <w:nsid w:val="605138DE"/>
    <w:multiLevelType w:val="hybridMultilevel"/>
    <w:lvl w:ilvl="0">
      <w:lvlJc w:val="left"/>
      <w:lvlText w:val="•"/>
      <w:numFmt w:val="bullet"/>
      <w:start w:val="1"/>
    </w:lvl>
  </w:abstractNum>
  <w:abstractNum w:abstractNumId="242">
    <w:nsid w:val="2622AD0C"/>
    <w:multiLevelType w:val="hybridMultilevel"/>
    <w:lvl w:ilvl="0">
      <w:lvlJc w:val="left"/>
      <w:lvlText w:val="•"/>
      <w:numFmt w:val="bullet"/>
      <w:start w:val="1"/>
    </w:lvl>
  </w:abstractNum>
  <w:abstractNum w:abstractNumId="243">
    <w:nsid w:val="67997556"/>
    <w:multiLevelType w:val="hybridMultilevel"/>
    <w:lvl w:ilvl="0">
      <w:lvlJc w:val="left"/>
      <w:lvlText w:val="•"/>
      <w:numFmt w:val="bullet"/>
      <w:start w:val="1"/>
    </w:lvl>
  </w:abstractNum>
  <w:abstractNum w:abstractNumId="244">
    <w:nsid w:val="18333C89"/>
    <w:multiLevelType w:val="hybridMultilevel"/>
    <w:lvl w:ilvl="0">
      <w:lvlJc w:val="left"/>
      <w:lvlText w:val="•"/>
      <w:numFmt w:val="bullet"/>
      <w:start w:val="1"/>
    </w:lvl>
  </w:abstractNum>
  <w:abstractNum w:abstractNumId="245">
    <w:nsid w:val="4BA9831A"/>
    <w:multiLevelType w:val="hybridMultilevel"/>
    <w:lvl w:ilvl="0">
      <w:lvlJc w:val="left"/>
      <w:lvlText w:val="•"/>
      <w:numFmt w:val="bullet"/>
      <w:start w:val="1"/>
    </w:lvl>
  </w:abstractNum>
  <w:abstractNum w:abstractNumId="246">
    <w:nsid w:val="6D71A2B"/>
    <w:multiLevelType w:val="hybridMultilevel"/>
    <w:lvl w:ilvl="0">
      <w:lvlJc w:val="left"/>
      <w:lvlText w:val="•"/>
      <w:numFmt w:val="bullet"/>
      <w:start w:val="1"/>
    </w:lvl>
  </w:abstractNum>
  <w:abstractNum w:abstractNumId="247">
    <w:nsid w:val="CFC7321"/>
    <w:multiLevelType w:val="hybridMultilevel"/>
    <w:lvl w:ilvl="0">
      <w:lvlJc w:val="left"/>
      <w:lvlText w:val="•"/>
      <w:numFmt w:val="bullet"/>
      <w:start w:val="1"/>
    </w:lvl>
  </w:abstractNum>
  <w:abstractNum w:abstractNumId="248">
    <w:nsid w:val="1421971B"/>
    <w:multiLevelType w:val="hybridMultilevel"/>
    <w:lvl w:ilvl="0">
      <w:lvlJc w:val="left"/>
      <w:lvlText w:val="•"/>
      <w:numFmt w:val="bullet"/>
      <w:start w:val="1"/>
    </w:lvl>
  </w:abstractNum>
  <w:abstractNum w:abstractNumId="249">
    <w:nsid w:val="1F404301"/>
    <w:multiLevelType w:val="hybridMultilevel"/>
    <w:lvl w:ilvl="0">
      <w:lvlJc w:val="left"/>
      <w:lvlText w:val="•"/>
      <w:numFmt w:val="bullet"/>
      <w:start w:val="1"/>
    </w:lvl>
  </w:abstractNum>
  <w:abstractNum w:abstractNumId="250">
    <w:nsid w:val="116E0907"/>
    <w:multiLevelType w:val="hybridMultilevel"/>
    <w:lvl w:ilvl="0">
      <w:lvlJc w:val="left"/>
      <w:lvlText w:val="•"/>
      <w:numFmt w:val="bullet"/>
      <w:start w:val="1"/>
    </w:lvl>
  </w:abstractNum>
  <w:abstractNum w:abstractNumId="251">
    <w:nsid w:val="4B683D0D"/>
    <w:multiLevelType w:val="hybridMultilevel"/>
    <w:lvl w:ilvl="0">
      <w:lvlJc w:val="left"/>
      <w:lvlText w:val="%1."/>
      <w:numFmt w:val="decimal"/>
      <w:start w:val="1"/>
    </w:lvl>
    <w:lvl w:ilvl="1">
      <w:lvlJc w:val="left"/>
      <w:lvlText w:val="(%2)"/>
      <w:numFmt w:val="lowerLetter"/>
      <w:start w:val="1"/>
    </w:lvl>
  </w:abstractNum>
  <w:abstractNum w:abstractNumId="252">
    <w:nsid w:val="76E41D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253">
    <w:nsid w:val="71DCE0F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54">
    <w:nsid w:val="7906328B"/>
    <w:multiLevelType w:val="hybridMultilevel"/>
    <w:lvl w:ilvl="0">
      <w:lvlJc w:val="left"/>
      <w:lvlText w:val="(%1)"/>
      <w:numFmt w:val="lowerRoman"/>
      <w:start w:val="2"/>
    </w:lvl>
  </w:abstractNum>
  <w:abstractNum w:abstractNumId="255">
    <w:nsid w:val="72BBC16"/>
    <w:multiLevelType w:val="hybridMultilevel"/>
    <w:lvl w:ilvl="0">
      <w:lvlJc w:val="left"/>
      <w:lvlText w:val="(%1)"/>
      <w:numFmt w:val="lowerLetter"/>
      <w:start w:val="10"/>
    </w:lvl>
  </w:abstractNum>
  <w:abstractNum w:abstractNumId="256">
    <w:nsid w:val="766D98C2"/>
    <w:multiLevelType w:val="hybridMultilevel"/>
    <w:lvl w:ilvl="0">
      <w:lvlJc w:val="left"/>
      <w:lvlText w:val="(%1)"/>
      <w:numFmt w:val="lowerLetter"/>
      <w:start w:val="15"/>
    </w:lvl>
  </w:abstractNum>
  <w:abstractNum w:abstractNumId="257">
    <w:nsid w:val="3C09D4A1"/>
    <w:multiLevelType w:val="hybridMultilevel"/>
    <w:lvl w:ilvl="0">
      <w:lvlJc w:val="left"/>
      <w:lvlText w:val="(%1)"/>
      <w:numFmt w:val="lowerLetter"/>
      <w:start w:val="16"/>
    </w:lvl>
  </w:abstractNum>
  <w:abstractNum w:abstractNumId="258">
    <w:nsid w:val="20E45CA4"/>
    <w:multiLevelType w:val="hybridMultilevel"/>
    <w:lvl w:ilvl="0">
      <w:lvlJc w:val="left"/>
      <w:lvlText w:val="(%1)"/>
      <w:numFmt w:val="lowerLetter"/>
      <w:start w:val="20"/>
    </w:lvl>
    <w:lvl w:ilvl="1">
      <w:lvlJc w:val="left"/>
      <w:lvlText w:val="(%2)"/>
      <w:numFmt w:val="lowerRoman"/>
      <w:start w:val="1"/>
    </w:lvl>
  </w:abstractNum>
  <w:abstractNum w:abstractNumId="259">
    <w:nsid w:val="4B232EE3"/>
    <w:multiLevelType w:val="hybridMultilevel"/>
    <w:lvl w:ilvl="0">
      <w:lvlJc w:val="left"/>
      <w:lvlText w:val="(%1)"/>
      <w:numFmt w:val="lowerLetter"/>
      <w:start w:val="26"/>
    </w:lvl>
  </w:abstractNum>
  <w:abstractNum w:abstractNumId="260">
    <w:nsid w:val="159C74CF"/>
    <w:multiLevelType w:val="hybridMultilevel"/>
    <w:lvl w:ilvl="0">
      <w:lvlJc w:val="left"/>
      <w:lvlText w:val="(%1)"/>
      <w:numFmt w:val="lowerLetter"/>
      <w:start w:val="27"/>
    </w:lvl>
  </w:abstractNum>
  <w:abstractNum w:abstractNumId="261">
    <w:nsid w:val="4AD3AFD2"/>
    <w:multiLevelType w:val="hybridMultilevel"/>
    <w:lvl w:ilvl="0">
      <w:lvlJc w:val="left"/>
      <w:lvlText w:val="(%1)"/>
      <w:numFmt w:val="lowerLetter"/>
      <w:start w:val="37"/>
    </w:lvl>
  </w:abstractNum>
  <w:abstractNum w:abstractNumId="262">
    <w:nsid w:val="3CF93092"/>
    <w:multiLevelType w:val="hybridMultilevel"/>
    <w:lvl w:ilvl="0">
      <w:lvlJc w:val="left"/>
      <w:lvlText w:val="(%1)"/>
      <w:numFmt w:val="lowerLetter"/>
      <w:start w:val="46"/>
    </w:lvl>
  </w:abstractNum>
  <w:abstractNum w:abstractNumId="263">
    <w:nsid w:val="6863E8D2"/>
    <w:multiLevelType w:val="hybridMultilevel"/>
    <w:lvl w:ilvl="0">
      <w:lvlJc w:val="left"/>
      <w:lvlText w:val="(%1)"/>
      <w:numFmt w:val="lowerLetter"/>
      <w:start w:val="53"/>
    </w:lvl>
  </w:abstractNum>
  <w:abstractNum w:abstractNumId="264">
    <w:nsid w:val="76896198"/>
    <w:multiLevelType w:val="hybridMultilevel"/>
    <w:lvl w:ilvl="0">
      <w:lvlJc w:val="left"/>
      <w:lvlText w:val="%1"/>
      <w:numFmt w:val="decimal"/>
      <w:start w:val="1"/>
    </w:lvl>
    <w:lvl w:ilvl="1">
      <w:lvlJc w:val="left"/>
      <w:lvlText w:val="(%2)"/>
      <w:numFmt w:val="lowerLetter"/>
      <w:start w:val="56"/>
    </w:lvl>
  </w:abstractNum>
  <w:abstractNum w:abstractNumId="265">
    <w:nsid w:val="4365174B"/>
    <w:multiLevelType w:val="hybridMultilevel"/>
    <w:lvl w:ilvl="0">
      <w:lvlJc w:val="left"/>
      <w:lvlText w:val="%1."/>
      <w:numFmt w:val="decimal"/>
      <w:start w:val="3"/>
    </w:lvl>
    <w:lvl w:ilvl="1">
      <w:lvlJc w:val="left"/>
      <w:lvlText w:val="(%2)"/>
      <w:numFmt w:val="lowerLetter"/>
      <w:start w:val="1"/>
    </w:lvl>
  </w:abstractNum>
  <w:abstractNum w:abstractNumId="266">
    <w:nsid w:val="4A872C35"/>
    <w:multiLevelType w:val="hybridMultilevel"/>
    <w:lvl w:ilvl="0">
      <w:lvlJc w:val="left"/>
      <w:lvlText w:val="(%1)"/>
      <w:numFmt w:val="lowerLetter"/>
      <w:start w:val="4"/>
    </w:lvl>
  </w:abstractNum>
  <w:abstractNum w:abstractNumId="267">
    <w:nsid w:val="5D5CE761"/>
    <w:multiLevelType w:val="hybridMultilevel"/>
    <w:lvl w:ilvl="0">
      <w:lvlJc w:val="left"/>
      <w:lvlText w:val="1"/>
      <w:numFmt w:val="bullet"/>
      <w:start w:val="1"/>
    </w:lvl>
  </w:abstractNum>
  <w:abstractNum w:abstractNumId="268">
    <w:nsid w:val="1CD484D5"/>
    <w:multiLevelType w:val="hybridMultilevel"/>
    <w:lvl w:ilvl="0">
      <w:lvlJc w:val="left"/>
      <w:lvlText w:val="(%1)"/>
      <w:numFmt w:val="lowerRoman"/>
      <w:start w:val="1"/>
    </w:lvl>
  </w:abstractNum>
  <w:abstractNum w:abstractNumId="269">
    <w:nsid w:val="21D0625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0">
    <w:nsid w:val="51194ED1"/>
    <w:multiLevelType w:val="hybridMultilevel"/>
    <w:lvl w:ilvl="0">
      <w:lvlJc w:val="left"/>
      <w:lvlText w:val="(%1)"/>
      <w:numFmt w:val="lowerRoman"/>
      <w:start w:val="8"/>
    </w:lvl>
  </w:abstractNum>
  <w:abstractNum w:abstractNumId="271">
    <w:nsid w:val="44E2ED6C"/>
    <w:multiLevelType w:val="hybridMultilevel"/>
    <w:lvl w:ilvl="0">
      <w:lvlJc w:val="left"/>
      <w:lvlText w:val="%1."/>
      <w:numFmt w:val="decimal"/>
      <w:start w:val="5"/>
    </w:lvl>
  </w:abstractNum>
  <w:abstractNum w:abstractNumId="272">
    <w:nsid w:val="2219B33"/>
    <w:multiLevelType w:val="hybridMultilevel"/>
    <w:lvl w:ilvl="0">
      <w:lvlJc w:val="left"/>
      <w:lvlText w:val="%1."/>
      <w:numFmt w:val="decimal"/>
      <w:start w:val="6"/>
    </w:lvl>
    <w:lvl w:ilvl="1">
      <w:lvlJc w:val="left"/>
      <w:lvlText w:val="(%2)"/>
      <w:numFmt w:val="lowerLetter"/>
      <w:start w:val="1"/>
    </w:lvl>
  </w:abstractNum>
  <w:abstractNum w:abstractNumId="273">
    <w:nsid w:val="773BFBDD"/>
    <w:multiLevelType w:val="hybridMultilevel"/>
    <w:lvl w:ilvl="0">
      <w:lvlJc w:val="left"/>
      <w:lvlText w:val="(%1)"/>
      <w:numFmt w:val="lowerLetter"/>
      <w:start w:val="2"/>
    </w:lvl>
  </w:abstractNum>
  <w:abstractNum w:abstractNumId="274">
    <w:nsid w:val="2C7C62C2"/>
    <w:multiLevelType w:val="hybridMultilevel"/>
    <w:lvl w:ilvl="0">
      <w:lvlJc w:val="left"/>
      <w:lvlText w:val="(%1)"/>
      <w:numFmt w:val="lowerLetter"/>
      <w:start w:val="5"/>
    </w:lvl>
    <w:lvl w:ilvl="1">
      <w:lvlJc w:val="left"/>
      <w:lvlText w:val="(%2)"/>
      <w:numFmt w:val="lowerRoman"/>
      <w:start w:val="1"/>
    </w:lvl>
  </w:abstractNum>
  <w:abstractNum w:abstractNumId="275">
    <w:nsid w:val="1A54D7BC"/>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276">
    <w:nsid w:val="42E57EF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277">
    <w:nsid w:val="33537CED"/>
    <w:multiLevelType w:val="hybridMultilevel"/>
    <w:lvl w:ilvl="0">
      <w:lvlJc w:val="left"/>
      <w:lvlText w:val="%1"/>
      <w:numFmt w:val="decimal"/>
      <w:start w:val="1"/>
    </w:lvl>
    <w:lvl w:ilvl="1">
      <w:lvlJc w:val="left"/>
      <w:lvlText w:val="(%2)"/>
      <w:numFmt w:val="lowerRoman"/>
      <w:start w:val="1"/>
    </w:lvl>
  </w:abstractNum>
  <w:abstractNum w:abstractNumId="278">
    <w:nsid w:val="27514ADE"/>
    <w:multiLevelType w:val="hybridMultilevel"/>
    <w:lvl w:ilvl="0">
      <w:lvlJc w:val="left"/>
      <w:lvlText w:val="%1."/>
      <w:numFmt w:val="decimal"/>
      <w:start w:val="8"/>
    </w:lvl>
    <w:lvl w:ilvl="1">
      <w:lvlJc w:val="left"/>
      <w:lvlText w:val="%2"/>
      <w:numFmt w:val="lowerRoman"/>
      <w:start w:val="1"/>
    </w:lvl>
  </w:abstractNum>
  <w:abstractNum w:abstractNumId="279">
    <w:nsid w:val="57071613"/>
    <w:multiLevelType w:val="hybridMultilevel"/>
    <w:lvl w:ilvl="0">
      <w:lvlJc w:val="left"/>
      <w:lvlText w:val="%1."/>
      <w:numFmt w:val="decimal"/>
      <w:start w:val="10"/>
    </w:lvl>
    <w:lvl w:ilvl="1">
      <w:lvlJc w:val="left"/>
      <w:lvlText w:val="(%2)"/>
      <w:numFmt w:val="lowerLetter"/>
      <w:start w:val="1"/>
    </w:lvl>
  </w:abstractNum>
  <w:abstractNum w:abstractNumId="280">
    <w:nsid w:val="5293BFE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81">
    <w:nsid w:val="38BF53E5"/>
    <w:multiLevelType w:val="hybridMultilevel"/>
    <w:lvl w:ilvl="0">
      <w:lvlJc w:val="left"/>
      <w:lvlText w:val="(%1)"/>
      <w:numFmt w:val="lowerRoman"/>
      <w:start w:val="3"/>
    </w:lvl>
  </w:abstractNum>
  <w:abstractNum w:abstractNumId="282">
    <w:nsid w:val="226F5320"/>
    <w:multiLevelType w:val="hybridMultilevel"/>
    <w:lvl w:ilvl="0">
      <w:lvlJc w:val="left"/>
      <w:lvlText w:val="%1"/>
      <w:numFmt w:val="decimal"/>
      <w:start w:val="1"/>
    </w:lvl>
    <w:lvl w:ilvl="1">
      <w:lvlJc w:val="left"/>
      <w:lvlText w:val="(%2)"/>
      <w:numFmt w:val="lowerLetter"/>
      <w:start w:val="3"/>
    </w:lvl>
  </w:abstractNum>
  <w:abstractNum w:abstractNumId="283">
    <w:nsid w:val="5A0201C7"/>
    <w:multiLevelType w:val="hybridMultilevel"/>
    <w:lvl w:ilvl="0">
      <w:lvlJc w:val="left"/>
      <w:lvlText w:val="%1."/>
      <w:numFmt w:val="decimal"/>
      <w:start w:val="12"/>
    </w:lvl>
    <w:lvl w:ilvl="1">
      <w:lvlJc w:val="left"/>
      <w:lvlText w:val="%2"/>
      <w:numFmt w:val="lowerLetter"/>
      <w:start w:val="1"/>
    </w:lvl>
  </w:abstractNum>
  <w:abstractNum w:abstractNumId="284">
    <w:nsid w:val="2A9C34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5">
    <w:nsid w:val="1B7585AB"/>
    <w:multiLevelType w:val="hybridMultilevel"/>
    <w:lvl w:ilvl="0">
      <w:lvlJc w:val="left"/>
      <w:lvlText w:val="%1"/>
      <w:numFmt w:val="decimal"/>
      <w:start w:val="1"/>
    </w:lvl>
    <w:lvl w:ilvl="1">
      <w:lvlJc w:val="left"/>
      <w:lvlText w:val="(%2)"/>
      <w:numFmt w:val="lowerLetter"/>
      <w:start w:val="2"/>
    </w:lvl>
  </w:abstractNum>
  <w:abstractNum w:abstractNumId="286">
    <w:nsid w:val="612DBDDD"/>
    <w:multiLevelType w:val="hybridMultilevel"/>
    <w:lvl w:ilvl="0">
      <w:lvlJc w:val="left"/>
      <w:lvlText w:val="%1."/>
      <w:numFmt w:val="decimal"/>
      <w:start w:val="13"/>
    </w:lvl>
    <w:lvl w:ilvl="1">
      <w:lvlJc w:val="left"/>
      <w:lvlText w:val="%2"/>
      <w:numFmt w:val="lowerLetter"/>
      <w:start w:val="1"/>
    </w:lvl>
  </w:abstractNum>
  <w:abstractNum w:abstractNumId="287">
    <w:nsid w:val="2109CDA4"/>
    <w:multiLevelType w:val="hybridMultilevel"/>
    <w:lvl w:ilvl="0">
      <w:lvlJc w:val="left"/>
      <w:lvlText w:val="%1."/>
      <w:numFmt w:val="decimal"/>
      <w:start w:val="15"/>
    </w:lvl>
  </w:abstractNum>
  <w:abstractNum w:abstractNumId="288">
    <w:nsid w:val="577F5A4D"/>
    <w:multiLevelType w:val="hybridMultilevel"/>
    <w:lvl w:ilvl="0">
      <w:lvlJc w:val="left"/>
      <w:lvlText w:val="%1."/>
      <w:numFmt w:val="decimal"/>
      <w:start w:val="19"/>
    </w:lvl>
  </w:abstractNum>
  <w:abstractNum w:abstractNumId="289">
    <w:nsid w:val="2121A81"/>
    <w:multiLevelType w:val="hybridMultilevel"/>
    <w:lvl w:ilvl="0">
      <w:lvlJc w:val="left"/>
      <w:lvlText w:val="%1."/>
      <w:numFmt w:val="decimal"/>
      <w:start w:val="23"/>
    </w:lvl>
    <w:lvl w:ilvl="1">
      <w:lvlJc w:val="left"/>
      <w:lvlText w:val="(%2)"/>
      <w:numFmt w:val="lowerLetter"/>
      <w:start w:val="1"/>
    </w:lvl>
  </w:abstractNum>
  <w:abstractNum w:abstractNumId="290">
    <w:nsid w:val="6C2CFC88"/>
    <w:multiLevelType w:val="hybridMultilevel"/>
    <w:lvl w:ilvl="0">
      <w:lvlJc w:val="left"/>
      <w:lvlText w:val="%1"/>
      <w:numFmt w:val="decimal"/>
      <w:start w:val="1"/>
    </w:lvl>
    <w:lvl w:ilvl="1">
      <w:lvlJc w:val="left"/>
      <w:lvlText w:val="(%2)"/>
      <w:numFmt w:val="lowerLetter"/>
      <w:start w:val="2"/>
    </w:lvl>
  </w:abstractNum>
  <w:abstractNum w:abstractNumId="291">
    <w:nsid w:val="6D1BCF1C"/>
    <w:multiLevelType w:val="hybridMultilevel"/>
    <w:lvl w:ilvl="0">
      <w:lvlJc w:val="left"/>
      <w:lvlText w:val="%1."/>
      <w:numFmt w:val="decimal"/>
      <w:start w:val="25"/>
    </w:lvl>
    <w:lvl w:ilvl="1">
      <w:lvlJc w:val="left"/>
      <w:lvlText w:val="%2"/>
      <w:numFmt w:val="lowerLetter"/>
      <w:start w:val="1"/>
    </w:lvl>
  </w:abstractNum>
  <w:abstractNum w:abstractNumId="292">
    <w:nsid w:val="4CE5CA53"/>
    <w:multiLevelType w:val="hybridMultilevel"/>
    <w:lvl w:ilvl="0">
      <w:lvlJc w:val="left"/>
      <w:lvlText w:val="%1."/>
      <w:numFmt w:val="decimal"/>
      <w:start w:val="26"/>
    </w:lvl>
    <w:lvl w:ilvl="1">
      <w:lvlJc w:val="left"/>
      <w:lvlText w:val="(%2)"/>
      <w:numFmt w:val="lowerLetter"/>
      <w:start w:val="1"/>
    </w:lvl>
  </w:abstractNum>
  <w:abstractNum w:abstractNumId="293">
    <w:nsid w:val="29262D1A"/>
    <w:multiLevelType w:val="hybridMultilevel"/>
    <w:lvl w:ilvl="0">
      <w:lvlJc w:val="left"/>
      <w:lvlText w:val="%1."/>
      <w:numFmt w:val="decimal"/>
      <w:start w:val="29"/>
    </w:lvl>
  </w:abstractNum>
  <w:abstractNum w:abstractNumId="294">
    <w:nsid w:val="557FB7EE"/>
    <w:multiLevelType w:val="hybridMultilevel"/>
    <w:lvl w:ilvl="0">
      <w:lvlJc w:val="left"/>
      <w:lvlText w:val="%1."/>
      <w:numFmt w:val="decimal"/>
      <w:start w:val="35"/>
    </w:lvl>
  </w:abstractNum>
  <w:abstractNum w:abstractNumId="295">
    <w:nsid w:val="436F2BEB"/>
    <w:multiLevelType w:val="hybridMultilevel"/>
    <w:lvl w:ilvl="0">
      <w:lvlJc w:val="left"/>
      <w:lvlText w:val="%1."/>
      <w:numFmt w:val="decimal"/>
      <w:start w:val="39"/>
    </w:lvl>
  </w:abstractNum>
  <w:abstractNum w:abstractNumId="296">
    <w:nsid w:val="6C8B4466"/>
    <w:multiLevelType w:val="hybridMultilevel"/>
    <w:lvl w:ilvl="0">
      <w:lvlJc w:val="left"/>
      <w:lvlText w:val="%1."/>
      <w:numFmt w:val="decimal"/>
      <w:start w:val="1"/>
    </w:lvl>
  </w:abstractNum>
  <w:abstractNum w:abstractNumId="297">
    <w:nsid w:val="2006E424"/>
    <w:multiLevelType w:val="hybridMultilevel"/>
    <w:lvl w:ilvl="0">
      <w:lvlJc w:val="left"/>
      <w:lvlText w:val="%1."/>
      <w:numFmt w:val="decimal"/>
      <w:start w:val="2"/>
    </w:lvl>
  </w:abstractNum>
  <w:abstractNum w:abstractNumId="298">
    <w:nsid w:val="20CC134C"/>
    <w:multiLevelType w:val="hybridMultilevel"/>
    <w:lvl w:ilvl="0">
      <w:lvlJc w:val="left"/>
      <w:lvlText w:val="%1."/>
      <w:numFmt w:val="decimal"/>
      <w:start w:val="3"/>
    </w:lvl>
  </w:abstractNum>
  <w:abstractNum w:abstractNumId="299">
    <w:nsid w:val="95FC93B"/>
    <w:multiLevelType w:val="hybridMultilevel"/>
    <w:lvl w:ilvl="0">
      <w:lvlJc w:val="left"/>
      <w:lvlText w:val="%1."/>
      <w:numFmt w:val="decimal"/>
      <w:start w:val="1"/>
    </w:lvl>
  </w:abstractNum>
  <w:abstractNum w:abstractNumId="300">
    <w:nsid w:val="41D7467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1">
    <w:nsid w:val="71E5621E"/>
    <w:multiLevelType w:val="hybridMultilevel"/>
    <w:lvl w:ilvl="0">
      <w:lvlJc w:val="left"/>
      <w:lvlText w:val="(%1)"/>
      <w:numFmt w:val="lowerLetter"/>
      <w:start w:val="4"/>
    </w:lvl>
  </w:abstractNum>
  <w:abstractNum w:abstractNumId="302">
    <w:nsid w:val="4E42B6A8"/>
    <w:multiLevelType w:val="hybridMultilevel"/>
    <w:lvl w:ilvl="0">
      <w:lvlJc w:val="left"/>
      <w:lvlText w:val="(%1)"/>
      <w:numFmt w:val="lowerLetter"/>
      <w:start w:val="10"/>
    </w:lvl>
    <w:lvl w:ilvl="1">
      <w:lvlJc w:val="left"/>
      <w:lvlText w:val="(%2)"/>
      <w:numFmt w:val="lowerRoman"/>
      <w:start w:val="1"/>
    </w:lvl>
  </w:abstractNum>
  <w:abstractNum w:abstractNumId="303">
    <w:nsid w:val="43F8E1AC"/>
    <w:multiLevelType w:val="hybridMultilevel"/>
    <w:lvl w:ilvl="0">
      <w:lvlJc w:val="left"/>
      <w:lvlText w:val="%1."/>
      <w:numFmt w:val="decimal"/>
      <w:start w:val="3"/>
    </w:lvl>
    <w:lvl w:ilvl="1">
      <w:lvlJc w:val="left"/>
      <w:lvlText w:val="(%2)"/>
      <w:numFmt w:val="lowerLetter"/>
      <w:start w:val="1"/>
    </w:lvl>
  </w:abstractNum>
  <w:abstractNum w:abstractNumId="304">
    <w:nsid w:val="69215DFB"/>
    <w:multiLevelType w:val="hybridMultilevel"/>
    <w:lvl w:ilvl="0">
      <w:lvlJc w:val="left"/>
      <w:lvlText w:val="%1."/>
      <w:numFmt w:val="decimal"/>
      <w:start w:val="5"/>
    </w:lvl>
    <w:lvl w:ilvl="1">
      <w:lvlJc w:val="left"/>
      <w:lvlText w:val="(%2)"/>
      <w:numFmt w:val="lowerLetter"/>
      <w:start w:val="1"/>
    </w:lvl>
  </w:abstractNum>
  <w:abstractNum w:abstractNumId="305">
    <w:nsid w:val="7ABF196A"/>
    <w:multiLevelType w:val="hybridMultilevel"/>
    <w:lvl w:ilvl="0">
      <w:lvlJc w:val="left"/>
      <w:lvlText w:val="%1"/>
      <w:numFmt w:val="decimal"/>
      <w:start w:val="1"/>
    </w:lvl>
    <w:lvl w:ilvl="1">
      <w:lvlJc w:val="left"/>
      <w:lvlText w:val="(%2)"/>
      <w:numFmt w:val="lowerLetter"/>
      <w:start w:val="3"/>
    </w:lvl>
  </w:abstractNum>
  <w:abstractNum w:abstractNumId="306">
    <w:nsid w:val="5E4DB968"/>
    <w:multiLevelType w:val="hybridMultilevel"/>
    <w:lvl w:ilvl="0">
      <w:lvlJc w:val="left"/>
      <w:lvlText w:val="%1."/>
      <w:numFmt w:val="decimal"/>
      <w:start w:val="7"/>
    </w:lvl>
    <w:lvl w:ilvl="1">
      <w:lvlJc w:val="left"/>
      <w:lvlText w:val="(%2)"/>
      <w:numFmt w:val="lowerLetter"/>
      <w:start w:val="1"/>
    </w:lvl>
  </w:abstractNum>
  <w:abstractNum w:abstractNumId="307">
    <w:nsid w:val="2C06DCF3"/>
    <w:multiLevelType w:val="hybridMultilevel"/>
    <w:lvl w:ilvl="0">
      <w:lvlJc w:val="left"/>
      <w:lvlText w:val="%1"/>
      <w:numFmt w:val="decimal"/>
      <w:start w:val="1"/>
    </w:lvl>
    <w:lvl w:ilvl="1">
      <w:lvlJc w:val="left"/>
      <w:lvlText w:val="(%2)"/>
      <w:numFmt w:val="lowerLetter"/>
      <w:start w:val="3"/>
    </w:lvl>
  </w:abstractNum>
  <w:abstractNum w:abstractNumId="308">
    <w:nsid w:val="2E129658"/>
    <w:multiLevelType w:val="hybridMultilevel"/>
    <w:lvl w:ilvl="0">
      <w:lvlJc w:val="left"/>
      <w:lvlText w:val="%1."/>
      <w:numFmt w:val="decimal"/>
      <w:start w:val="10"/>
    </w:lvl>
    <w:lvl w:ilvl="1">
      <w:lvlJc w:val="left"/>
      <w:lvlText w:val="(%2)"/>
      <w:numFmt w:val="lowerLetter"/>
      <w:start w:val="1"/>
    </w:lvl>
  </w:abstractNum>
  <w:abstractNum w:abstractNumId="309">
    <w:nsid w:val="59F0446"/>
    <w:multiLevelType w:val="hybridMultilevel"/>
    <w:lvl w:ilvl="0">
      <w:lvlJc w:val="left"/>
      <w:lvlText w:val="(%1)"/>
      <w:numFmt w:val="lowerLetter"/>
      <w:start w:val="1"/>
    </w:lvl>
  </w:abstractNum>
  <w:abstractNum w:abstractNumId="310">
    <w:nsid w:val="30DF306"/>
    <w:multiLevelType w:val="hybridMultilevel"/>
    <w:lvl w:ilvl="0">
      <w:lvlJc w:val="left"/>
      <w:lvlText w:val="(%1)"/>
      <w:numFmt w:val="lowerLetter"/>
      <w:start w:val="1"/>
    </w:lvl>
  </w:abstractNum>
  <w:abstractNum w:abstractNumId="311">
    <w:nsid w:val="A65647"/>
    <w:multiLevelType w:val="hybridMultilevel"/>
    <w:lvl w:ilvl="0">
      <w:lvlJc w:val="left"/>
      <w:lvlText w:val="%1."/>
      <w:numFmt w:val="decimal"/>
      <w:start w:val="1"/>
    </w:lvl>
  </w:abstractNum>
  <w:abstractNum w:abstractNumId="312">
    <w:nsid w:val="3E5E582B"/>
    <w:multiLevelType w:val="hybridMultilevel"/>
    <w:lvl w:ilvl="0">
      <w:lvlJc w:val="left"/>
      <w:lvlText w:val="%1."/>
      <w:numFmt w:val="decimal"/>
      <w:start w:val="2"/>
    </w:lvl>
  </w:abstractNum>
  <w:abstractNum w:abstractNumId="313">
    <w:nsid w:val="257D4626"/>
    <w:multiLevelType w:val="hybridMultilevel"/>
    <w:lvl w:ilvl="0">
      <w:lvlJc w:val="left"/>
      <w:lvlText w:val="%1."/>
      <w:numFmt w:val="decimal"/>
      <w:start w:val="3"/>
    </w:lvl>
  </w:abstractNum>
  <w:abstractNum w:abstractNumId="314">
    <w:nsid w:val="5AA8580E"/>
    <w:multiLevelType w:val="hybridMultilevel"/>
    <w:lvl w:ilvl="0">
      <w:lvlJc w:val="left"/>
      <w:lvlText w:val="%1."/>
      <w:numFmt w:val="decimal"/>
      <w:start w:val="4"/>
    </w:lvl>
  </w:abstractNum>
  <w:abstractNum w:abstractNumId="315">
    <w:nsid w:val="68FA8D0D"/>
    <w:multiLevelType w:val="hybridMultilevel"/>
    <w:lvl w:ilvl="0">
      <w:lvlJc w:val="left"/>
      <w:lvlText w:val="%1."/>
      <w:numFmt w:val="decimal"/>
      <w:start w:val="5"/>
    </w:lvl>
  </w:abstractNum>
  <w:abstractNum w:abstractNumId="316">
    <w:nsid w:val="40F2CBD2"/>
    <w:multiLevelType w:val="hybridMultilevel"/>
    <w:lvl w:ilvl="0">
      <w:lvlJc w:val="left"/>
      <w:lvlText w:val="%1."/>
      <w:numFmt w:val="decimal"/>
      <w:start w:val="7"/>
    </w:lvl>
  </w:abstractNum>
  <w:abstractNum w:abstractNumId="317">
    <w:nsid w:val="3BD615EB"/>
    <w:multiLevelType w:val="hybridMultilevel"/>
    <w:lvl w:ilvl="0">
      <w:lvlJc w:val="left"/>
      <w:lvlText w:val="(%1)"/>
      <w:numFmt w:val="decimal"/>
      <w:start w:val="1"/>
    </w:lvl>
  </w:abstractNum>
  <w:abstractNum w:abstractNumId="318">
    <w:nsid w:val="A045AB2"/>
    <w:multiLevelType w:val="hybridMultilevel"/>
    <w:lvl w:ilvl="0">
      <w:lvlJc w:val="left"/>
      <w:lvlText w:val="(%1)"/>
      <w:numFmt w:val="upperLetter"/>
      <w:start w:val="1"/>
    </w:lvl>
  </w:abstractNum>
  <w:abstractNum w:abstractNumId="319">
    <w:nsid w:val="1872261F"/>
    <w:multiLevelType w:val="hybridMultilevel"/>
    <w:lvl w:ilvl="0">
      <w:lvlJc w:val="left"/>
      <w:lvlText w:val="%1."/>
      <w:numFmt w:val="decimal"/>
      <w:start w:val="1"/>
    </w:lvl>
  </w:abstractNum>
  <w:abstractNum w:abstractNumId="320">
    <w:nsid w:val="3DE8306C"/>
    <w:multiLevelType w:val="hybridMultilevel"/>
    <w:lvl w:ilvl="0">
      <w:lvlJc w:val="left"/>
      <w:lvlText w:val="%1."/>
      <w:numFmt w:val="decimal"/>
      <w:start w:val="2"/>
    </w:lvl>
  </w:abstractNum>
  <w:abstractNum w:abstractNumId="321">
    <w:nsid w:val="7631573A"/>
    <w:multiLevelType w:val="hybridMultilevel"/>
    <w:lvl w:ilvl="0">
      <w:lvlJc w:val="left"/>
      <w:lvlText w:val="%1."/>
      <w:numFmt w:val="decimal"/>
      <w:start w:val="3"/>
    </w:lvl>
  </w:abstractNum>
  <w:abstractNum w:abstractNumId="322">
    <w:nsid w:val="58DF53B"/>
    <w:multiLevelType w:val="hybridMultilevel"/>
    <w:lvl w:ilvl="0">
      <w:lvlJc w:val="left"/>
      <w:lvlText w:val="(%1)"/>
      <w:numFmt w:val="lowerLetter"/>
      <w:start w:val="1"/>
    </w:lvl>
  </w:abstractNum>
  <w:abstractNum w:abstractNumId="323">
    <w:nsid w:val="ACDFAC0"/>
    <w:multiLevelType w:val="hybridMultilevel"/>
    <w:lvl w:ilvl="0">
      <w:lvlJc w:val="left"/>
      <w:lvlText w:val="(%1)"/>
      <w:numFmt w:val="lowerLetter"/>
      <w:start w:val="1"/>
    </w:lvl>
  </w:abstractNum>
  <w:abstractNum w:abstractNumId="324">
    <w:nsid w:val="1F578454"/>
    <w:multiLevelType w:val="hybridMultilevel"/>
    <w:lvl w:ilvl="0">
      <w:lvlJc w:val="left"/>
      <w:lvlText w:val="(%1)"/>
      <w:numFmt w:val="lowerLetter"/>
      <w:start w:val="2"/>
    </w:lvl>
  </w:abstractNum>
  <w:abstractNum w:abstractNumId="325">
    <w:nsid w:val="5B0DAD2A"/>
    <w:multiLevelType w:val="hybridMultilevel"/>
    <w:lvl w:ilvl="0">
      <w:lvlJc w:val="left"/>
      <w:lvlText w:val="(%1)"/>
      <w:numFmt w:val="lowerLetter"/>
      <w:start w:val="1"/>
    </w:lvl>
    <w:lvl w:ilvl="1">
      <w:lvlJc w:val="left"/>
      <w:lvlText w:val="(%2)"/>
      <w:numFmt w:val="decimal"/>
      <w:start w:val="2"/>
    </w:lvl>
  </w:abstractNum>
  <w:abstractNum w:abstractNumId="326">
    <w:nsid w:val="4E3D26AB"/>
    <w:multiLevelType w:val="hybridMultilevel"/>
    <w:lvl w:ilvl="0">
      <w:lvlJc w:val="left"/>
      <w:lvlText w:val="%1"/>
      <w:numFmt w:val="lowerLetter"/>
      <w:start w:val="1"/>
    </w:lvl>
    <w:lvl w:ilvl="1">
      <w:lvlJc w:val="left"/>
      <w:lvlText w:val="(%2)"/>
      <w:numFmt w:val="decimal"/>
      <w:start w:val="4"/>
    </w:lvl>
  </w:abstractNum>
  <w:abstractNum w:abstractNumId="327">
    <w:nsid w:val="BE2C8BA"/>
    <w:multiLevelType w:val="hybridMultilevel"/>
    <w:lvl w:ilvl="0">
      <w:lvlJc w:val="left"/>
      <w:lvlText w:val="(%1)"/>
      <w:numFmt w:val="lowerLetter"/>
      <w:start w:val="7"/>
    </w:lvl>
  </w:abstractNum>
  <w:abstractNum w:abstractNumId="328">
    <w:nsid w:val="7B14914E"/>
    <w:multiLevelType w:val="hybridMultilevel"/>
    <w:lvl w:ilvl="0">
      <w:lvlJc w:val="left"/>
      <w:lvlText w:val="(%1)"/>
      <w:numFmt w:val="lowerLetter"/>
      <w:start w:val="8"/>
    </w:lvl>
  </w:abstractNum>
  <w:abstractNum w:abstractNumId="329">
    <w:nsid w:val="6F0939F8"/>
    <w:multiLevelType w:val="hybridMultilevel"/>
    <w:lvl w:ilvl="0">
      <w:lvlJc w:val="left"/>
      <w:lvlText w:val="(%1)"/>
      <w:numFmt w:val="lowerLetter"/>
      <w:start w:val="1"/>
    </w:lvl>
  </w:abstractNum>
  <w:abstractNum w:abstractNumId="330">
    <w:nsid w:val="154291F6"/>
    <w:multiLevelType w:val="hybridMultilevel"/>
    <w:lvl w:ilvl="0">
      <w:lvlJc w:val="left"/>
      <w:lvlText w:val="%1."/>
      <w:numFmt w:val="decimal"/>
      <w:start w:val="4"/>
    </w:lvl>
  </w:abstractNum>
  <w:abstractNum w:abstractNumId="331">
    <w:nsid w:val="3CEBD7C7"/>
    <w:multiLevelType w:val="hybridMultilevel"/>
    <w:lvl w:ilvl="0">
      <w:lvlJc w:val="left"/>
      <w:lvlText w:val="(%1)"/>
      <w:numFmt w:val="lowerLetter"/>
      <w:start w:val="1"/>
    </w:lvl>
    <w:lvl w:ilvl="1">
      <w:lvlJc w:val="left"/>
      <w:lvlText w:val="(%2)"/>
      <w:numFmt w:val="lowerRoman"/>
      <w:start w:val="1"/>
    </w:lvl>
  </w:abstractNum>
  <w:abstractNum w:abstractNumId="332">
    <w:nsid w:val="60EE9C16"/>
    <w:multiLevelType w:val="hybridMultilevel"/>
    <w:lvl w:ilvl="0">
      <w:lvlJc w:val="left"/>
      <w:lvlText w:val="%1."/>
      <w:numFmt w:val="decimal"/>
      <w:start w:val="5"/>
    </w:lvl>
  </w:abstractNum>
  <w:abstractNum w:abstractNumId="333">
    <w:nsid w:val="6385489E"/>
    <w:multiLevelType w:val="hybridMultilevel"/>
    <w:lvl w:ilvl="0">
      <w:lvlJc w:val="left"/>
      <w:lvlText w:val="(%1)"/>
      <w:numFmt w:val="lowerLetter"/>
      <w:start w:val="1"/>
    </w:lvl>
  </w:abstractNum>
  <w:abstractNum w:abstractNumId="334">
    <w:nsid w:val="E4B973"/>
    <w:multiLevelType w:val="hybridMultilevel"/>
    <w:lvl w:ilvl="0">
      <w:lvlJc w:val="left"/>
      <w:lvlText w:val="(%1)"/>
      <w:numFmt w:val="lowerLetter"/>
      <w:start w:val="4"/>
    </w:lvl>
  </w:abstractNum>
  <w:abstractNum w:abstractNumId="335">
    <w:nsid w:val="4A0FFA11"/>
    <w:multiLevelType w:val="hybridMultilevel"/>
    <w:lvl w:ilvl="0">
      <w:lvlJc w:val="left"/>
      <w:lvlText w:val="%1."/>
      <w:numFmt w:val="decimal"/>
      <w:start w:val="6"/>
    </w:lvl>
  </w:abstractNum>
  <w:abstractNum w:abstractNumId="336">
    <w:nsid w:val="5E446208"/>
    <w:multiLevelType w:val="hybridMultilevel"/>
    <w:lvl w:ilvl="0">
      <w:lvlJc w:val="left"/>
      <w:lvlText w:val="(%1)"/>
      <w:numFmt w:val="lowerLetter"/>
      <w:start w:val="1"/>
    </w:lvl>
  </w:abstractNum>
  <w:abstractNum w:abstractNumId="337">
    <w:nsid w:val="5F3272DB"/>
    <w:multiLevelType w:val="hybridMultilevel"/>
    <w:lvl w:ilvl="0">
      <w:lvlJc w:val="left"/>
      <w:lvlText w:val="%1."/>
      <w:numFmt w:val="decimal"/>
      <w:start w:val="7"/>
    </w:lvl>
  </w:abstractNum>
  <w:abstractNum w:abstractNumId="338">
    <w:nsid w:val="7616D704"/>
    <w:multiLevelType w:val="hybridMultilevel"/>
    <w:lvl w:ilvl="0">
      <w:lvlJc w:val="left"/>
      <w:lvlText w:val="(%1)"/>
      <w:numFmt w:val="lowerLetter"/>
      <w:start w:val="1"/>
    </w:lvl>
  </w:abstractNum>
  <w:abstractNum w:abstractNumId="339">
    <w:nsid w:val="C56F860"/>
    <w:multiLevelType w:val="hybridMultilevel"/>
    <w:lvl w:ilvl="0">
      <w:lvlJc w:val="left"/>
      <w:lvlText w:val="%1."/>
      <w:numFmt w:val="decimal"/>
      <w:start w:val="8"/>
    </w:lvl>
  </w:abstractNum>
  <w:abstractNum w:abstractNumId="340">
    <w:nsid w:val="64D17722"/>
    <w:multiLevelType w:val="hybridMultilevel"/>
    <w:lvl w:ilvl="0">
      <w:lvlJc w:val="left"/>
      <w:lvlText w:val="(%1)"/>
      <w:numFmt w:val="lowerLetter"/>
      <w:start w:val="1"/>
    </w:lvl>
  </w:abstractNum>
  <w:abstractNum w:abstractNumId="341">
    <w:nsid w:val="7924CA0A"/>
    <w:multiLevelType w:val="hybridMultilevel"/>
    <w:lvl w:ilvl="0">
      <w:lvlJc w:val="left"/>
      <w:lvlText w:val="%1"/>
      <w:numFmt w:val="decimal"/>
      <w:start w:val="1"/>
    </w:lvl>
    <w:lvl w:ilvl="1">
      <w:lvlJc w:val="left"/>
      <w:lvlText w:val="(%2)"/>
      <w:numFmt w:val="lowerRoman"/>
      <w:start w:val="4"/>
    </w:lvl>
  </w:abstractNum>
  <w:abstractNum w:abstractNumId="342">
    <w:nsid w:val="CFD4EA7"/>
    <w:multiLevelType w:val="hybridMultilevel"/>
    <w:lvl w:ilvl="0">
      <w:lvlJc w:val="left"/>
      <w:lvlText w:val="%1."/>
      <w:numFmt w:val="decimal"/>
      <w:start w:val="9"/>
    </w:lvl>
    <w:lvl w:ilvl="1">
      <w:lvlJc w:val="left"/>
      <w:lvlText w:val="%2"/>
      <w:numFmt w:val="lowerRoman"/>
      <w:start w:val="1"/>
    </w:lvl>
  </w:abstractNum>
  <w:abstractNum w:abstractNumId="343">
    <w:nsid w:val="232FCF4D"/>
    <w:multiLevelType w:val="hybridMultilevel"/>
    <w:lvl w:ilvl="0">
      <w:lvlJc w:val="left"/>
      <w:lvlText w:val="%1."/>
      <w:numFmt w:val="decimal"/>
      <w:start w:val="12"/>
    </w:lvl>
  </w:abstractNum>
  <w:abstractNum w:abstractNumId="344">
    <w:nsid w:val="1EA21031"/>
    <w:multiLevelType w:val="hybridMultilevel"/>
    <w:lvl w:ilvl="0">
      <w:lvlJc w:val="left"/>
      <w:lvlText w:val="%1."/>
      <w:numFmt w:val="decimal"/>
      <w:start w:val="14"/>
    </w:lvl>
  </w:abstractNum>
  <w:abstractNum w:abstractNumId="345">
    <w:nsid w:val="67A5A6B5"/>
    <w:multiLevelType w:val="hybridMultilevel"/>
    <w:lvl w:ilvl="0">
      <w:lvlJc w:val="left"/>
      <w:lvlText w:val="(%1)"/>
      <w:numFmt w:val="lowerLetter"/>
      <w:start w:val="1"/>
    </w:lvl>
  </w:abstractNum>
  <w:abstractNum w:abstractNumId="346">
    <w:nsid w:val="C2A5C5B"/>
    <w:multiLevelType w:val="hybridMultilevel"/>
    <w:lvl w:ilvl="0">
      <w:lvlJc w:val="left"/>
      <w:lvlText w:val="%1."/>
      <w:numFmt w:val="decimal"/>
      <w:start w:val="15"/>
    </w:lvl>
  </w:abstractNum>
  <w:abstractNum w:abstractNumId="347">
    <w:nsid w:val="5F94DC03"/>
    <w:multiLevelType w:val="hybridMultilevel"/>
    <w:lvl w:ilvl="0">
      <w:lvlJc w:val="left"/>
      <w:lvlText w:val="%1"/>
      <w:numFmt w:val="decimal"/>
      <w:start w:val="1"/>
    </w:lvl>
    <w:lvl w:ilvl="1">
      <w:lvlJc w:val="left"/>
      <w:lvlText w:val="(%2)"/>
      <w:numFmt w:val="lowerLetter"/>
      <w:start w:val="1"/>
    </w:lvl>
  </w:abstractNum>
  <w:abstractNum w:abstractNumId="348">
    <w:nsid w:val="237BBCA0"/>
    <w:multiLevelType w:val="hybridMultilevel"/>
    <w:lvl w:ilvl="0">
      <w:lvlJc w:val="left"/>
      <w:lvlText w:val="%1."/>
      <w:numFmt w:val="decimal"/>
      <w:start w:val="17"/>
    </w:lvl>
    <w:lvl w:ilvl="1">
      <w:lvlJc w:val="left"/>
      <w:lvlText w:val="%2"/>
      <w:numFmt w:val="lowerLetter"/>
      <w:start w:val="1"/>
    </w:lvl>
  </w:abstractNum>
  <w:abstractNum w:abstractNumId="349">
    <w:nsid w:val="162EB70D"/>
    <w:multiLevelType w:val="hybridMultilevel"/>
    <w:lvl w:ilvl="0">
      <w:lvlJc w:val="left"/>
      <w:lvlText w:val="(%1)"/>
      <w:numFmt w:val="lowerLetter"/>
      <w:start w:val="1"/>
    </w:lvl>
  </w:abstractNum>
  <w:abstractNum w:abstractNumId="350">
    <w:nsid w:val="78070222"/>
    <w:multiLevelType w:val="hybridMultilevel"/>
    <w:lvl w:ilvl="0">
      <w:lvlJc w:val="left"/>
      <w:lvlText w:val="%1."/>
      <w:numFmt w:val="decimal"/>
      <w:start w:val="18"/>
    </w:lvl>
  </w:abstractNum>
  <w:abstractNum w:abstractNumId="351">
    <w:nsid w:val="6163ED0D"/>
    <w:multiLevelType w:val="hybridMultilevel"/>
    <w:lvl w:ilvl="0">
      <w:lvlJc w:val="left"/>
      <w:lvlText w:val="(%1)"/>
      <w:numFmt w:val="lowerLetter"/>
      <w:start w:val="1"/>
    </w:lvl>
  </w:abstractNum>
  <w:abstractNum w:abstractNumId="352">
    <w:nsid w:val="C600E47"/>
    <w:multiLevelType w:val="hybridMultilevel"/>
    <w:lvl w:ilvl="0">
      <w:lvlJc w:val="left"/>
      <w:lvlText w:val="(%1)"/>
      <w:numFmt w:val="lowerLetter"/>
      <w:start w:val="1"/>
    </w:lvl>
    <w:lvl w:ilvl="1">
      <w:lvlJc w:val="left"/>
      <w:lvlText w:val="(%2)"/>
      <w:numFmt w:val="lowerRoman"/>
      <w:start w:val="1"/>
    </w:lvl>
  </w:abstractNum>
  <w:abstractNum w:abstractNumId="353">
    <w:nsid w:val="7D94F75D"/>
    <w:multiLevelType w:val="hybridMultilevel"/>
    <w:lvl w:ilvl="0">
      <w:lvlJc w:val="left"/>
      <w:lvlText w:val="%1"/>
      <w:numFmt w:val="decimal"/>
      <w:start w:val="1"/>
    </w:lvl>
    <w:lvl w:ilvl="1">
      <w:lvlJc w:val="left"/>
      <w:lvlText w:val="(%2)"/>
      <w:numFmt w:val="lowerRoman"/>
      <w:start w:val="11"/>
    </w:lvl>
    <w:lvl w:ilvl="2">
      <w:lvlJc w:val="left"/>
      <w:lvlText w:val="(%3)"/>
      <w:numFmt w:val="upperLetter"/>
      <w:start w:val="1"/>
    </w:lvl>
  </w:abstractNum>
  <w:abstractNum w:abstractNumId="354">
    <w:nsid w:val="6C31E7CD"/>
    <w:multiLevelType w:val="hybridMultilevel"/>
    <w:lvl w:ilvl="0">
      <w:lvlJc w:val="left"/>
      <w:lvlText w:val="%1."/>
      <w:numFmt w:val="decimal"/>
      <w:start w:val="19"/>
    </w:lvl>
    <w:lvl w:ilvl="1">
      <w:lvlJc w:val="left"/>
      <w:lvlText w:val="%2"/>
      <w:numFmt w:val="lowerRoman"/>
      <w:start w:val="1"/>
    </w:lvl>
    <w:lvl w:ilvl="2">
      <w:lvlJc w:val="left"/>
      <w:lvlText w:val="%3"/>
      <w:numFmt w:val="upperLetter"/>
      <w:start w:val="1"/>
    </w:lvl>
  </w:abstractNum>
  <w:abstractNum w:abstractNumId="355">
    <w:nsid w:val="2BB7929B"/>
    <w:multiLevelType w:val="hybridMultilevel"/>
    <w:lvl w:ilvl="0">
      <w:lvlJc w:val="left"/>
      <w:lvlText w:val="%1."/>
      <w:numFmt w:val="decimal"/>
      <w:start w:val="21"/>
    </w:lvl>
  </w:abstractNum>
  <w:abstractNum w:abstractNumId="356">
    <w:nsid w:val="58A2A487"/>
    <w:multiLevelType w:val="hybridMultilevel"/>
    <w:lvl w:ilvl="0">
      <w:lvlJc w:val="left"/>
      <w:lvlText w:val="%1."/>
      <w:numFmt w:val="decimal"/>
      <w:start w:val="22"/>
    </w:lvl>
  </w:abstractNum>
  <w:abstractNum w:abstractNumId="357">
    <w:nsid w:val="3A6F0E78"/>
    <w:multiLevelType w:val="hybridMultilevel"/>
    <w:lvl w:ilvl="0">
      <w:lvlJc w:val="left"/>
      <w:lvlText w:val="%1."/>
      <w:numFmt w:val="decimal"/>
      <w:start w:val="23"/>
    </w:lvl>
  </w:abstractNum>
  <w:abstractNum w:abstractNumId="358">
    <w:nsid w:val="379A5B56"/>
    <w:multiLevelType w:val="hybridMultilevel"/>
    <w:lvl w:ilvl="0">
      <w:lvlJc w:val="left"/>
      <w:lvlText w:val="%1."/>
      <w:numFmt w:val="decimal"/>
      <w:start w:val="25"/>
    </w:lvl>
  </w:abstractNum>
  <w:abstractNum w:abstractNumId="359">
    <w:nsid w:val="53B735D5"/>
    <w:multiLevelType w:val="hybridMultilevel"/>
    <w:lvl w:ilvl="0">
      <w:lvlJc w:val="left"/>
      <w:lvlText w:val="%1."/>
      <w:numFmt w:val="decimal"/>
      <w:start w:val="26"/>
    </w:lvl>
  </w:abstractNum>
  <w:abstractNum w:abstractNumId="360">
    <w:nsid w:val="29784870"/>
    <w:multiLevelType w:val="hybridMultilevel"/>
    <w:lvl w:ilvl="0">
      <w:lvlJc w:val="left"/>
      <w:lvlText w:val="%1."/>
      <w:numFmt w:val="decimal"/>
      <w:start w:val="1"/>
    </w:lvl>
  </w:abstractNum>
  <w:abstractNum w:abstractNumId="361">
    <w:nsid w:val="4CDCED4C"/>
    <w:multiLevelType w:val="hybridMultilevel"/>
    <w:lvl w:ilvl="0">
      <w:lvlJc w:val="left"/>
      <w:lvlText w:val="%1."/>
      <w:numFmt w:val="decimal"/>
      <w:start w:val="2"/>
    </w:lvl>
  </w:abstractNum>
  <w:abstractNum w:abstractNumId="362">
    <w:nsid w:val="10A30D9C"/>
    <w:multiLevelType w:val="hybridMultilevel"/>
    <w:lvl w:ilvl="0">
      <w:lvlJc w:val="left"/>
      <w:lvlText w:val="(%1)"/>
      <w:numFmt w:val="lowerLetter"/>
      <w:start w:val="1"/>
    </w:lvl>
  </w:abstractNum>
  <w:abstractNum w:abstractNumId="363">
    <w:nsid w:val="A66E486"/>
    <w:multiLevelType w:val="hybridMultilevel"/>
    <w:lvl w:ilvl="0">
      <w:lvlJc w:val="left"/>
      <w:lvlText w:val="(%1)"/>
      <w:numFmt w:val="lowerLetter"/>
      <w:start w:val="6"/>
    </w:lvl>
  </w:abstractNum>
  <w:abstractNum w:abstractNumId="364">
    <w:nsid w:val="306235EA"/>
    <w:multiLevelType w:val="hybridMultilevel"/>
    <w:lvl w:ilvl="0">
      <w:lvlJc w:val="left"/>
      <w:lvlText w:val="(%1)"/>
      <w:numFmt w:val="lowerLetter"/>
      <w:start w:val="1"/>
    </w:lvl>
  </w:abstractNum>
  <w:abstractNum w:abstractNumId="365">
    <w:nsid w:val="1187C70F"/>
    <w:multiLevelType w:val="hybridMultilevel"/>
    <w:lvl w:ilvl="0">
      <w:lvlJc w:val="left"/>
      <w:lvlText w:val="(%1)"/>
      <w:numFmt w:val="lowerLetter"/>
      <w:start w:val="2"/>
    </w:lvl>
    <w:lvl w:ilvl="1">
      <w:lvlJc w:val="left"/>
      <w:lvlText w:val="(%2)"/>
      <w:numFmt w:val="lowerRoman"/>
      <w:start w:val="1"/>
    </w:lvl>
  </w:abstractNum>
  <w:abstractNum w:abstractNumId="366">
    <w:nsid w:val="5476DE98"/>
    <w:multiLevelType w:val="hybridMultilevel"/>
    <w:lvl w:ilvl="0">
      <w:lvlJc w:val="left"/>
      <w:lvlText w:val="(%1)"/>
      <w:numFmt w:val="lowerLetter"/>
      <w:start w:val="1"/>
    </w:lvl>
  </w:abstractNum>
  <w:abstractNum w:abstractNumId="367">
    <w:nsid w:val="EA697F2"/>
    <w:multiLevelType w:val="hybridMultilevel"/>
    <w:lvl w:ilvl="0">
      <w:lvlJc w:val="left"/>
      <w:lvlText w:val="(%1)"/>
      <w:numFmt w:val="lowerLetter"/>
      <w:start w:val="4"/>
    </w:lvl>
  </w:abstractNum>
  <w:abstractNum w:abstractNumId="368">
    <w:nsid w:val="70BA39EB"/>
    <w:multiLevelType w:val="hybridMultilevel"/>
    <w:lvl w:ilvl="0">
      <w:lvlJc w:val="left"/>
      <w:lvlText w:val="(%1)"/>
      <w:numFmt w:val="lowerLetter"/>
      <w:start w:val="1"/>
    </w:lvl>
  </w:abstractNum>
  <w:abstractNum w:abstractNumId="369">
    <w:nsid w:val="4A8DB59C"/>
    <w:multiLevelType w:val="hybridMultilevel"/>
    <w:lvl w:ilvl="0">
      <w:lvlJc w:val="left"/>
      <w:lvlText w:val="(%1)"/>
      <w:numFmt w:val="lowerLetter"/>
      <w:start w:val="1"/>
    </w:lvl>
  </w:abstractNum>
  <w:abstractNum w:abstractNumId="370">
    <w:nsid w:val="1AFD9053"/>
    <w:multiLevelType w:val="hybridMultilevel"/>
    <w:lvl w:ilvl="0">
      <w:lvlJc w:val="left"/>
      <w:lvlText w:val="(%1)"/>
      <w:numFmt w:val="lowerLetter"/>
      <w:start w:val="5"/>
    </w:lvl>
  </w:abstractNum>
  <w:abstractNum w:abstractNumId="371">
    <w:nsid w:val="558BB10D"/>
    <w:multiLevelType w:val="hybridMultilevel"/>
    <w:lvl w:ilvl="0">
      <w:lvlJc w:val="left"/>
      <w:lvlText w:val="(%1)"/>
      <w:numFmt w:val="lowerLetter"/>
      <w:start w:val="10"/>
    </w:lvl>
  </w:abstractNum>
  <w:abstractNum w:abstractNumId="372">
    <w:nsid w:val="43B27FA7"/>
    <w:multiLevelType w:val="hybridMultilevel"/>
    <w:lvl w:ilvl="0">
      <w:lvlJc w:val="left"/>
      <w:lvlText w:val="(%1)"/>
      <w:numFmt w:val="lowerLetter"/>
      <w:start w:val="1"/>
    </w:lvl>
  </w:abstractNum>
  <w:abstractNum w:abstractNumId="373">
    <w:nsid w:val="27FADEFA"/>
    <w:multiLevelType w:val="hybridMultilevel"/>
    <w:lvl w:ilvl="0">
      <w:lvlJc w:val="left"/>
      <w:lvlText w:val="(%1)"/>
      <w:numFmt w:val="lowerLetter"/>
      <w:start w:val="2"/>
    </w:lvl>
  </w:abstractNum>
  <w:abstractNum w:abstractNumId="374">
    <w:nsid w:val="78BB805A"/>
    <w:multiLevelType w:val="hybridMultilevel"/>
    <w:lvl w:ilvl="0">
      <w:lvlJc w:val="left"/>
      <w:lvlText w:val="(%1)"/>
      <w:numFmt w:val="lowerLetter"/>
      <w:start w:val="1"/>
    </w:lvl>
  </w:abstractNum>
  <w:abstractNum w:abstractNumId="375">
    <w:nsid w:val="62548FD8"/>
    <w:multiLevelType w:val="hybridMultilevel"/>
    <w:lvl w:ilvl="0">
      <w:lvlJc w:val="left"/>
      <w:lvlText w:val="%1."/>
      <w:numFmt w:val="decimal"/>
      <w:start w:val="1"/>
    </w:lvl>
  </w:abstractNum>
  <w:abstractNum w:abstractNumId="376">
    <w:nsid w:val="FA085B0"/>
    <w:multiLevelType w:val="hybridMultilevel"/>
    <w:lvl w:ilvl="0">
      <w:lvlJc w:val="left"/>
      <w:lvlText w:val="%1."/>
      <w:numFmt w:val="decimal"/>
      <w:start w:val="2"/>
    </w:lvl>
  </w:abstractNum>
  <w:abstractNum w:abstractNumId="377">
    <w:nsid w:val="4E5DCB5"/>
    <w:multiLevelType w:val="hybridMultilevel"/>
    <w:lvl w:ilvl="0">
      <w:lvlJc w:val="left"/>
      <w:lvlText w:val="%1."/>
      <w:numFmt w:val="decimal"/>
      <w:start w:val="3"/>
    </w:lvl>
  </w:abstractNum>
  <w:abstractNum w:abstractNumId="378">
    <w:nsid w:val="41E96BDB"/>
    <w:multiLevelType w:val="hybridMultilevel"/>
    <w:lvl w:ilvl="0">
      <w:lvlJc w:val="left"/>
      <w:lvlText w:val="%1."/>
      <w:numFmt w:val="decimal"/>
      <w:start w:val="4"/>
    </w:lvl>
  </w:abstractNum>
  <w:abstractNum w:abstractNumId="379">
    <w:nsid w:val="331C4250"/>
    <w:multiLevelType w:val="hybridMultilevel"/>
    <w:lvl w:ilvl="0">
      <w:lvlJc w:val="left"/>
      <w:lvlText w:val="%1."/>
      <w:numFmt w:val="decimal"/>
      <w:start w:val="5"/>
    </w:lvl>
  </w:abstractNum>
  <w:abstractNum w:abstractNumId="380">
    <w:nsid w:val="1B1493C2"/>
    <w:multiLevelType w:val="hybridMultilevel"/>
    <w:lvl w:ilvl="0">
      <w:lvlJc w:val="left"/>
      <w:lvlText w:val="%1."/>
      <w:numFmt w:val="decimal"/>
      <w:start w:val="6"/>
    </w:lvl>
  </w:abstractNum>
  <w:abstractNum w:abstractNumId="381">
    <w:nsid w:val="39F06DFD"/>
    <w:multiLevelType w:val="hybridMultilevel"/>
    <w:lvl w:ilvl="0">
      <w:lvlJc w:val="left"/>
      <w:lvlText w:val="%1."/>
      <w:numFmt w:val="decimal"/>
      <w:start w:val="7"/>
    </w:lvl>
  </w:abstractNum>
  <w:abstractNum w:abstractNumId="382">
    <w:nsid w:val="14802F5D"/>
    <w:multiLevelType w:val="hybridMultilevel"/>
    <w:lvl w:ilvl="0">
      <w:lvlJc w:val="left"/>
      <w:lvlText w:val="%1."/>
      <w:numFmt w:val="decimal"/>
      <w:start w:val="8"/>
    </w:lvl>
  </w:abstractNum>
  <w:abstractNum w:abstractNumId="383">
    <w:nsid w:val="2774A209"/>
    <w:multiLevelType w:val="hybridMultilevel"/>
    <w:lvl w:ilvl="0">
      <w:lvlJc w:val="left"/>
      <w:lvlText w:val="%1."/>
      <w:numFmt w:val="decimal"/>
      <w:start w:val="9"/>
    </w:lvl>
  </w:abstractNum>
  <w:abstractNum w:abstractNumId="384">
    <w:nsid w:val="3785655A"/>
    <w:multiLevelType w:val="hybridMultilevel"/>
    <w:lvl w:ilvl="0">
      <w:lvlJc w:val="left"/>
      <w:lvlText w:val="%1."/>
      <w:numFmt w:val="decimal"/>
      <w:start w:val="10"/>
    </w:lvl>
  </w:abstractNum>
  <w:abstractNum w:abstractNumId="385">
    <w:nsid w:val="B2172A"/>
    <w:multiLevelType w:val="hybridMultilevel"/>
    <w:lvl w:ilvl="0">
      <w:lvlJc w:val="left"/>
      <w:lvlText w:val="%1."/>
      <w:numFmt w:val="decimal"/>
      <w:start w:val="1"/>
    </w:lvl>
    <w:lvl w:ilvl="1">
      <w:lvlJc w:val="left"/>
      <w:lvlText w:val="(%2)"/>
      <w:numFmt w:val="lowerLetter"/>
      <w:start w:val="1"/>
    </w:lvl>
  </w:abstractNum>
  <w:abstractNum w:abstractNumId="386">
    <w:nsid w:val="532C34A5"/>
    <w:multiLevelType w:val="hybridMultilevel"/>
    <w:lvl w:ilvl="0">
      <w:lvlJc w:val="left"/>
      <w:lvlText w:val="%1"/>
      <w:numFmt w:val="decimal"/>
      <w:start w:val="1"/>
    </w:lvl>
    <w:lvl w:ilvl="1">
      <w:lvlJc w:val="left"/>
      <w:lvlText w:val="(%2)"/>
      <w:numFmt w:val="lowerLetter"/>
      <w:start w:val="5"/>
    </w:lvl>
  </w:abstractNum>
  <w:abstractNum w:abstractNumId="387">
    <w:nsid w:val="102809E2"/>
    <w:multiLevelType w:val="hybridMultilevel"/>
    <w:lvl w:ilvl="0">
      <w:lvlJc w:val="left"/>
      <w:lvlText w:val="%1."/>
      <w:numFmt w:val="decimal"/>
      <w:start w:val="2"/>
    </w:lvl>
    <w:lvl w:ilvl="1">
      <w:lvlJc w:val="left"/>
      <w:lvlText w:val="(%2)"/>
      <w:numFmt w:val="lowerLetter"/>
      <w:start w:val="1"/>
    </w:lvl>
  </w:abstractNum>
  <w:abstractNum w:abstractNumId="388">
    <w:nsid w:val="3B2125A3"/>
    <w:multiLevelType w:val="hybridMultilevel"/>
    <w:lvl w:ilvl="0">
      <w:lvlJc w:val="left"/>
      <w:lvlText w:val="(%1)"/>
      <w:numFmt w:val="lowerLetter"/>
      <w:start w:val="3"/>
    </w:lvl>
  </w:abstractNum>
  <w:abstractNum w:abstractNumId="389">
    <w:nsid w:val="AC68FFB"/>
    <w:multiLevelType w:val="hybridMultilevel"/>
    <w:lvl w:ilvl="0">
      <w:lvlJc w:val="left"/>
      <w:lvlText w:val="%1"/>
      <w:numFmt w:val="decimal"/>
      <w:start w:val="1"/>
    </w:lvl>
    <w:lvl w:ilvl="1">
      <w:lvlJc w:val="left"/>
      <w:lvlText w:val="(%2)"/>
      <w:numFmt w:val="lowerLetter"/>
      <w:start w:val="4"/>
    </w:lvl>
  </w:abstractNum>
  <w:abstractNum w:abstractNumId="390">
    <w:nsid w:val="63DF3FB7"/>
    <w:multiLevelType w:val="hybridMultilevel"/>
    <w:lvl w:ilvl="0">
      <w:lvlJc w:val="left"/>
      <w:lvlText w:val="%1."/>
      <w:numFmt w:val="decimal"/>
      <w:start w:val="4"/>
    </w:lvl>
    <w:lvl w:ilvl="1">
      <w:lvlJc w:val="left"/>
      <w:lvlText w:val="(%2)"/>
      <w:numFmt w:val="lowerLetter"/>
      <w:start w:val="1"/>
    </w:lvl>
  </w:abstractNum>
  <w:abstractNum w:abstractNumId="391">
    <w:nsid w:val="64996E1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92">
    <w:nsid w:val="57A37D47"/>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393">
    <w:nsid w:val="74824D54"/>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94">
    <w:nsid w:val="6F00529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95">
    <w:nsid w:val="805B33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96">
    <w:nsid w:val="60A146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97">
    <w:nsid w:val="43773132"/>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398">
    <w:nsid w:val="16AC4B23"/>
    <w:multiLevelType w:val="hybridMultilevel"/>
    <w:lvl w:ilvl="0">
      <w:lvlJc w:val="left"/>
      <w:lvlText w:val="%1"/>
      <w:numFmt w:val="lowerLetter"/>
      <w:start w:val="1"/>
    </w:lvl>
    <w:lvl w:ilvl="1">
      <w:lvlJc w:val="left"/>
      <w:lvlText w:val="(%2)"/>
      <w:numFmt w:val="lowerRoman"/>
      <w:start w:val="1"/>
    </w:lvl>
  </w:abstractNum>
  <w:abstractNum w:abstractNumId="399">
    <w:nsid w:val="76C44E4E"/>
    <w:multiLevelType w:val="hybridMultilevel"/>
    <w:lvl w:ilvl="0">
      <w:lvlJc w:val="left"/>
      <w:lvlText w:val="(%1)"/>
      <w:numFmt w:val="lowerLetter"/>
      <w:start w:val="4"/>
    </w:lvl>
    <w:lvl w:ilvl="1">
      <w:lvlJc w:val="left"/>
      <w:lvlText w:val="(%2)"/>
      <w:numFmt w:val="lowerRoman"/>
      <w:start w:val="1"/>
    </w:lvl>
  </w:abstractNum>
  <w:abstractNum w:abstractNumId="400">
    <w:nsid w:val="E04E6CE"/>
    <w:multiLevelType w:val="hybridMultilevel"/>
    <w:lvl w:ilvl="0">
      <w:lvlJc w:val="left"/>
      <w:lvlText w:val="(%1)"/>
      <w:numFmt w:val="upperLetter"/>
      <w:start w:val="1"/>
    </w:lvl>
  </w:abstractNum>
  <w:abstractNum w:abstractNumId="401">
    <w:nsid w:val="31A9DB7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402">
    <w:nsid w:val="4C4FFF5B"/>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403">
    <w:nsid w:val="51B76675"/>
    <w:multiLevelType w:val="hybridMultilevel"/>
    <w:lvl w:ilvl="0">
      <w:lvlJc w:val="left"/>
      <w:lvlText w:val="%1"/>
      <w:numFmt w:val="lowerLetter"/>
      <w:start w:val="1"/>
    </w:lvl>
    <w:lvl w:ilvl="1">
      <w:lvlJc w:val="left"/>
      <w:lvlText w:val="(%2)"/>
      <w:numFmt w:val="lowerLetter"/>
      <w:start w:val="9"/>
    </w:lvl>
  </w:abstractNum>
  <w:abstractNum w:abstractNumId="404">
    <w:nsid w:val="59A4BA71"/>
    <w:multiLevelType w:val="hybridMultilevel"/>
    <w:lvl w:ilvl="0">
      <w:lvlJc w:val="left"/>
      <w:lvlText w:val="(%1)"/>
      <w:numFmt w:val="lowerLetter"/>
      <w:start w:val="8"/>
    </w:lvl>
    <w:lvl w:ilvl="1">
      <w:lvlJc w:val="left"/>
      <w:lvlText w:val="%2"/>
      <w:numFmt w:val="lowerLetter"/>
      <w:start w:val="1"/>
    </w:lvl>
  </w:abstractNum>
  <w:abstractNum w:abstractNumId="405">
    <w:nsid w:val="450B7FB6"/>
    <w:multiLevelType w:val="hybridMultilevel"/>
    <w:lvl w:ilvl="0">
      <w:lvlJc w:val="left"/>
      <w:lvlText w:val="(%1)"/>
      <w:numFmt w:val="lowerLetter"/>
      <w:start w:val="9"/>
    </w:lvl>
    <w:lvl w:ilvl="1">
      <w:lvlJc w:val="left"/>
      <w:lvlText w:val="(%2)"/>
      <w:numFmt w:val="lowerRoman"/>
      <w:start w:val="1"/>
    </w:lvl>
  </w:abstractNum>
  <w:abstractNum w:abstractNumId="406">
    <w:nsid w:val="340BF64D"/>
    <w:multiLevelType w:val="hybridMultilevel"/>
    <w:lvl w:ilvl="0">
      <w:lvlJc w:val="left"/>
      <w:lvlText w:val="(%1)"/>
      <w:numFmt w:val="lowerRoman"/>
      <w:start w:val="4"/>
    </w:lvl>
  </w:abstractNum>
  <w:abstractNum w:abstractNumId="407">
    <w:nsid w:val="694540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408">
    <w:nsid w:val="49F15C6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409">
    <w:nsid w:val="75F5622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10">
    <w:nsid w:val="1C618271"/>
    <w:multiLevelType w:val="hybridMultilevel"/>
    <w:lvl w:ilvl="0">
      <w:lvlJc w:val="left"/>
      <w:lvlText w:val="%1."/>
      <w:numFmt w:val="decimal"/>
      <w:start w:val="7"/>
    </w:lvl>
    <w:lvl w:ilvl="1">
      <w:lvlJc w:val="left"/>
      <w:lvlText w:val="(%2)"/>
      <w:numFmt w:val="lowerLetter"/>
      <w:start w:val="1"/>
    </w:lvl>
  </w:abstractNum>
  <w:abstractNum w:abstractNumId="411">
    <w:nsid w:val="6505F02E"/>
    <w:multiLevelType w:val="hybridMultilevel"/>
    <w:lvl w:ilvl="0">
      <w:lvlJc w:val="left"/>
      <w:lvlText w:val="(%1)"/>
      <w:numFmt w:val="lowerLetter"/>
      <w:start w:val="4"/>
    </w:lvl>
  </w:abstractNum>
  <w:abstractNum w:abstractNumId="412">
    <w:nsid w:val="2FE5D025"/>
    <w:multiLevelType w:val="hybridMultilevel"/>
    <w:lvl w:ilvl="0">
      <w:lvlJc w:val="left"/>
      <w:lvlText w:val="(%1)"/>
      <w:numFmt w:val="lowerLetter"/>
      <w:start w:val="5"/>
    </w:lvl>
  </w:abstractNum>
  <w:abstractNum w:abstractNumId="413">
    <w:nsid w:val="30E1B1CF"/>
    <w:multiLevelType w:val="hybridMultilevel"/>
    <w:lvl w:ilvl="0">
      <w:lvlJc w:val="left"/>
      <w:lvlText w:val="(%1)"/>
      <w:numFmt w:val="lowerLetter"/>
      <w:start w:val="14"/>
    </w:lvl>
    <w:lvl w:ilvl="1">
      <w:lvlJc w:val="left"/>
      <w:lvlText w:val="(%2)"/>
      <w:numFmt w:val="lowerRoman"/>
      <w:start w:val="1"/>
    </w:lvl>
  </w:abstractNum>
  <w:abstractNum w:abstractNumId="414">
    <w:nsid w:val="C7A9237"/>
    <w:multiLevelType w:val="hybridMultilevel"/>
    <w:lvl w:ilvl="0">
      <w:lvlJc w:val="left"/>
      <w:lvlText w:val="(%1)"/>
      <w:numFmt w:val="lowerLetter"/>
      <w:start w:val="18"/>
    </w:lvl>
  </w:abstractNum>
  <w:abstractNum w:abstractNumId="415">
    <w:nsid w:val="676B3580"/>
    <w:multiLevelType w:val="hybridMultilevel"/>
    <w:lvl w:ilvl="0">
      <w:lvlJc w:val="left"/>
      <w:lvlText w:val="%1."/>
      <w:numFmt w:val="upperLetter"/>
      <w:start w:val="1"/>
    </w:lvl>
  </w:abstractNum>
  <w:abstractNum w:abstractNumId="416">
    <w:nsid w:val="3193C8F9"/>
    <w:multiLevelType w:val="hybridMultilevel"/>
    <w:lvl w:ilvl="0">
      <w:lvlJc w:val="left"/>
      <w:lvlText w:val="%1."/>
      <w:numFmt w:val="decimal"/>
      <w:start w:val="1"/>
    </w:lvl>
  </w:abstractNum>
  <w:abstractNum w:abstractNumId="417">
    <w:nsid w:val="5FA6C6DC"/>
    <w:multiLevelType w:val="hybridMultilevel"/>
    <w:lvl w:ilvl="0">
      <w:lvlJc w:val="left"/>
      <w:lvlText w:val="%1."/>
      <w:numFmt w:val="upperLetter"/>
      <w:start w:val="1"/>
    </w:lvl>
  </w:abstractNum>
  <w:abstractNum w:abstractNumId="418">
    <w:nsid w:val="77933F62"/>
    <w:multiLevelType w:val="hybridMultilevel"/>
    <w:lvl w:ilvl="0">
      <w:lvlJc w:val="left"/>
      <w:lvlText w:val="%1."/>
      <w:numFmt w:val="upperLetter"/>
      <w:start w:val="3"/>
    </w:lvl>
  </w:abstractNum>
  <w:abstractNum w:abstractNumId="419">
    <w:nsid w:val="6CB4EE9C"/>
    <w:multiLevelType w:val="hybridMultilevel"/>
    <w:lvl w:ilvl="0">
      <w:lvlJc w:val="left"/>
      <w:lvlText w:val="%1."/>
      <w:numFmt w:val="decimal"/>
      <w:start w:val="3"/>
    </w:lvl>
  </w:abstractNum>
  <w:abstractNum w:abstractNumId="420">
    <w:nsid w:val="6A6D56D7"/>
    <w:multiLevelType w:val="hybridMultilevel"/>
    <w:lvl w:ilvl="0">
      <w:lvlJc w:val="left"/>
      <w:lvlText w:val="%1"/>
      <w:numFmt w:val="decimal"/>
      <w:start w:val="1"/>
    </w:lvl>
    <w:lvl w:ilvl="1">
      <w:lvlJc w:val="left"/>
      <w:lvlText w:val="%2."/>
      <w:numFmt w:val="upperLetter"/>
      <w:start w:val="1"/>
    </w:lvl>
  </w:abstractNum>
  <w:abstractNum w:abstractNumId="421">
    <w:nsid w:val="5B727F19"/>
    <w:multiLevelType w:val="hybridMultilevel"/>
    <w:lvl w:ilvl="0">
      <w:lvlJc w:val="left"/>
      <w:lvlText w:val="(%1)"/>
      <w:numFmt w:val="decimal"/>
      <w:start w:val="1"/>
    </w:lvl>
    <w:lvl w:ilvl="1">
      <w:lvlJc w:val="left"/>
      <w:lvlText w:val="%2"/>
      <w:numFmt w:val="upperLetter"/>
      <w:start w:val="1"/>
    </w:lvl>
  </w:abstractNum>
  <w:abstractNum w:abstractNumId="422">
    <w:nsid w:val="514E5CB0"/>
    <w:multiLevelType w:val="hybridMultilevel"/>
    <w:lvl w:ilvl="0">
      <w:lvlJc w:val="left"/>
      <w:lvlText w:val="%1."/>
      <w:numFmt w:val="upperLetter"/>
      <w:start w:val="6"/>
    </w:lvl>
  </w:abstractNum>
  <w:abstractNum w:abstractNumId="423">
    <w:nsid w:val="4210D41E"/>
    <w:multiLevelType w:val="hybridMultilevel"/>
    <w:lvl w:ilvl="0">
      <w:lvlJc w:val="left"/>
      <w:lvlText w:val="%1"/>
      <w:numFmt w:val="decimal"/>
      <w:start w:val="1"/>
    </w:lvl>
    <w:lvl w:ilvl="1">
      <w:lvlJc w:val="left"/>
      <w:lvlText w:val="%2."/>
      <w:numFmt w:val="upperLetter"/>
      <w:start w:val="10"/>
    </w:lvl>
  </w:abstractNum>
  <w:abstractNum w:abstractNumId="424">
    <w:nsid w:val="4FF4CC6D"/>
    <w:multiLevelType w:val="hybridMultilevel"/>
    <w:lvl w:ilvl="0">
      <w:lvlJc w:val="left"/>
      <w:lvlText w:val="%1."/>
      <w:numFmt w:val="decimal"/>
      <w:start w:val="6"/>
    </w:lvl>
    <w:lvl w:ilvl="1">
      <w:lvlJc w:val="left"/>
      <w:lvlText w:val="%2"/>
      <w:numFmt w:val="upperLetter"/>
      <w:start w:val="1"/>
    </w:lvl>
  </w:abstractNum>
  <w:abstractNum w:abstractNumId="425">
    <w:nsid w:val="404EAF4A"/>
    <w:multiLevelType w:val="hybridMultilevel"/>
    <w:lvl w:ilvl="0">
      <w:lvlJc w:val="left"/>
      <w:lvlText w:val="%1."/>
      <w:numFmt w:val="upperLetter"/>
      <w:start w:val="1"/>
    </w:lvl>
  </w:abstractNum>
  <w:abstractNum w:abstractNumId="426">
    <w:nsid w:val="4A16874F"/>
    <w:multiLevelType w:val="hybridMultilevel"/>
    <w:lvl w:ilvl="0">
      <w:lvlJc w:val="left"/>
      <w:lvlText w:val="%1."/>
      <w:numFmt w:val="upperLetter"/>
      <w:start w:val="3"/>
    </w:lvl>
  </w:abstractNum>
  <w:abstractNum w:abstractNumId="427">
    <w:nsid w:val="55FEE0D1"/>
    <w:multiLevelType w:val="hybridMultilevel"/>
    <w:lvl w:ilvl="0">
      <w:lvlJc w:val="left"/>
      <w:lvlText w:val="%1."/>
      <w:numFmt w:val="decimal"/>
      <w:start w:val="9"/>
    </w:lvl>
  </w:abstractNum>
  <w:abstractNum w:abstractNumId="428">
    <w:nsid w:val="3C5E07C"/>
    <w:multiLevelType w:val="hybridMultilevel"/>
    <w:lvl w:ilvl="0">
      <w:lvlJc w:val="left"/>
      <w:lvlText w:val="%1."/>
      <w:numFmt w:val="upperLetter"/>
      <w:start w:val="1"/>
    </w:lvl>
  </w:abstractNum>
  <w:abstractNum w:abstractNumId="429">
    <w:nsid w:val="60C2D273"/>
    <w:multiLevelType w:val="hybridMultilevel"/>
    <w:lvl w:ilvl="0">
      <w:lvlJc w:val="left"/>
      <w:lvlText w:val="%1."/>
      <w:numFmt w:val="decimal"/>
      <w:start w:val="10"/>
    </w:lvl>
  </w:abstractNum>
  <w:abstractNum w:abstractNumId="430">
    <w:nsid w:val="4CC32F1F"/>
    <w:multiLevelType w:val="hybridMultilevel"/>
    <w:lvl w:ilvl="0">
      <w:lvlJc w:val="left"/>
      <w:lvlText w:val="%1."/>
      <w:numFmt w:val="decimal"/>
      <w:start w:val="13"/>
    </w:lvl>
  </w:abstractNum>
  <w:abstractNum w:abstractNumId="431">
    <w:nsid w:val="11CAC74A"/>
    <w:multiLevelType w:val="hybridMultilevel"/>
    <w:lvl w:ilvl="0">
      <w:lvlJc w:val="left"/>
      <w:lvlText w:val="%1."/>
      <w:numFmt w:val="decimal"/>
      <w:start w:val="1"/>
    </w:lvl>
  </w:abstractNum>
  <w:abstractNum w:abstractNumId="432">
    <w:nsid w:val="126CADE9"/>
    <w:multiLevelType w:val="hybridMultilevel"/>
    <w:lvl w:ilvl="0">
      <w:lvlJc w:val="left"/>
      <w:lvlText w:val="(%1)"/>
      <w:numFmt w:val="lowerLetter"/>
      <w:start w:val="1"/>
    </w:lvl>
    <w:lvl w:ilvl="1">
      <w:lvlJc w:val="left"/>
      <w:lvlText w:val="(%2)"/>
      <w:numFmt w:val="lowerLetter"/>
      <w:start w:val="9"/>
    </w:lvl>
  </w:abstractNum>
  <w:abstractNum w:abstractNumId="433">
    <w:nsid w:val="19132E7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434">
    <w:nsid w:val="63822DC0"/>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35">
    <w:nsid w:val="6C11685A"/>
    <w:multiLevelType w:val="hybridMultilevel"/>
    <w:lvl w:ilvl="0">
      <w:lvlJc w:val="left"/>
      <w:lvlText w:val="(%1)"/>
      <w:numFmt w:val="decimal"/>
      <w:start w:val="7"/>
    </w:lvl>
  </w:abstractNum>
  <w:abstractNum w:abstractNumId="436">
    <w:nsid w:val="5E1EAE31"/>
    <w:multiLevelType w:val="hybridMultilevel"/>
    <w:lvl w:ilvl="0">
      <w:lvlJc w:val="left"/>
      <w:lvlText w:val="%1."/>
      <w:numFmt w:val="decimal"/>
      <w:start w:val="5"/>
    </w:lvl>
  </w:abstractNum>
  <w:abstractNum w:abstractNumId="437">
    <w:nsid w:val="178E240D"/>
    <w:multiLevelType w:val="hybridMultilevel"/>
    <w:lvl w:ilvl="0">
      <w:lvlJc w:val="left"/>
      <w:lvlText w:val="%1."/>
      <w:numFmt w:val="decimal"/>
      <w:start w:val="6"/>
    </w:lvl>
  </w:abstractNum>
  <w:abstractNum w:abstractNumId="438">
    <w:nsid w:val="5556A87B"/>
    <w:multiLevelType w:val="hybridMultilevel"/>
    <w:lvl w:ilvl="0">
      <w:lvlJc w:val="left"/>
      <w:lvlText w:val="%1."/>
      <w:numFmt w:val="decimal"/>
      <w:start w:val="7"/>
    </w:lvl>
  </w:abstractNum>
  <w:abstractNum w:abstractNumId="439">
    <w:nsid w:val="28100A9C"/>
    <w:multiLevelType w:val="hybridMultilevel"/>
    <w:lvl w:ilvl="0">
      <w:lvlJc w:val="left"/>
      <w:lvlText w:val="%1."/>
      <w:numFmt w:val="decimal"/>
      <w:start w:val="9"/>
    </w:lvl>
  </w:abstractNum>
  <w:abstractNum w:abstractNumId="440">
    <w:nsid w:val="D838636"/>
    <w:multiLevelType w:val="hybridMultilevel"/>
    <w:lvl w:ilvl="0">
      <w:lvlJc w:val="left"/>
      <w:lvlText w:val="%1."/>
      <w:numFmt w:val="decimal"/>
      <w:start w:val="14"/>
    </w:lvl>
  </w:abstractNum>
  <w:abstractNum w:abstractNumId="441">
    <w:nsid w:val="71B82AED"/>
    <w:multiLevelType w:val="hybridMultilevel"/>
    <w:lvl w:ilvl="0">
      <w:lvlJc w:val="left"/>
      <w:lvlText w:val="%1."/>
      <w:numFmt w:val="decimal"/>
      <w:start w:val="1"/>
    </w:lvl>
    <w:lvl w:ilvl="1">
      <w:lvlJc w:val="left"/>
      <w:lvlText w:val="(%2)"/>
      <w:numFmt w:val="lowerLetter"/>
      <w:start w:val="1"/>
    </w:lvl>
  </w:abstractNum>
  <w:abstractNum w:abstractNumId="442">
    <w:nsid w:val="D15FACA"/>
    <w:multiLevelType w:val="hybridMultilevel"/>
    <w:lvl w:ilvl="0">
      <w:lvlJc w:val="left"/>
      <w:lvlText w:val="%1."/>
      <w:numFmt w:val="decimal"/>
      <w:start w:val="1"/>
    </w:lvl>
    <w:lvl w:ilvl="1">
      <w:lvlJc w:val="left"/>
      <w:lvlText w:val="•"/>
      <w:numFmt w:val="bullet"/>
      <w:start w:val="1"/>
    </w:lvl>
  </w:abstractNum>
  <w:abstractNum w:abstractNumId="443">
    <w:nsid w:val="3D69565B"/>
    <w:multiLevelType w:val="hybridMultilevel"/>
    <w:lvl w:ilvl="0">
      <w:lvlJc w:val="left"/>
      <w:lvlText w:val="•"/>
      <w:numFmt w:val="bullet"/>
      <w:start w:val="1"/>
    </w:lvl>
  </w:abstractNum>
  <w:abstractNum w:abstractNumId="444">
    <w:nsid w:val="2299DCBC"/>
    <w:multiLevelType w:val="hybridMultilevel"/>
    <w:lvl w:ilvl="0">
      <w:lvlJc w:val="left"/>
      <w:lvlText w:val="1"/>
      <w:numFmt w:val="bullet"/>
      <w:start w:val="1"/>
    </w:lvl>
  </w:abstractNum>
  <w:abstractNum w:abstractNumId="445">
    <w:nsid w:val="19908D02"/>
    <w:multiLevelType w:val="hybridMultilevel"/>
    <w:lvl w:ilvl="0">
      <w:lvlJc w:val="left"/>
      <w:lvlText w:val="•"/>
      <w:numFmt w:val="bullet"/>
      <w:start w:val="1"/>
    </w:lvl>
  </w:abstractNum>
  <w:abstractNum w:abstractNumId="446">
    <w:nsid w:val="24D48BDB"/>
    <w:multiLevelType w:val="hybridMultilevel"/>
    <w:lvl w:ilvl="0">
      <w:lvlJc w:val="left"/>
      <w:lvlText w:val="%1."/>
      <w:numFmt w:val="decimal"/>
      <w:start w:val="1"/>
    </w:lvl>
  </w:abstractNum>
  <w:abstractNum w:abstractNumId="447">
    <w:nsid w:val="542DA5B5"/>
    <w:multiLevelType w:val="hybridMultilevel"/>
    <w:lvl w:ilvl="0">
      <w:lvlJc w:val="left"/>
      <w:lvlText w:val="%1."/>
      <w:numFmt w:val="decimal"/>
      <w:start w:val="4"/>
    </w:lvl>
  </w:abstractNum>
  <w:abstractNum w:abstractNumId="448">
    <w:nsid w:val="793753DE"/>
    <w:multiLevelType w:val="hybridMultilevel"/>
    <w:lvl w:ilvl="0">
      <w:lvlJc w:val="left"/>
      <w:lvlText w:val="•"/>
      <w:numFmt w:val="bullet"/>
      <w:start w:val="1"/>
    </w:lvl>
  </w:abstractNum>
  <w:abstractNum w:abstractNumId="449">
    <w:nsid w:val="1C67CB3D"/>
    <w:multiLevelType w:val="hybridMultilevel"/>
    <w:lvl w:ilvl="0">
      <w:lvlJc w:val="left"/>
      <w:lvlText w:val="•"/>
      <w:numFmt w:val="bullet"/>
      <w:start w:val="1"/>
    </w:lvl>
  </w:abstractNum>
  <w:abstractNum w:abstractNumId="450">
    <w:nsid w:val="40E29452"/>
    <w:multiLevelType w:val="hybridMultilevel"/>
    <w:lvl w:ilvl="0">
      <w:lvlJc w:val="left"/>
      <w:lvlText w:val="%1."/>
      <w:numFmt w:val="decimal"/>
      <w:start w:val="1"/>
    </w:lvl>
  </w:abstractNum>
  <w:abstractNum w:abstractNumId="451">
    <w:nsid w:val="63A4AAB6"/>
    <w:multiLevelType w:val="hybridMultilevel"/>
    <w:lvl w:ilvl="0">
      <w:lvlJc w:val="left"/>
      <w:lvlText w:val="%1."/>
      <w:numFmt w:val="decimal"/>
      <w:start w:val="1"/>
    </w:lvl>
  </w:abstractNum>
  <w:abstractNum w:abstractNumId="452">
    <w:nsid w:val="77DA4A57"/>
    <w:multiLevelType w:val="hybridMultilevel"/>
    <w:lvl w:ilvl="0">
      <w:lvlJc w:val="left"/>
      <w:lvlText w:val="•"/>
      <w:numFmt w:val="bullet"/>
      <w:start w:val="1"/>
    </w:lvl>
  </w:abstractNum>
  <w:abstractNum w:abstractNumId="453">
    <w:nsid w:val="1230F102"/>
    <w:multiLevelType w:val="hybridMultilevel"/>
    <w:lvl w:ilvl="0">
      <w:lvlJc w:val="left"/>
      <w:lvlText w:val="•"/>
      <w:numFmt w:val="bullet"/>
      <w:start w:val="1"/>
    </w:lvl>
  </w:abstractNum>
  <w:abstractNum w:abstractNumId="454">
    <w:nsid w:val="25B57ED4"/>
    <w:multiLevelType w:val="hybridMultilevel"/>
    <w:lvl w:ilvl="0">
      <w:lvlJc w:val="left"/>
      <w:lvlText w:val="%1."/>
      <w:numFmt w:val="decimal"/>
      <w:start w:val="1"/>
    </w:lvl>
    <w:lvl w:ilvl="1">
      <w:lvlJc w:val="left"/>
      <w:lvlText w:val="(%2)"/>
      <w:numFmt w:val="lowerLetter"/>
      <w:start w:val="1"/>
    </w:lvl>
  </w:abstractNum>
  <w:abstractNum w:abstractNumId="455">
    <w:nsid w:val="47CF16C4"/>
    <w:multiLevelType w:val="hybridMultilevel"/>
    <w:lvl w:ilvl="0">
      <w:lvlJc w:val="left"/>
      <w:lvlText w:val="%1."/>
      <w:numFmt w:val="decimal"/>
      <w:start w:val="1"/>
    </w:lvl>
    <w:lvl w:ilvl="1">
      <w:lvlJc w:val="left"/>
      <w:lvlText w:val="(%2)"/>
      <w:numFmt w:val="lowerLetter"/>
      <w:start w:val="1"/>
    </w:lvl>
  </w:abstractNum>
  <w:abstractNum w:abstractNumId="456">
    <w:nsid w:val="527FA04C"/>
    <w:multiLevelType w:val="hybridMultilevel"/>
    <w:lvl w:ilvl="0">
      <w:lvlJc w:val="left"/>
      <w:lvlText w:val="%1."/>
      <w:numFmt w:val="decimal"/>
      <w:start w:val="1"/>
    </w:lvl>
  </w:abstractNum>
  <w:abstractNum w:abstractNumId="457">
    <w:nsid w:val="6FCC0624"/>
    <w:multiLevelType w:val="hybridMultilevel"/>
    <w:lvl w:ilvl="0">
      <w:lvlJc w:val="left"/>
      <w:lvlText w:val="(%1)"/>
      <w:numFmt w:val="lowerRoman"/>
      <w:start w:val="1"/>
    </w:lvl>
  </w:abstractNum>
  <w:abstractNum w:abstractNumId="458">
    <w:nsid w:val="1DCDF795"/>
    <w:multiLevelType w:val="hybridMultilevel"/>
    <w:lvl w:ilvl="0">
      <w:lvlJc w:val="left"/>
      <w:lvlText w:val="(%1)"/>
      <w:numFmt w:val="lowerRoman"/>
      <w:start w:val="1"/>
    </w:lvl>
  </w:abstractNum>
  <w:abstractNum w:abstractNumId="459">
    <w:nsid w:val="564580C8"/>
    <w:multiLevelType w:val="hybridMultilevel"/>
    <w:lvl w:ilvl="0">
      <w:lvlJc w:val="left"/>
      <w:lvlText w:val="(%1)"/>
      <w:numFmt w:val="lowerRoman"/>
      <w:start w:val="1"/>
    </w:lvl>
  </w:abstractNum>
  <w:abstractNum w:abstractNumId="460">
    <w:nsid w:val="508ED8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2024-05-29T15:29:22Z</dcterms:created>
  <dcterms:modified xsi:type="dcterms:W3CDTF">2024-05-29T15:29:22Z</dcterms:modified>
</cp:coreProperties>
</file>