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198755</wp:posOffset>
            </wp:positionH>
            <wp:positionV relativeFrom="page">
              <wp:posOffset>617855</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640080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5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the month of September, 2024</w:t>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Commission File Number 001-41800</w:t>
      </w: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Arm Holdings plc</w:t>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110 Fulbourn Road</w:t>
      </w:r>
    </w:p>
    <w:p>
      <w:pPr>
        <w:jc w:val="center"/>
        <w:spacing w:after="0" w:line="209" w:lineRule="auto"/>
        <w:rPr>
          <w:sz w:val="20"/>
          <w:szCs w:val="20"/>
          <w:color w:val="auto"/>
        </w:rPr>
      </w:pPr>
      <w:r>
        <w:rPr>
          <w:rFonts w:ascii="Times New Roman" w:cs="Times New Roman" w:eastAsia="Times New Roman" w:hAnsi="Times New Roman"/>
          <w:sz w:val="15"/>
          <w:szCs w:val="15"/>
          <w:b w:val="1"/>
          <w:bCs w:val="1"/>
          <w:color w:val="auto"/>
        </w:rPr>
        <w:t>Cambridge CB1 9NJ</w:t>
      </w:r>
    </w:p>
    <w:p>
      <w:pPr>
        <w:jc w:val="center"/>
        <w:spacing w:after="0"/>
        <w:rPr>
          <w:sz w:val="20"/>
          <w:szCs w:val="20"/>
          <w:color w:val="auto"/>
        </w:rPr>
      </w:pPr>
      <w:r>
        <w:rPr>
          <w:rFonts w:ascii="Times New Roman" w:cs="Times New Roman" w:eastAsia="Times New Roman" w:hAnsi="Times New Roman"/>
          <w:sz w:val="15"/>
          <w:szCs w:val="15"/>
          <w:b w:val="1"/>
          <w:bCs w:val="1"/>
          <w:color w:val="auto"/>
        </w:rPr>
        <w:t>United Kingdom</w:t>
      </w:r>
    </w:p>
    <w:p>
      <w:pPr>
        <w:spacing w:after="0" w:line="2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5"/>
          <w:szCs w:val="15"/>
          <w:color w:val="auto"/>
        </w:rPr>
        <w:t>(Address of principal executive office)</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58" w:lineRule="exact"/>
        <w:rPr>
          <w:sz w:val="24"/>
          <w:szCs w:val="24"/>
          <w:color w:val="auto"/>
        </w:rPr>
      </w:pPr>
    </w:p>
    <w:p>
      <w:pPr>
        <w:spacing w:after="0" w:line="173" w:lineRule="exact"/>
        <w:tabs>
          <w:tab w:leader="none" w:pos="960" w:val="left"/>
        </w:tabs>
        <w:rPr>
          <w:sz w:val="20"/>
          <w:szCs w:val="20"/>
          <w:color w:val="auto"/>
        </w:rPr>
      </w:pPr>
      <w:r>
        <w:rPr>
          <w:rFonts w:ascii="Times New Roman" w:cs="Times New Roman" w:eastAsia="Times New Roman" w:hAnsi="Times New Roman"/>
          <w:sz w:val="15"/>
          <w:szCs w:val="15"/>
          <w:color w:val="auto"/>
        </w:rPr>
        <w:t xml:space="preserve">Form 20-F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202" w:lineRule="exact"/>
        <w:rPr>
          <w:sz w:val="24"/>
          <w:szCs w:val="24"/>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This report on Form 6-K shall be deemed to be incorporated by reference into the registration statement on Form S-8 (File No. 333-274544) of Arm Holdings plc (including the prospectus forming a part of each such registration statement) and to be a part thereof from the date of this Form 6-K to the extent not superseded by documents or reports subsequently filed or furnished.</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2024 Annual General Meeting of Arm Holdings plc</w:t>
      </w:r>
    </w:p>
    <w:p>
      <w:pPr>
        <w:spacing w:after="0" w:line="202" w:lineRule="exact"/>
        <w:rPr>
          <w:sz w:val="24"/>
          <w:szCs w:val="24"/>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On September 12, 2024, Arm Holdings plc (the “Company”) announced the results of its Annual General Meeting held on September 11, 2024 (the “AGM”). Voting at the AGM was conducted by way of a poll. The results of the voting, including the number of votes cast for and against and the number of votes withheld, are available on the Company's website and are set forth in Exhibit 99.1 to this report on Form 6-K.</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Composition</w:t>
      </w:r>
    </w:p>
    <w:p>
      <w:pPr>
        <w:spacing w:after="0" w:line="202"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connection with the AGM, Anthony M. Fadell retired as a director, and he was not renominated to the Company’s Board of Directors (the “Board”). Mr. Fadell’s retirement and the decision to not renominate Mr. Fadell to the Board was not the result of any disagreements with the Company on any matter relating to the Company’s operations, policies or practices. At the AGM, each of the Company’s then-serving directors (other than Mr. Fadell) were re-elected to the Board, and Young Sohn was elected to fill the vacancy resulting from the retirement of Mr. Fadell in connection with the AGM. The Board affirmatively determined that Mr. Sohn is an independent director within the meaning of the Listing Rules of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474980</wp:posOffset>
            </wp:positionV>
            <wp:extent cx="717740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71" w:right="319" w:bottom="1440" w:gutter="0" w:footer="0" w:header="0"/>
        </w:sectPr>
      </w:pPr>
    </w:p>
    <w:bookmarkStart w:id="1" w:name="page2"/>
    <w:bookmarkEnd w:id="1"/>
    <w:p>
      <w:pPr>
        <w:jc w:val="both"/>
        <w:spacing w:after="0" w:line="276" w:lineRule="auto"/>
        <w:rPr>
          <w:sz w:val="20"/>
          <w:szCs w:val="20"/>
          <w:color w:val="auto"/>
        </w:rPr>
      </w:pPr>
      <w:r>
        <w:rPr>
          <w:rFonts w:ascii="Times New Roman" w:cs="Times New Roman" w:eastAsia="Times New Roman" w:hAnsi="Times New Roman"/>
          <w:sz w:val="15"/>
          <w:szCs w:val="15"/>
          <w:color w:val="auto"/>
        </w:rPr>
        <w:t>In connection with the AGM, Ronald D. Fisher resigned from the Audit Committee of the Board (the “Audit Committee”), and the Board appointed Mr. Sohn to fill the vacancy on the Audit Committee resulting from Mr. Fisher’s resignation. The remaining members of the Audit Committee and the members of the Remuneration Committee of the Board (“Remuneration Committee”) continue to serve as members of Audit Committee and Remuneration Committee, as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Reference is made to the Exhibit Index included hereto.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9000" w:type="dxa"/>
            <w:vAlign w:val="bottom"/>
            <w:gridSpan w:val="2"/>
          </w:tcPr>
          <w:p>
            <w:pPr>
              <w:ind w:left="276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426"/>
        </w:trPr>
        <w:tc>
          <w:tcPr>
            <w:tcW w:w="2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90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65"/>
        </w:trPr>
        <w:tc>
          <w:tcPr>
            <w:tcW w:w="22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99.1</w:t>
            </w:r>
          </w:p>
        </w:tc>
        <w:tc>
          <w:tcPr>
            <w:tcW w:w="900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0000FF"/>
              </w:rPr>
              <w:t>2024 Arm Holdings plc Annual General Meeting Results</w:t>
            </w:r>
          </w:p>
        </w:tc>
      </w:tr>
      <w:tr>
        <w:trPr>
          <w:trHeight w:val="886"/>
        </w:trPr>
        <w:tc>
          <w:tcPr>
            <w:tcW w:w="2260" w:type="dxa"/>
            <w:vAlign w:val="bottom"/>
            <w:tcBorders>
              <w:bottom w:val="single" w:sz="8" w:color="9A9A9A"/>
            </w:tcBorders>
          </w:tcPr>
          <w:p>
            <w:pPr>
              <w:spacing w:after="0"/>
              <w:rPr>
                <w:sz w:val="24"/>
                <w:szCs w:val="24"/>
                <w:color w:val="auto"/>
              </w:rPr>
            </w:pPr>
          </w:p>
        </w:tc>
        <w:tc>
          <w:tcPr>
            <w:tcW w:w="3540" w:type="dxa"/>
            <w:vAlign w:val="bottom"/>
            <w:tcBorders>
              <w:top w:val="single" w:sz="8" w:color="0000FF"/>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231F20"/>
        </w:rPr>
        <w:t>SIGNATURES</w:t>
      </w:r>
    </w:p>
    <w:p>
      <w:pPr>
        <w:spacing w:after="0" w:line="202" w:lineRule="exact"/>
        <w:rPr>
          <w:sz w:val="20"/>
          <w:szCs w:val="20"/>
          <w:color w:val="auto"/>
        </w:rPr>
      </w:pPr>
    </w:p>
    <w:p>
      <w:pPr>
        <w:ind w:firstLine="278"/>
        <w:spacing w:after="0" w:line="295" w:lineRule="auto"/>
        <w:rPr>
          <w:sz w:val="20"/>
          <w:szCs w:val="20"/>
          <w:color w:val="auto"/>
        </w:rPr>
      </w:pPr>
      <w:r>
        <w:rPr>
          <w:rFonts w:ascii="Times New Roman" w:cs="Times New Roman" w:eastAsia="Times New Roman" w:hAnsi="Times New Roman"/>
          <w:sz w:val="15"/>
          <w:szCs w:val="15"/>
          <w:color w:val="231F20"/>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7820" w:type="dxa"/>
            <w:vAlign w:val="bottom"/>
            <w:gridSpan w:val="2"/>
          </w:tcPr>
          <w:p>
            <w:pPr>
              <w:ind w:left="1800"/>
              <w:spacing w:after="0"/>
              <w:rPr>
                <w:sz w:val="20"/>
                <w:szCs w:val="20"/>
                <w:color w:val="auto"/>
              </w:rPr>
            </w:pPr>
            <w:r>
              <w:rPr>
                <w:rFonts w:ascii="Times New Roman" w:cs="Times New Roman" w:eastAsia="Times New Roman" w:hAnsi="Times New Roman"/>
                <w:sz w:val="15"/>
                <w:szCs w:val="15"/>
                <w:b w:val="1"/>
                <w:bCs w:val="1"/>
                <w:color w:val="231F20"/>
              </w:rPr>
              <w:t>ARM HOLDINGS PLC</w:t>
            </w:r>
          </w:p>
        </w:tc>
      </w:tr>
      <w:tr>
        <w:trPr>
          <w:trHeight w:val="486"/>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Date: September 12, 2024</w:t>
            </w:r>
          </w:p>
        </w:tc>
        <w:tc>
          <w:tcPr>
            <w:tcW w:w="2600" w:type="dxa"/>
            <w:vAlign w:val="bottom"/>
          </w:tcPr>
          <w:p>
            <w:pPr>
              <w:ind w:left="1800"/>
              <w:spacing w:after="0"/>
              <w:rPr>
                <w:sz w:val="20"/>
                <w:szCs w:val="20"/>
                <w:color w:val="auto"/>
              </w:rPr>
            </w:pPr>
            <w:r>
              <w:rPr>
                <w:rFonts w:ascii="Times New Roman" w:cs="Times New Roman" w:eastAsia="Times New Roman" w:hAnsi="Times New Roman"/>
                <w:sz w:val="15"/>
                <w:szCs w:val="15"/>
                <w:color w:val="231F20"/>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Laura Bartels</w:t>
            </w:r>
          </w:p>
        </w:tc>
      </w:tr>
      <w:tr>
        <w:trPr>
          <w:trHeight w:val="209"/>
        </w:trPr>
        <w:tc>
          <w:tcPr>
            <w:tcW w:w="3420" w:type="dxa"/>
            <w:vAlign w:val="bottom"/>
          </w:tcPr>
          <w:p>
            <w:pPr>
              <w:spacing w:after="0"/>
              <w:rPr>
                <w:sz w:val="18"/>
                <w:szCs w:val="18"/>
                <w:color w:val="auto"/>
              </w:rPr>
            </w:pPr>
          </w:p>
        </w:tc>
        <w:tc>
          <w:tcPr>
            <w:tcW w:w="2600" w:type="dxa"/>
            <w:vAlign w:val="bottom"/>
          </w:tcPr>
          <w:p>
            <w:pPr>
              <w:ind w:left="1800"/>
              <w:spacing w:after="0"/>
              <w:rPr>
                <w:sz w:val="20"/>
                <w:szCs w:val="20"/>
                <w:color w:val="auto"/>
              </w:rPr>
            </w:pPr>
            <w:r>
              <w:rPr>
                <w:rFonts w:ascii="Times New Roman" w:cs="Times New Roman" w:eastAsia="Times New Roman" w:hAnsi="Times New Roman"/>
                <w:sz w:val="15"/>
                <w:szCs w:val="15"/>
                <w:color w:val="231F20"/>
              </w:rPr>
              <w:t>Name:</w:t>
            </w:r>
          </w:p>
        </w:tc>
        <w:tc>
          <w:tcPr>
            <w:tcW w:w="5220" w:type="dxa"/>
            <w:vAlign w:val="bottom"/>
          </w:tcPr>
          <w:p>
            <w:pPr>
              <w:spacing w:after="0"/>
              <w:rPr>
                <w:sz w:val="20"/>
                <w:szCs w:val="20"/>
                <w:color w:val="auto"/>
              </w:rPr>
            </w:pPr>
            <w:r>
              <w:rPr>
                <w:rFonts w:ascii="Times New Roman" w:cs="Times New Roman" w:eastAsia="Times New Roman" w:hAnsi="Times New Roman"/>
                <w:sz w:val="15"/>
                <w:szCs w:val="15"/>
                <w:color w:val="auto"/>
              </w:rPr>
              <w:t>Laura Bartels</w:t>
            </w:r>
          </w:p>
        </w:tc>
      </w:tr>
      <w:tr>
        <w:trPr>
          <w:trHeight w:val="165"/>
        </w:trPr>
        <w:tc>
          <w:tcPr>
            <w:tcW w:w="3420" w:type="dxa"/>
            <w:vAlign w:val="bottom"/>
          </w:tcPr>
          <w:p>
            <w:pPr>
              <w:spacing w:after="0"/>
              <w:rPr>
                <w:sz w:val="14"/>
                <w:szCs w:val="14"/>
                <w:color w:val="auto"/>
              </w:rPr>
            </w:pPr>
          </w:p>
        </w:tc>
        <w:tc>
          <w:tcPr>
            <w:tcW w:w="2600" w:type="dxa"/>
            <w:vAlign w:val="bottom"/>
          </w:tcPr>
          <w:p>
            <w:pPr>
              <w:ind w:left="1800"/>
              <w:spacing w:after="0" w:line="165" w:lineRule="exact"/>
              <w:rPr>
                <w:sz w:val="20"/>
                <w:szCs w:val="20"/>
                <w:color w:val="auto"/>
              </w:rPr>
            </w:pPr>
            <w:r>
              <w:rPr>
                <w:rFonts w:ascii="Times New Roman" w:cs="Times New Roman" w:eastAsia="Times New Roman" w:hAnsi="Times New Roman"/>
                <w:sz w:val="15"/>
                <w:szCs w:val="15"/>
                <w:color w:val="231F20"/>
              </w:rPr>
              <w:t>Title:</w:t>
            </w:r>
          </w:p>
        </w:tc>
        <w:tc>
          <w:tcPr>
            <w:tcW w:w="522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Chief Accounting Officer</w:t>
            </w:r>
          </w:p>
        </w:tc>
      </w:tr>
      <w:tr>
        <w:trPr>
          <w:trHeight w:val="199"/>
        </w:trPr>
        <w:tc>
          <w:tcPr>
            <w:tcW w:w="34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5"/>
                <w:szCs w:val="15"/>
                <w:color w:val="auto"/>
              </w:rPr>
              <w:t>(Principal Accounting Officer)</w:t>
            </w:r>
          </w:p>
        </w:tc>
      </w:tr>
    </w:tbl>
    <w:p>
      <w:pPr>
        <w:sectPr>
          <w:pgSz w:w="11900" w:h="16838" w:orient="portrait"/>
          <w:cols w:equalWidth="0" w:num="1">
            <w:col w:w="11240"/>
          </w:cols>
          <w:pgMar w:left="320" w:top="1093"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2024-09-12T15:19:27Z</dcterms:created>
  <dcterms:modified xsi:type="dcterms:W3CDTF">2024-09-12T15:19:27Z</dcterms:modified>
</cp:coreProperties>
</file>