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99" w:lineRule="exact"/>
        <w:rPr>
          <w:sz w:val="24"/>
          <w:szCs w:val="24"/>
          <w:color w:val="auto"/>
        </w:rPr>
      </w:pPr>
    </w:p>
    <w:p>
      <w:pPr>
        <w:jc w:val="center"/>
        <w:ind w:right="460"/>
        <w:spacing w:after="0" w:line="239"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001-41800</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Arm Holdings plc</w:t>
      </w:r>
    </w:p>
    <w:p>
      <w:pPr>
        <w:spacing w:after="0" w:line="200" w:lineRule="exact"/>
        <w:rPr>
          <w:sz w:val="24"/>
          <w:szCs w:val="24"/>
          <w:color w:val="auto"/>
        </w:rPr>
      </w:pPr>
    </w:p>
    <w:p>
      <w:pPr>
        <w:spacing w:after="0" w:line="340"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110 Fulbourn Road</w:t>
      </w:r>
    </w:p>
    <w:p>
      <w:pPr>
        <w:ind w:left="5180"/>
        <w:spacing w:after="0" w:line="210" w:lineRule="auto"/>
        <w:rPr>
          <w:sz w:val="20"/>
          <w:szCs w:val="20"/>
          <w:color w:val="auto"/>
        </w:rPr>
      </w:pPr>
      <w:r>
        <w:rPr>
          <w:rFonts w:ascii="Times New Roman" w:cs="Times New Roman" w:eastAsia="Times New Roman" w:hAnsi="Times New Roman"/>
          <w:sz w:val="18"/>
          <w:szCs w:val="18"/>
          <w:b w:val="1"/>
          <w:bCs w:val="1"/>
          <w:color w:val="auto"/>
        </w:rPr>
        <w:t>Cambridge</w:t>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56" w:lineRule="exact"/>
        <w:rPr>
          <w:sz w:val="24"/>
          <w:szCs w:val="24"/>
          <w:color w:val="auto"/>
        </w:rPr>
      </w:pPr>
    </w:p>
    <w:p>
      <w:pPr>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89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Press Release dated </w:t>
            </w:r>
            <w:r>
              <w:rPr>
                <w:rFonts w:ascii="Times New Roman" w:cs="Times New Roman" w:eastAsia="Times New Roman" w:hAnsi="Times New Roman"/>
                <w:sz w:val="18"/>
                <w:szCs w:val="18"/>
                <w:color w:val="000000"/>
              </w:rPr>
              <w:t>July 31, 2024</w:t>
            </w:r>
          </w:p>
        </w:tc>
      </w:tr>
      <w:tr>
        <w:trPr>
          <w:trHeight w:val="20"/>
        </w:trPr>
        <w:tc>
          <w:tcPr>
            <w:tcW w:w="22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1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Shareholder Letter dated </w:t>
            </w:r>
            <w:r>
              <w:rPr>
                <w:rFonts w:ascii="Times New Roman" w:cs="Times New Roman" w:eastAsia="Times New Roman" w:hAnsi="Times New Roman"/>
                <w:sz w:val="18"/>
                <w:szCs w:val="18"/>
                <w:color w:val="000000"/>
              </w:rPr>
              <w:t>July 31, 2024</w:t>
            </w:r>
          </w:p>
        </w:tc>
      </w:tr>
      <w:tr>
        <w:trPr>
          <w:trHeight w:val="1040"/>
        </w:trPr>
        <w:tc>
          <w:tcPr>
            <w:tcW w:w="2260" w:type="dxa"/>
            <w:vAlign w:val="bottom"/>
            <w:tcBorders>
              <w:bottom w:val="single" w:sz="8" w:color="9A9A9A"/>
            </w:tcBorders>
          </w:tcPr>
          <w:p>
            <w:pPr>
              <w:spacing w:after="0"/>
              <w:rPr>
                <w:sz w:val="24"/>
                <w:szCs w:val="24"/>
                <w:color w:val="auto"/>
              </w:rPr>
            </w:pPr>
          </w:p>
        </w:tc>
        <w:tc>
          <w:tcPr>
            <w:tcW w:w="14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231F20"/>
              </w:rPr>
              <w:t>ARM HOLDINGS PLC</w:t>
            </w:r>
          </w:p>
        </w:tc>
      </w:tr>
      <w:tr>
        <w:trPr>
          <w:trHeight w:val="56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2024</w:t>
            </w: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231F20"/>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Bartels</w:t>
            </w:r>
          </w:p>
        </w:tc>
      </w:tr>
      <w:tr>
        <w:trPr>
          <w:trHeight w:val="245"/>
        </w:trPr>
        <w:tc>
          <w:tcPr>
            <w:tcW w:w="3300" w:type="dxa"/>
            <w:vAlign w:val="bottom"/>
          </w:tcPr>
          <w:p>
            <w:pPr>
              <w:spacing w:after="0"/>
              <w:rPr>
                <w:sz w:val="21"/>
                <w:szCs w:val="21"/>
                <w:color w:val="auto"/>
              </w:rPr>
            </w:pP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231F20"/>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Bartels</w:t>
            </w:r>
          </w:p>
        </w:tc>
      </w:tr>
      <w:tr>
        <w:trPr>
          <w:trHeight w:val="194"/>
        </w:trPr>
        <w:tc>
          <w:tcPr>
            <w:tcW w:w="3300" w:type="dxa"/>
            <w:vAlign w:val="bottom"/>
          </w:tcPr>
          <w:p>
            <w:pPr>
              <w:spacing w:after="0"/>
              <w:rPr>
                <w:sz w:val="16"/>
                <w:szCs w:val="16"/>
                <w:color w:val="auto"/>
              </w:rPr>
            </w:pPr>
          </w:p>
        </w:tc>
        <w:tc>
          <w:tcPr>
            <w:tcW w:w="2680" w:type="dxa"/>
            <w:vAlign w:val="bottom"/>
          </w:tcPr>
          <w:p>
            <w:pPr>
              <w:ind w:left="1900"/>
              <w:spacing w:after="0" w:line="194" w:lineRule="exact"/>
              <w:rPr>
                <w:sz w:val="20"/>
                <w:szCs w:val="20"/>
                <w:color w:val="auto"/>
              </w:rPr>
            </w:pPr>
            <w:r>
              <w:rPr>
                <w:rFonts w:ascii="Times New Roman" w:cs="Times New Roman" w:eastAsia="Times New Roman" w:hAnsi="Times New Roman"/>
                <w:sz w:val="18"/>
                <w:szCs w:val="18"/>
                <w:color w:val="231F20"/>
              </w:rPr>
              <w:t>Title:</w:t>
            </w:r>
          </w:p>
        </w:tc>
        <w:tc>
          <w:tcPr>
            <w:tcW w:w="5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t>Arm Holdings plc Reports Results for the First Quarter of the Financial Year Ended 2025</w:t>
      </w:r>
    </w:p>
    <w:p>
      <w:pPr>
        <w:spacing w:after="0" w:line="25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Cambridge, England, July 31, 2024: </w:t>
      </w:r>
      <w:r>
        <w:rPr>
          <w:rFonts w:ascii="Times New Roman" w:cs="Times New Roman" w:eastAsia="Times New Roman" w:hAnsi="Times New Roman"/>
          <w:sz w:val="22"/>
          <w:szCs w:val="22"/>
          <w:color w:val="auto"/>
        </w:rPr>
        <w:t>Arm Holdings plc (NASDAQ: ARM), the company that is building the future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computing, has today published a letter to its shareholders containing the company’s results for its fiscal first quarter and three months ended June 30, 2024. The letter is available on its investor relations website (https://investors.arm.com/financials/quarterly-annual-results). The shareholder letter will also be furnished to the Securities and Exchange Commission (SEC) on a Form 6-K and will be available on the SEC website at http://www.sec.gov.</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Arm will host an audio webcast to discuss its results at 14:00 PT / 17:00 ET / 22:00 BST today, July 31. The live webcast will be available at https://edge.media-server.com/mmc/p/8vztamtt/ and a replay will be at https://investors.arm.com/financials/quarterly-annual-results.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Arm:</w:t>
      </w:r>
    </w:p>
    <w:p>
      <w:pPr>
        <w:spacing w:after="0" w:line="18"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Arm technology is building the future of computing. Our energy-efficient processor designs and software platforms have enabled advanced computing in more than 290 billion chips and our technologies securely power products from the sensor to the smartphone and the supercomputer. Together with 1,000+ technology partners, we are enabling artificial intelligence to work everywhere, and in cybersecurity, we are delivering the foundation for trust in the digital world – from chip to cloud. The future is being built on Arm.</w:t>
      </w:r>
    </w:p>
    <w:p>
      <w:pPr>
        <w:spacing w:after="0" w:line="208"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22"/>
          <w:szCs w:val="22"/>
          <w:color w:val="auto"/>
        </w:rPr>
        <w:t>All information is provided “as is” and without warranty or representation. This document may be shared freely, attributed and unmodified. Arm is a registered trademark of Arm Limited (or its subsidiaries or affiliates). All brands or product names are the property of their respective holders. © 1995-2024 Arm Limited.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Media</w:t>
      </w:r>
    </w:p>
    <w:p>
      <w:pPr>
        <w:spacing w:after="0" w:line="218" w:lineRule="auto"/>
        <w:rPr>
          <w:sz w:val="20"/>
          <w:szCs w:val="20"/>
          <w:color w:val="auto"/>
        </w:rPr>
      </w:pPr>
      <w:r>
        <w:rPr>
          <w:rFonts w:ascii="Times New Roman" w:cs="Times New Roman" w:eastAsia="Times New Roman" w:hAnsi="Times New Roman"/>
          <w:sz w:val="22"/>
          <w:szCs w:val="22"/>
          <w:color w:val="auto"/>
        </w:rPr>
        <w:t>Arm External Communications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Global-PRteam@arm.com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Investors</w:t>
      </w:r>
    </w:p>
    <w:p>
      <w:pPr>
        <w:spacing w:after="0" w:line="236" w:lineRule="auto"/>
        <w:rPr>
          <w:sz w:val="20"/>
          <w:szCs w:val="20"/>
          <w:color w:val="auto"/>
        </w:rPr>
      </w:pPr>
      <w:r>
        <w:rPr>
          <w:rFonts w:ascii="Times New Roman" w:cs="Times New Roman" w:eastAsia="Times New Roman" w:hAnsi="Times New Roman"/>
          <w:sz w:val="22"/>
          <w:szCs w:val="22"/>
          <w:color w:val="auto"/>
        </w:rPr>
        <w:t>Arm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Investor.Relations@arm.com</w:t>
      </w:r>
    </w:p>
    <w:p>
      <w:pPr>
        <w:sectPr>
          <w:pgSz w:w="11900" w:h="16838" w:orient="portrait"/>
          <w:cols w:equalWidth="0" w:num="1">
            <w:col w:w="11220"/>
          </w:cols>
          <w:pgMar w:left="320" w:top="140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657850" cy="7320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400"/>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0139"/>
          </w:cols>
          <w:pgMar w:left="320" w:top="927" w:right="1440" w:bottom="1440" w:gutter="0" w:footer="0" w:header="0"/>
          <w:type w:val="continuous"/>
        </w:sectPr>
      </w:pPr>
    </w:p>
    <w:bookmarkStart w:id="4" w:name="page5"/>
    <w:bookmarkEnd w:id="4"/>
    <w:p>
      <w:pPr>
        <w:ind w:left="40" w:right="360"/>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08088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0885" cy="497205"/>
                    </a:xfrm>
                    <a:prstGeom prst="rect">
                      <a:avLst/>
                    </a:prstGeom>
                    <a:noFill/>
                  </pic:spPr>
                </pic:pic>
              </a:graphicData>
            </a:graphic>
          </wp:anchor>
        </w:drawing>
        <w:t>Arm will be hosting a conference call via an audio webcast to discuss earnings at 14:00 Pacific Time (17:00 Eastern Time, 22:00 BST) on Wednesday, July 31, 2024. A replay of and a transcript of the call will be available the following day.</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webcast and replay can be accessed at: https://edge.media-server.com/mmc/p/8vztamtt/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4FF"/>
        </w:rPr>
        <w:t>Dear Shareholder,</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Arm delivered a fourth consecutive quarter of record results as we continue to build upon the world's most popular compute platform. In Q1, we delivered record revenue and exceeded the high-end of our guidance range for both revenue and non-GAAP EPS. License revenue hit a record level as the proliferation of AI everywhere is driving more companies to make broad and long-term commitments to use Arm’s power-efficient technology in their future products. Year-over-year growth in royalty revenue was also strong as rising adoption of Armv9 technology is lifting royalty revenue per device.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Arm’s long-term strategy promotes multiple growth drivers.</w:t>
      </w:r>
    </w:p>
    <w:p>
      <w:pPr>
        <w:spacing w:after="0" w:line="24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Increasing chip complexity is driving royalty revenue growth. </w:t>
      </w:r>
      <w:r>
        <w:rPr>
          <w:rFonts w:ascii="Times New Roman" w:cs="Times New Roman" w:eastAsia="Times New Roman" w:hAnsi="Times New Roman"/>
          <w:sz w:val="18"/>
          <w:szCs w:val="18"/>
          <w:color w:val="auto"/>
        </w:rPr>
        <w:t>AI-enabled devices need significantly increased performance yet also require energy-efficiency and rapid time-to-market. These market trends are driving the need for Arm compute platforms, based on Armv9, which enable more complex AI chips in smartphones, cloud servers, smart IoT, and networking devices.</w:t>
      </w:r>
    </w:p>
    <w:p>
      <w:pPr>
        <w:jc w:val="both"/>
        <w:ind w:right="420"/>
        <w:spacing w:after="0" w:line="253" w:lineRule="auto"/>
        <w:rPr>
          <w:sz w:val="20"/>
          <w:szCs w:val="20"/>
          <w:color w:val="auto"/>
        </w:rPr>
      </w:pPr>
      <w:r>
        <w:rPr>
          <w:rFonts w:ascii="Times New Roman" w:cs="Times New Roman" w:eastAsia="Times New Roman" w:hAnsi="Times New Roman"/>
          <w:sz w:val="18"/>
          <w:szCs w:val="18"/>
          <w:color w:val="auto"/>
        </w:rPr>
        <w:t>Chips based on Armv9 technology now contribute around 25% of Arm’s royalty revenue, which is up from around 20% last quarter. Increased Armv9 adoption in the mobile market drove smartphone royalty revenue up 50% year-over-year in Q1. We expect the migration of AI from the cloud to edge devices to drive even higher compute demand per device over time and Arm’s unprecedented share across all end markets means that Arm is uniquely positioned to benefit from this migration, which will increase royalty revenue per chip.</w:t>
      </w:r>
    </w:p>
    <w:p>
      <w:pPr>
        <w:spacing w:after="0" w:line="21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AI everywhere is creating demand for more energy-efficient compute. </w:t>
      </w:r>
      <w:r>
        <w:rPr>
          <w:rFonts w:ascii="Times New Roman" w:cs="Times New Roman" w:eastAsia="Times New Roman" w:hAnsi="Times New Roman"/>
          <w:sz w:val="18"/>
          <w:szCs w:val="18"/>
          <w:color w:val="auto"/>
        </w:rPr>
        <w:t>AI's substantial energy requirements are driving growth in Arm's compute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which is the most power efficient solution available. During the quarter, Microsoft announced its first generation of Copilot+ PCs on Arm with double the battery life of the closest PC competitor and on par with its Arm-based MacOS counterpart. Every major software application and developer tool now runs natively on Windows on Arm, including Microsoft Office, Google Chrome, Slack, and GitHub runners, which results in a no-compromises experience for the end user.</w:t>
      </w:r>
    </w:p>
    <w:p>
      <w:pPr>
        <w:spacing w:after="0" w:line="21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Google’s recently announced AI-capable Axion products for the data center provide 50% better performance and up to 60% better energy-efficiency than legacy solutions. Early in Q2 FYE25, AWS announced the general availability of the high-performance, energy-efficient Graviton4, which provides up to 30% better compute performance than Graviton3. AWS has 50,000 customers on its Graviton's instances, which have approximately doubled over the previous year, including all of its top 100 EC2 customers. Graviton4 customers include SAP, SmugMug, and Epic Games, who is using Graviton4 to deliver Fortnite. Today, ten of the world’s largest hyperscalers are developing and deploying Arm-based chips into their data centers, including AWS, Google, Microsoft, and Oracle Cloud, given Arm's superior performance and energy efficiency.</w:t>
      </w:r>
    </w:p>
    <w:p>
      <w:pPr>
        <w:spacing w:after="0" w:line="21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Q1, we also introduced the Arm Ethos-U85, which increases performance 4x for edge AI applications such as factory automation, object detection, and image classification.</w:t>
      </w:r>
    </w:p>
    <w:p>
      <w:pPr>
        <w:spacing w:after="0" w:line="1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Compute Subsystems are speeding customers’ time-to-market. </w:t>
      </w:r>
      <w:r>
        <w:rPr>
          <w:rFonts w:ascii="Times New Roman" w:cs="Times New Roman" w:eastAsia="Times New Roman" w:hAnsi="Times New Roman"/>
          <w:sz w:val="18"/>
          <w:szCs w:val="18"/>
          <w:color w:val="auto"/>
        </w:rPr>
        <w:t>Driven by market demand, Arm is increasing investments in Arm Compute Subsystems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(CSS). These integrated and verified configurations of Arm technology accelerate customers’ time-to-market and reduce development costs. Arm CSS solutions deliver significantly higher value to the customer and increase our royalty revenue fee per chip.</w:t>
      </w:r>
    </w:p>
    <w:p>
      <w:pPr>
        <w:spacing w:after="0" w:line="20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During the quarter, Arm expanded its CSS offering and announced its latest CSS for Client, which will further AI capabilities in next generation smartphones and PCs. CSS for Client combines the benefits of Armv9 acceleration features with production-ready implementations of newly announced Arm CPUs and GPUs on the leading edge 3 nanometer manufacturing process to accelerate AI capabilities, improve performance and efficiency, and reduce time-to-market. Arm introduced KleidiAI software libraries to improve performance of generative AI workloads on Arm-based devices. KleidiAI can triple the speed for time-to-first token for Large Language Models (LLMs).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242" w:right="339" w:bottom="1440" w:gutter="0" w:footer="0" w:header="0"/>
        </w:sectPr>
      </w:pPr>
    </w:p>
    <w:bookmarkStart w:id="5" w:name="page6"/>
    <w:bookmarkEnd w:id="5"/>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we have started signing agreements for the Armv9-based CSS for Automotive, which we announced last quarter. Customers are planning to combine CSS with Arm’s unmatched ecosystem of automotive virtual platforms, software, and tools to create a software-defined vehicle system for Level2+ and Level3 autonomous vehicles. Tata Technologies is enabling its automotive software solutions to work seamlessly with CSS for Automotive to accelerate the development timelines of high-performance vehicle computing systems.</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Arm’s ecosystem of software and design partners is unique. </w:t>
      </w:r>
      <w:r>
        <w:rPr>
          <w:rFonts w:ascii="Times New Roman" w:cs="Times New Roman" w:eastAsia="Times New Roman" w:hAnsi="Times New Roman"/>
          <w:sz w:val="18"/>
          <w:szCs w:val="18"/>
          <w:color w:val="auto"/>
        </w:rPr>
        <w:t>Arm has the world’s largest compute ecosystem with more than 20 million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developers, which is up from 15 million one year ago. We continue to increase investment across all market segments to accelerate software development on Arm. More Arm software developers drives demand for new Arm compute platform solutions, which in turn drives an increase in software development and creates a virtuous cycle of demand.</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New companies are joining Arm’s ecosystem and existing customers are leveraging their knowledge and experience of Arm technology into additional end markets. In the last few months, Google and Microsoft announced their first Arm-based chips for the data center. During the quarter, Mediatek joined Arm Total Design, a fast-growing ecosystem that accelerates the development of data center chips to meet the performance and efficiency needs of AI applications. Also during the quarter, Google announced new AI capabilities for Android phones, including integration of their Gemini AI model directly into Android. Already, 70% of the AI-enabled apps on the Google Play Store run directly on the Arm CPU, and the addition of Gemini will enable more apps to take advantage of the Arm compute platform.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combined, we expect Arm’s long-term strategy to provide sustainable growth for years and decades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80885" cy="634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0885" cy="63436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0" w:right="100"/>
        <w:spacing w:after="0" w:line="282" w:lineRule="auto"/>
        <w:rPr>
          <w:sz w:val="20"/>
          <w:szCs w:val="20"/>
          <w:color w:val="auto"/>
        </w:rPr>
      </w:pPr>
      <w:r>
        <w:rPr>
          <w:rFonts w:ascii="Times New Roman" w:cs="Times New Roman" w:eastAsia="Times New Roman" w:hAnsi="Times New Roman"/>
          <w:sz w:val="18"/>
          <w:szCs w:val="18"/>
          <w:color w:val="auto"/>
        </w:rPr>
        <w:t>"AI demand and rising CSS adoption across major market segments drove record revenue," said Rene Haas, CEO. "As the energy needs of AI continue to escalate, so does the demand for the high-performance, power-efficient Arm compute platform."</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Sincerely,</w:t>
      </w:r>
    </w:p>
    <w:p>
      <w:pPr>
        <w:sectPr>
          <w:pgSz w:w="11900" w:h="16838" w:orient="portrait"/>
          <w:cols w:equalWidth="0" w:num="1">
            <w:col w:w="11220"/>
          </w:cols>
          <w:pgMar w:left="320" w:top="1174" w:right="359" w:bottom="1440" w:gutter="0" w:footer="0" w:header="0"/>
        </w:sect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Rene Haas,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4660"/>
        <w:spacing w:after="0"/>
        <w:rPr>
          <w:sz w:val="20"/>
          <w:szCs w:val="20"/>
          <w:color w:val="auto"/>
        </w:rPr>
      </w:pPr>
      <w:r>
        <w:rPr>
          <w:rFonts w:ascii="Times New Roman" w:cs="Times New Roman" w:eastAsia="Times New Roman" w:hAnsi="Times New Roman"/>
          <w:sz w:val="18"/>
          <w:szCs w:val="18"/>
          <w:color w:val="231F20"/>
        </w:rPr>
        <w:t>Jason Child,</w:t>
      </w:r>
    </w:p>
    <w:p>
      <w:pPr>
        <w:spacing w:after="0" w:line="63" w:lineRule="exact"/>
        <w:rPr>
          <w:sz w:val="20"/>
          <w:szCs w:val="20"/>
          <w:color w:val="auto"/>
        </w:rPr>
      </w:pPr>
    </w:p>
    <w:p>
      <w:pPr>
        <w:sectPr>
          <w:pgSz w:w="11900" w:h="16838" w:orient="portrait"/>
          <w:cols w:equalWidth="0" w:num="2">
            <w:col w:w="4940" w:space="720"/>
            <w:col w:w="5560"/>
          </w:cols>
          <w:pgMar w:left="320" w:top="1174"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231F20"/>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85725</wp:posOffset>
            </wp:positionV>
            <wp:extent cx="1645920" cy="1645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880"/>
        <w:spacing w:after="0"/>
        <w:rPr>
          <w:sz w:val="20"/>
          <w:szCs w:val="20"/>
          <w:color w:val="auto"/>
        </w:rPr>
      </w:pPr>
      <w:r>
        <w:rPr>
          <w:rFonts w:ascii="Times New Roman" w:cs="Times New Roman" w:eastAsia="Times New Roman" w:hAnsi="Times New Roman"/>
          <w:sz w:val="17"/>
          <w:szCs w:val="17"/>
          <w:color w:val="231F20"/>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1645920" cy="1645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4940" w:space="720"/>
            <w:col w:w="5560"/>
          </w:cols>
          <w:pgMar w:left="320" w:top="117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0091BD"/>
        </w:rPr>
        <w:t>Investor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8"/>
          <w:szCs w:val="18"/>
          <w:b w:val="1"/>
          <w:bCs w:val="1"/>
          <w:color w:val="0091BD"/>
        </w:rPr>
        <w:t>Media Contact</w:t>
      </w:r>
    </w:p>
    <w:p>
      <w:pPr>
        <w:spacing w:after="0" w:line="67" w:lineRule="exact"/>
        <w:rPr>
          <w:sz w:val="20"/>
          <w:szCs w:val="20"/>
          <w:color w:val="auto"/>
        </w:rPr>
      </w:pPr>
    </w:p>
    <w:p>
      <w:pPr>
        <w:sectPr>
          <w:pgSz w:w="11900" w:h="16838" w:orient="portrait"/>
          <w:cols w:equalWidth="0" w:num="2">
            <w:col w:w="4940" w:space="720"/>
            <w:col w:w="5560"/>
          </w:cols>
          <w:pgMar w:left="320" w:top="1174"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231F20"/>
        </w:rPr>
        <w:t>Jeff Kvaal</w:t>
      </w:r>
    </w:p>
    <w:p>
      <w:pPr>
        <w:spacing w:after="0" w:line="20" w:lineRule="exact"/>
        <w:rPr>
          <w:sz w:val="20"/>
          <w:szCs w:val="20"/>
          <w:color w:val="auto"/>
        </w:rPr>
      </w:pPr>
      <w:r>
        <w:rPr>
          <w:sz w:val="20"/>
          <w:szCs w:val="20"/>
          <w:color w:val="auto"/>
        </w:rPr>
        <w:br w:type="column"/>
      </w:r>
    </w:p>
    <w:p>
      <w:pPr>
        <w:jc w:val="center"/>
        <w:ind w:right="4660"/>
        <w:spacing w:after="0"/>
        <w:rPr>
          <w:sz w:val="20"/>
          <w:szCs w:val="20"/>
          <w:color w:val="auto"/>
        </w:rPr>
      </w:pPr>
      <w:r>
        <w:rPr>
          <w:rFonts w:ascii="Times New Roman" w:cs="Times New Roman" w:eastAsia="Times New Roman" w:hAnsi="Times New Roman"/>
          <w:sz w:val="18"/>
          <w:szCs w:val="18"/>
          <w:color w:val="231F20"/>
        </w:rPr>
        <w:t>Phil Hughes</w:t>
      </w:r>
    </w:p>
    <w:p>
      <w:pPr>
        <w:spacing w:after="0" w:line="63" w:lineRule="exact"/>
        <w:rPr>
          <w:sz w:val="20"/>
          <w:szCs w:val="20"/>
          <w:color w:val="auto"/>
        </w:rPr>
      </w:pPr>
    </w:p>
    <w:p>
      <w:pPr>
        <w:sectPr>
          <w:pgSz w:w="11900" w:h="16838" w:orient="portrait"/>
          <w:cols w:equalWidth="0" w:num="2">
            <w:col w:w="4940" w:space="720"/>
            <w:col w:w="5560"/>
          </w:cols>
          <w:pgMar w:left="320" w:top="1174"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231F20"/>
        </w:rPr>
        <w:t>Investor.Relations@arm.com</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Times New Roman" w:cs="Times New Roman" w:eastAsia="Times New Roman" w:hAnsi="Times New Roman"/>
          <w:sz w:val="17"/>
          <w:szCs w:val="17"/>
          <w:color w:val="231F20"/>
        </w:rPr>
        <w:t>Global-PRteam@arm.com</w:t>
      </w:r>
    </w:p>
    <w:p>
      <w:pPr>
        <w:spacing w:after="0" w:line="211" w:lineRule="exact"/>
        <w:rPr>
          <w:sz w:val="20"/>
          <w:szCs w:val="20"/>
          <w:color w:val="auto"/>
        </w:rPr>
      </w:pPr>
    </w:p>
    <w:p>
      <w:pPr>
        <w:sectPr>
          <w:pgSz w:w="11900" w:h="16838" w:orient="portrait"/>
          <w:cols w:equalWidth="0" w:num="2">
            <w:col w:w="4940" w:space="720"/>
            <w:col w:w="5560"/>
          </w:cols>
          <w:pgMar w:left="320" w:top="117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20"/>
          </w:cols>
          <w:pgMar w:left="320" w:top="1174"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0091BD"/>
        </w:rPr>
        <w:t>First Quarter Highlights</w:t>
      </w:r>
    </w:p>
    <w:p>
      <w:pPr>
        <w:spacing w:after="0" w:line="31" w:lineRule="exact"/>
        <w:rPr>
          <w:sz w:val="20"/>
          <w:szCs w:val="20"/>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$939 million, up 39% year-over-year, was due to record license revenue and strong growth in royalty revenue.</w:t>
      </w:r>
    </w:p>
    <w:p>
      <w:pPr>
        <w:spacing w:after="0" w:line="9" w:lineRule="exact"/>
        <w:rPr>
          <w:rFonts w:ascii="Times New Roman" w:cs="Times New Roman" w:eastAsia="Times New Roman" w:hAnsi="Times New Roman"/>
          <w:sz w:val="18"/>
          <w:szCs w:val="18"/>
          <w:color w:val="auto"/>
        </w:rPr>
      </w:pPr>
    </w:p>
    <w:p>
      <w:pPr>
        <w:ind w:left="340" w:right="80" w:hanging="332"/>
        <w:spacing w:after="0" w:line="250"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License and other revenue of </w:t>
      </w:r>
      <w:r>
        <w:rPr>
          <w:rFonts w:ascii="Times New Roman" w:cs="Times New Roman" w:eastAsia="Times New Roman" w:hAnsi="Times New Roman"/>
          <w:sz w:val="18"/>
          <w:szCs w:val="18"/>
          <w:color w:val="000000"/>
        </w:rPr>
        <w:t>$472 million</w:t>
      </w:r>
      <w:r>
        <w:rPr>
          <w:rFonts w:ascii="Times New Roman" w:cs="Times New Roman" w:eastAsia="Times New Roman" w:hAnsi="Times New Roman"/>
          <w:sz w:val="18"/>
          <w:szCs w:val="18"/>
          <w:color w:val="231F20"/>
        </w:rPr>
        <w:t xml:space="preserve">, up 72% year-over-year, </w:t>
      </w:r>
      <w:r>
        <w:rPr>
          <w:rFonts w:ascii="Times New Roman" w:cs="Times New Roman" w:eastAsia="Times New Roman" w:hAnsi="Times New Roman"/>
          <w:sz w:val="18"/>
          <w:szCs w:val="18"/>
          <w:color w:val="000000"/>
        </w:rPr>
        <w:t>was due to multiple high-value license agreements being signed as thought-leading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companies make long-term commitments to deploy Arm-based technology in their future products.</w:t>
      </w:r>
    </w:p>
    <w:p>
      <w:pPr>
        <w:ind w:left="340" w:right="480" w:hanging="332"/>
        <w:spacing w:after="0" w:line="250"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revenue of $467 million, up 17% year-over-year, was driven by the rapidly increasing penetration of Armv9-based chips which typically command a higher royalty rate, and strong growth in premium smartphones.</w:t>
      </w:r>
    </w:p>
    <w:p>
      <w:pPr>
        <w:ind w:left="340" w:right="60" w:hanging="332"/>
        <w:spacing w:after="0" w:line="260"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non-GAAP operating income growth to $448 million resulting in a 47.7% non-GAAP operating margin, and a non-GAAP earnings per share of $0.40 up 67% year-over-year.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Guidance and Results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700" w:type="dxa"/>
            <w:vAlign w:val="bottom"/>
            <w:tcBorders>
              <w:top w:val="single" w:sz="8" w:color="auto"/>
              <w:left w:val="single" w:sz="8" w:color="auto"/>
              <w:right w:val="single" w:sz="8" w:color="auto"/>
            </w:tcBorders>
            <w:vMerge w:val="restart"/>
            <w:shd w:val="clear" w:color="auto" w:fill="0091BD"/>
          </w:tcPr>
          <w:p>
            <w:pPr>
              <w:ind w:left="80"/>
              <w:spacing w:after="0"/>
              <w:rPr>
                <w:sz w:val="20"/>
                <w:szCs w:val="20"/>
                <w:color w:val="auto"/>
              </w:rPr>
            </w:pPr>
            <w:r>
              <w:rPr>
                <w:rFonts w:ascii="Times New Roman" w:cs="Times New Roman" w:eastAsia="Times New Roman" w:hAnsi="Times New Roman"/>
                <w:sz w:val="18"/>
                <w:szCs w:val="18"/>
                <w:b w:val="1"/>
                <w:bCs w:val="1"/>
                <w:color w:val="FFFFFF"/>
              </w:rPr>
              <w:t>Quarterly Guidance &amp; Results</w:t>
            </w:r>
          </w:p>
        </w:tc>
        <w:tc>
          <w:tcPr>
            <w:tcW w:w="2180" w:type="dxa"/>
            <w:vAlign w:val="bottom"/>
            <w:tcBorders>
              <w:top w:val="single" w:sz="8" w:color="auto"/>
              <w:right w:val="single" w:sz="8" w:color="auto"/>
            </w:tcBorders>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Q1 FYE25</w:t>
            </w:r>
          </w:p>
        </w:tc>
        <w:tc>
          <w:tcPr>
            <w:tcW w:w="2200" w:type="dxa"/>
            <w:vAlign w:val="bottom"/>
            <w:tcBorders>
              <w:top w:val="single" w:sz="8" w:color="auto"/>
              <w:right w:val="single" w:sz="8" w:color="auto"/>
            </w:tcBorders>
            <w:shd w:val="clear" w:color="auto" w:fill="0091BD"/>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Q1 FYE25</w:t>
            </w:r>
          </w:p>
        </w:tc>
        <w:tc>
          <w:tcPr>
            <w:tcW w:w="2180" w:type="dxa"/>
            <w:vAlign w:val="bottom"/>
            <w:tcBorders>
              <w:top w:val="single" w:sz="8" w:color="auto"/>
              <w:right w:val="single" w:sz="8" w:color="auto"/>
            </w:tcBorders>
            <w:shd w:val="clear" w:color="auto" w:fill="0091BD"/>
          </w:tcPr>
          <w:p>
            <w:pPr>
              <w:ind w:left="720"/>
              <w:spacing w:after="0"/>
              <w:rPr>
                <w:sz w:val="20"/>
                <w:szCs w:val="20"/>
                <w:color w:val="auto"/>
              </w:rPr>
            </w:pPr>
            <w:r>
              <w:rPr>
                <w:rFonts w:ascii="Times New Roman" w:cs="Times New Roman" w:eastAsia="Times New Roman" w:hAnsi="Times New Roman"/>
                <w:sz w:val="18"/>
                <w:szCs w:val="18"/>
                <w:b w:val="1"/>
                <w:bCs w:val="1"/>
                <w:color w:val="FFFFFF"/>
              </w:rPr>
              <w:t>Q2 FYE25</w:t>
            </w:r>
          </w:p>
        </w:tc>
        <w:tc>
          <w:tcPr>
            <w:tcW w:w="0" w:type="dxa"/>
            <w:vAlign w:val="bottom"/>
          </w:tcPr>
          <w:p>
            <w:pPr>
              <w:spacing w:after="0"/>
              <w:rPr>
                <w:sz w:val="1"/>
                <w:szCs w:val="1"/>
                <w:color w:val="auto"/>
              </w:rPr>
            </w:pPr>
          </w:p>
        </w:tc>
      </w:tr>
      <w:tr>
        <w:trPr>
          <w:trHeight w:val="144"/>
        </w:trPr>
        <w:tc>
          <w:tcPr>
            <w:tcW w:w="4700" w:type="dxa"/>
            <w:vAlign w:val="bottom"/>
            <w:tcBorders>
              <w:left w:val="single" w:sz="8" w:color="auto"/>
              <w:right w:val="single" w:sz="8" w:color="auto"/>
            </w:tcBorders>
            <w:vMerge w:val="continue"/>
            <w:shd w:val="clear" w:color="auto" w:fill="0091BD"/>
          </w:tcPr>
          <w:p>
            <w:pPr>
              <w:spacing w:after="0"/>
              <w:rPr>
                <w:sz w:val="12"/>
                <w:szCs w:val="12"/>
                <w:color w:val="auto"/>
              </w:rPr>
            </w:pPr>
          </w:p>
        </w:tc>
        <w:tc>
          <w:tcPr>
            <w:tcW w:w="2180" w:type="dxa"/>
            <w:vAlign w:val="bottom"/>
            <w:tcBorders>
              <w:right w:val="single" w:sz="8" w:color="auto"/>
            </w:tcBorders>
            <w:vMerge w:val="restart"/>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Guidance</w:t>
            </w:r>
          </w:p>
        </w:tc>
        <w:tc>
          <w:tcPr>
            <w:tcW w:w="2200" w:type="dxa"/>
            <w:vAlign w:val="bottom"/>
            <w:tcBorders>
              <w:right w:val="single" w:sz="8" w:color="auto"/>
            </w:tcBorders>
            <w:vMerge w:val="restart"/>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Results</w:t>
            </w:r>
          </w:p>
        </w:tc>
        <w:tc>
          <w:tcPr>
            <w:tcW w:w="2180" w:type="dxa"/>
            <w:vAlign w:val="bottom"/>
            <w:tcBorders>
              <w:right w:val="single" w:sz="8" w:color="auto"/>
            </w:tcBorders>
            <w:vMerge w:val="restart"/>
            <w:shd w:val="clear" w:color="auto" w:fill="0091BD"/>
          </w:tcPr>
          <w:p>
            <w:pPr>
              <w:ind w:left="760"/>
              <w:spacing w:after="0"/>
              <w:rPr>
                <w:sz w:val="20"/>
                <w:szCs w:val="20"/>
                <w:color w:val="auto"/>
              </w:rPr>
            </w:pPr>
            <w:r>
              <w:rPr>
                <w:rFonts w:ascii="Times New Roman" w:cs="Times New Roman" w:eastAsia="Times New Roman" w:hAnsi="Times New Roman"/>
                <w:sz w:val="18"/>
                <w:szCs w:val="18"/>
                <w:b w:val="1"/>
                <w:bCs w:val="1"/>
                <w:color w:val="FFFFFF"/>
              </w:rPr>
              <w:t>Guidance</w:t>
            </w:r>
          </w:p>
        </w:tc>
        <w:tc>
          <w:tcPr>
            <w:tcW w:w="0" w:type="dxa"/>
            <w:vAlign w:val="bottom"/>
          </w:tcPr>
          <w:p>
            <w:pPr>
              <w:spacing w:after="0"/>
              <w:rPr>
                <w:sz w:val="1"/>
                <w:szCs w:val="1"/>
                <w:color w:val="auto"/>
              </w:rPr>
            </w:pPr>
          </w:p>
        </w:tc>
      </w:tr>
      <w:tr>
        <w:trPr>
          <w:trHeight w:val="121"/>
        </w:trPr>
        <w:tc>
          <w:tcPr>
            <w:tcW w:w="4700" w:type="dxa"/>
            <w:vAlign w:val="bottom"/>
            <w:tcBorders>
              <w:left w:val="single" w:sz="8" w:color="auto"/>
              <w:bottom w:val="single" w:sz="8" w:color="0091BD"/>
              <w:right w:val="single" w:sz="8" w:color="auto"/>
            </w:tcBorders>
            <w:shd w:val="clear" w:color="auto" w:fill="0091BD"/>
          </w:tcPr>
          <w:p>
            <w:pPr>
              <w:spacing w:after="0"/>
              <w:rPr>
                <w:sz w:val="10"/>
                <w:szCs w:val="10"/>
                <w:color w:val="auto"/>
              </w:rPr>
            </w:pPr>
          </w:p>
        </w:tc>
        <w:tc>
          <w:tcPr>
            <w:tcW w:w="218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220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218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E48"/>
              </w:rPr>
              <w:t>Revenue</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$875m - $925m</w:t>
            </w:r>
          </w:p>
        </w:tc>
        <w:tc>
          <w:tcPr>
            <w:tcW w:w="220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231F20"/>
                <w:w w:val="99"/>
              </w:rPr>
              <w:t>$939m</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$780m - $830m</w:t>
            </w:r>
          </w:p>
        </w:tc>
        <w:tc>
          <w:tcPr>
            <w:tcW w:w="0" w:type="dxa"/>
            <w:vAlign w:val="bottom"/>
          </w:tcPr>
          <w:p>
            <w:pPr>
              <w:spacing w:after="0"/>
              <w:rPr>
                <w:sz w:val="1"/>
                <w:szCs w:val="1"/>
                <w:color w:val="auto"/>
              </w:rPr>
            </w:pPr>
          </w:p>
        </w:tc>
      </w:tr>
      <w:tr>
        <w:trPr>
          <w:trHeight w:val="22"/>
        </w:trPr>
        <w:tc>
          <w:tcPr>
            <w:tcW w:w="4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18"/>
                <w:szCs w:val="18"/>
                <w:color w:val="231F20"/>
              </w:rPr>
              <w:t xml:space="preserve">Non-GAAP operating expense </w:t>
            </w:r>
            <w:r>
              <w:rPr>
                <w:rFonts w:ascii="Times New Roman" w:cs="Times New Roman" w:eastAsia="Times New Roman" w:hAnsi="Times New Roman"/>
                <w:sz w:val="23"/>
                <w:szCs w:val="23"/>
                <w:color w:val="231F20"/>
                <w:vertAlign w:val="superscript"/>
              </w:rPr>
              <w:t>(1)</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~$475m</w:t>
            </w:r>
          </w:p>
        </w:tc>
        <w:tc>
          <w:tcPr>
            <w:tcW w:w="22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231F20"/>
                <w:w w:val="99"/>
              </w:rPr>
              <w:t>$467m</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~$500m</w:t>
            </w:r>
          </w:p>
        </w:tc>
        <w:tc>
          <w:tcPr>
            <w:tcW w:w="0" w:type="dxa"/>
            <w:vAlign w:val="bottom"/>
          </w:tcPr>
          <w:p>
            <w:pPr>
              <w:spacing w:after="0"/>
              <w:rPr>
                <w:sz w:val="1"/>
                <w:szCs w:val="1"/>
                <w:color w:val="auto"/>
              </w:rPr>
            </w:pPr>
          </w:p>
        </w:tc>
      </w:tr>
      <w:tr>
        <w:trPr>
          <w:trHeight w:val="291"/>
        </w:trPr>
        <w:tc>
          <w:tcPr>
            <w:tcW w:w="4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xml:space="preserve">Non-GAAP fully diluted earnings per share </w:t>
            </w:r>
            <w:r>
              <w:rPr>
                <w:rFonts w:ascii="Times New Roman" w:cs="Times New Roman" w:eastAsia="Times New Roman" w:hAnsi="Times New Roman"/>
                <w:sz w:val="23"/>
                <w:szCs w:val="23"/>
                <w:color w:val="231F20"/>
                <w:vertAlign w:val="superscript"/>
              </w:rPr>
              <w:t>(1)</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$0.32 - $0.36</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$0.40</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$0.23 - $0.27</w:t>
            </w:r>
          </w:p>
        </w:tc>
        <w:tc>
          <w:tcPr>
            <w:tcW w:w="0" w:type="dxa"/>
            <w:vAlign w:val="bottom"/>
          </w:tcPr>
          <w:p>
            <w:pPr>
              <w:spacing w:after="0"/>
              <w:rPr>
                <w:sz w:val="1"/>
                <w:szCs w:val="1"/>
                <w:color w:val="auto"/>
              </w:rPr>
            </w:pPr>
          </w:p>
        </w:tc>
      </w:tr>
      <w:tr>
        <w:trPr>
          <w:trHeight w:val="183"/>
        </w:trPr>
        <w:tc>
          <w:tcPr>
            <w:tcW w:w="4700" w:type="dxa"/>
            <w:vAlign w:val="bottom"/>
            <w:tcBorders>
              <w:left w:val="single" w:sz="8" w:color="auto"/>
              <w:right w:val="single" w:sz="8" w:color="auto"/>
            </w:tcBorders>
            <w:vMerge w:val="restart"/>
            <w:shd w:val="clear" w:color="auto" w:fill="0091BD"/>
          </w:tcPr>
          <w:p>
            <w:pPr>
              <w:ind w:left="80"/>
              <w:spacing w:after="0"/>
              <w:rPr>
                <w:sz w:val="20"/>
                <w:szCs w:val="20"/>
                <w:color w:val="auto"/>
              </w:rPr>
            </w:pPr>
            <w:r>
              <w:rPr>
                <w:rFonts w:ascii="Times New Roman" w:cs="Times New Roman" w:eastAsia="Times New Roman" w:hAnsi="Times New Roman"/>
                <w:sz w:val="18"/>
                <w:szCs w:val="18"/>
                <w:b w:val="1"/>
                <w:bCs w:val="1"/>
                <w:color w:val="FFFFFF"/>
              </w:rPr>
              <w:t>Annual Guidance</w:t>
            </w:r>
          </w:p>
        </w:tc>
        <w:tc>
          <w:tcPr>
            <w:tcW w:w="2180" w:type="dxa"/>
            <w:vAlign w:val="bottom"/>
            <w:tcBorders>
              <w:right w:val="single" w:sz="8" w:color="auto"/>
            </w:tcBorders>
            <w:shd w:val="clear" w:color="auto" w:fill="0091BD"/>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FFFFFF"/>
              </w:rPr>
              <w:t>FYE25 Prior</w:t>
            </w:r>
          </w:p>
        </w:tc>
        <w:tc>
          <w:tcPr>
            <w:tcW w:w="2200" w:type="dxa"/>
            <w:vAlign w:val="bottom"/>
            <w:tcBorders>
              <w:right w:val="single" w:sz="8" w:color="auto"/>
            </w:tcBorders>
            <w:shd w:val="clear" w:color="auto" w:fill="0091BD"/>
          </w:tcPr>
          <w:p>
            <w:pPr>
              <w:jc w:val="center"/>
              <w:ind w:left="10"/>
              <w:spacing w:after="0" w:line="182" w:lineRule="exact"/>
              <w:rPr>
                <w:sz w:val="20"/>
                <w:szCs w:val="20"/>
                <w:color w:val="auto"/>
              </w:rPr>
            </w:pPr>
            <w:r>
              <w:rPr>
                <w:rFonts w:ascii="Times New Roman" w:cs="Times New Roman" w:eastAsia="Times New Roman" w:hAnsi="Times New Roman"/>
                <w:sz w:val="18"/>
                <w:szCs w:val="18"/>
                <w:b w:val="1"/>
                <w:bCs w:val="1"/>
                <w:color w:val="FFFFFF"/>
                <w:w w:val="99"/>
              </w:rPr>
              <w:t>FYE25</w:t>
            </w:r>
          </w:p>
        </w:tc>
        <w:tc>
          <w:tcPr>
            <w:tcW w:w="2180" w:type="dxa"/>
            <w:vAlign w:val="bottom"/>
            <w:tcBorders>
              <w:right w:val="single" w:sz="8" w:color="auto"/>
            </w:tcBorders>
            <w:shd w:val="clear" w:color="auto" w:fill="0091BD"/>
          </w:tcPr>
          <w:p>
            <w:pPr>
              <w:ind w:left="460"/>
              <w:spacing w:after="0" w:line="182" w:lineRule="exact"/>
              <w:rPr>
                <w:sz w:val="20"/>
                <w:szCs w:val="20"/>
                <w:color w:val="auto"/>
              </w:rPr>
            </w:pPr>
            <w:r>
              <w:rPr>
                <w:rFonts w:ascii="Times New Roman" w:cs="Times New Roman" w:eastAsia="Times New Roman" w:hAnsi="Times New Roman"/>
                <w:sz w:val="18"/>
                <w:szCs w:val="18"/>
                <w:b w:val="1"/>
                <w:bCs w:val="1"/>
                <w:color w:val="FFFFFF"/>
              </w:rPr>
              <w:t>FYE25 Current</w:t>
            </w:r>
          </w:p>
        </w:tc>
        <w:tc>
          <w:tcPr>
            <w:tcW w:w="0" w:type="dxa"/>
            <w:vAlign w:val="bottom"/>
          </w:tcPr>
          <w:p>
            <w:pPr>
              <w:spacing w:after="0"/>
              <w:rPr>
                <w:sz w:val="1"/>
                <w:szCs w:val="1"/>
                <w:color w:val="auto"/>
              </w:rPr>
            </w:pPr>
          </w:p>
        </w:tc>
      </w:tr>
      <w:tr>
        <w:trPr>
          <w:trHeight w:val="148"/>
        </w:trPr>
        <w:tc>
          <w:tcPr>
            <w:tcW w:w="4700" w:type="dxa"/>
            <w:vAlign w:val="bottom"/>
            <w:tcBorders>
              <w:left w:val="single" w:sz="8" w:color="auto"/>
              <w:right w:val="single" w:sz="8" w:color="auto"/>
            </w:tcBorders>
            <w:vMerge w:val="continue"/>
            <w:shd w:val="clear" w:color="auto" w:fill="0091BD"/>
          </w:tcPr>
          <w:p>
            <w:pPr>
              <w:spacing w:after="0"/>
              <w:rPr>
                <w:sz w:val="12"/>
                <w:szCs w:val="12"/>
                <w:color w:val="auto"/>
              </w:rPr>
            </w:pPr>
          </w:p>
        </w:tc>
        <w:tc>
          <w:tcPr>
            <w:tcW w:w="2180" w:type="dxa"/>
            <w:vAlign w:val="bottom"/>
            <w:tcBorders>
              <w:right w:val="single" w:sz="8" w:color="auto"/>
            </w:tcBorders>
            <w:vMerge w:val="restart"/>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Guidance</w:t>
            </w:r>
          </w:p>
        </w:tc>
        <w:tc>
          <w:tcPr>
            <w:tcW w:w="2200" w:type="dxa"/>
            <w:vAlign w:val="bottom"/>
            <w:tcBorders>
              <w:right w:val="single" w:sz="8" w:color="auto"/>
            </w:tcBorders>
            <w:vMerge w:val="restart"/>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rPr>
              <w:t>Change</w:t>
            </w:r>
          </w:p>
        </w:tc>
        <w:tc>
          <w:tcPr>
            <w:tcW w:w="2180" w:type="dxa"/>
            <w:vAlign w:val="bottom"/>
            <w:tcBorders>
              <w:right w:val="single" w:sz="8" w:color="auto"/>
            </w:tcBorders>
            <w:vMerge w:val="restart"/>
            <w:shd w:val="clear" w:color="auto" w:fill="0091BD"/>
          </w:tcPr>
          <w:p>
            <w:pPr>
              <w:ind w:left="700"/>
              <w:spacing w:after="0"/>
              <w:rPr>
                <w:sz w:val="20"/>
                <w:szCs w:val="20"/>
                <w:color w:val="auto"/>
              </w:rPr>
            </w:pPr>
            <w:r>
              <w:rPr>
                <w:rFonts w:ascii="Times New Roman" w:cs="Times New Roman" w:eastAsia="Times New Roman" w:hAnsi="Times New Roman"/>
                <w:sz w:val="18"/>
                <w:szCs w:val="18"/>
                <w:b w:val="1"/>
                <w:bCs w:val="1"/>
                <w:color w:val="FFFFFF"/>
              </w:rPr>
              <w:t>Guidance</w:t>
            </w:r>
          </w:p>
        </w:tc>
        <w:tc>
          <w:tcPr>
            <w:tcW w:w="0" w:type="dxa"/>
            <w:vAlign w:val="bottom"/>
          </w:tcPr>
          <w:p>
            <w:pPr>
              <w:spacing w:after="0"/>
              <w:rPr>
                <w:sz w:val="1"/>
                <w:szCs w:val="1"/>
                <w:color w:val="auto"/>
              </w:rPr>
            </w:pPr>
          </w:p>
        </w:tc>
      </w:tr>
      <w:tr>
        <w:trPr>
          <w:trHeight w:val="122"/>
        </w:trPr>
        <w:tc>
          <w:tcPr>
            <w:tcW w:w="4700" w:type="dxa"/>
            <w:vAlign w:val="bottom"/>
            <w:tcBorders>
              <w:left w:val="single" w:sz="8" w:color="auto"/>
              <w:bottom w:val="single" w:sz="8" w:color="0091BD"/>
              <w:right w:val="single" w:sz="8" w:color="auto"/>
            </w:tcBorders>
            <w:shd w:val="clear" w:color="auto" w:fill="0091BD"/>
          </w:tcPr>
          <w:p>
            <w:pPr>
              <w:spacing w:after="0"/>
              <w:rPr>
                <w:sz w:val="10"/>
                <w:szCs w:val="10"/>
                <w:color w:val="auto"/>
              </w:rPr>
            </w:pPr>
          </w:p>
        </w:tc>
        <w:tc>
          <w:tcPr>
            <w:tcW w:w="218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220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218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7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E48"/>
              </w:rPr>
              <w:t>Revenue</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$3,800m - $4,100m</w:t>
            </w:r>
          </w:p>
        </w:tc>
        <w:tc>
          <w:tcPr>
            <w:tcW w:w="2200" w:type="dxa"/>
            <w:vAlign w:val="bottom"/>
            <w:tcBorders>
              <w:top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231F20"/>
              </w:rPr>
              <w:t>No change</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$3,800m - $4,100m</w:t>
            </w:r>
          </w:p>
        </w:tc>
        <w:tc>
          <w:tcPr>
            <w:tcW w:w="0" w:type="dxa"/>
            <w:vAlign w:val="bottom"/>
          </w:tcPr>
          <w:p>
            <w:pPr>
              <w:spacing w:after="0"/>
              <w:rPr>
                <w:sz w:val="1"/>
                <w:szCs w:val="1"/>
                <w:color w:val="auto"/>
              </w:rPr>
            </w:pPr>
          </w:p>
        </w:tc>
      </w:tr>
      <w:tr>
        <w:trPr>
          <w:trHeight w:val="257"/>
        </w:trPr>
        <w:tc>
          <w:tcPr>
            <w:tcW w:w="4700" w:type="dxa"/>
            <w:vAlign w:val="bottom"/>
            <w:tcBorders>
              <w:left w:val="single" w:sz="8" w:color="auto"/>
              <w:bottom w:val="single" w:sz="8" w:color="auto"/>
              <w:right w:val="single" w:sz="8" w:color="auto"/>
            </w:tcBorders>
          </w:tcPr>
          <w:p>
            <w:pPr>
              <w:ind w:left="120"/>
              <w:spacing w:after="0" w:line="256" w:lineRule="exact"/>
              <w:rPr>
                <w:sz w:val="20"/>
                <w:szCs w:val="20"/>
                <w:color w:val="auto"/>
              </w:rPr>
            </w:pPr>
            <w:r>
              <w:rPr>
                <w:rFonts w:ascii="Times New Roman" w:cs="Times New Roman" w:eastAsia="Times New Roman" w:hAnsi="Times New Roman"/>
                <w:sz w:val="18"/>
                <w:szCs w:val="18"/>
                <w:color w:val="231F20"/>
              </w:rPr>
              <w:t xml:space="preserve">Non-GAAP operating expense </w:t>
            </w:r>
            <w:r>
              <w:rPr>
                <w:rFonts w:ascii="Times New Roman" w:cs="Times New Roman" w:eastAsia="Times New Roman" w:hAnsi="Times New Roman"/>
                <w:sz w:val="23"/>
                <w:szCs w:val="23"/>
                <w:color w:val="231F20"/>
                <w:vertAlign w:val="superscript"/>
              </w:rPr>
              <w:t>(1)</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~$2,050m</w:t>
            </w:r>
          </w:p>
        </w:tc>
        <w:tc>
          <w:tcPr>
            <w:tcW w:w="22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231F20"/>
              </w:rPr>
              <w:t>No change</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~$2,050m</w:t>
            </w:r>
          </w:p>
        </w:tc>
        <w:tc>
          <w:tcPr>
            <w:tcW w:w="0" w:type="dxa"/>
            <w:vAlign w:val="bottom"/>
          </w:tcPr>
          <w:p>
            <w:pPr>
              <w:spacing w:after="0"/>
              <w:rPr>
                <w:sz w:val="1"/>
                <w:szCs w:val="1"/>
                <w:color w:val="auto"/>
              </w:rPr>
            </w:pPr>
          </w:p>
        </w:tc>
      </w:tr>
      <w:tr>
        <w:trPr>
          <w:trHeight w:val="290"/>
        </w:trPr>
        <w:tc>
          <w:tcPr>
            <w:tcW w:w="4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xml:space="preserve">Non-GAAP fully diluted earnings per share </w:t>
            </w:r>
            <w:r>
              <w:rPr>
                <w:rFonts w:ascii="Times New Roman" w:cs="Times New Roman" w:eastAsia="Times New Roman" w:hAnsi="Times New Roman"/>
                <w:sz w:val="23"/>
                <w:szCs w:val="23"/>
                <w:color w:val="231F20"/>
                <w:vertAlign w:val="superscript"/>
              </w:rPr>
              <w:t>(1)</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$1.45 - $1.65</w:t>
            </w:r>
          </w:p>
        </w:tc>
        <w:tc>
          <w:tcPr>
            <w:tcW w:w="220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No change</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$1.45 - $1.65</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260" w:right="20" w:hanging="252"/>
        <w:spacing w:after="0" w:line="268" w:lineRule="auto"/>
        <w:tabs>
          <w:tab w:leader="none" w:pos="365"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and definitions of the non-GAAP measures see the “Key Financial and Operating Metrics” section below. A reconciliation of each of the projected non-GAAP operating expense and non-GAAP fully diluted earnings per share, which are forward-looking non-GAAP financial measures, to the most directly comparable GAAP financial measure, is not provided because Arm is unable to provide such reconciliation without unreasonable effort. The inability to provide each reconciliation is due to the unpredictability of the amounts and timing of events affecting the items we exclude from the non-GAAP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260"/>
          </w:cols>
          <w:pgMar w:left="320" w:top="117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0091BD"/>
        </w:rPr>
        <w:t>Results for Q1 fiscal year ending 2025</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 xml:space="preserve">Financial Metrics </w:t>
      </w:r>
      <w:r>
        <w:rPr>
          <w:rFonts w:ascii="Times New Roman" w:cs="Times New Roman" w:eastAsia="Times New Roman" w:hAnsi="Times New Roman"/>
          <w:sz w:val="23"/>
          <w:szCs w:val="23"/>
          <w:b w:val="1"/>
          <w:bCs w:val="1"/>
          <w:color w:val="0091BD"/>
          <w:vertAlign w:val="superscript"/>
        </w:rPr>
        <w:t>(1)</w:t>
      </w:r>
      <w:r>
        <w:rPr>
          <w:rFonts w:ascii="Times New Roman" w:cs="Times New Roman" w:eastAsia="Times New Roman" w:hAnsi="Times New Roman"/>
          <w:sz w:val="18"/>
          <w:szCs w:val="18"/>
          <w:b w:val="1"/>
          <w:bCs w:val="1"/>
          <w:color w:val="0091BD"/>
        </w:rPr>
        <w:t xml:space="preserve"> (Unaudited)</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620" w:type="dxa"/>
            <w:vAlign w:val="bottom"/>
            <w:tcBorders>
              <w:top w:val="single" w:sz="8" w:color="231F20"/>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333E48"/>
              </w:rPr>
              <w:t>$ million, unless stated</w:t>
            </w:r>
          </w:p>
        </w:tc>
        <w:tc>
          <w:tcPr>
            <w:tcW w:w="1260" w:type="dxa"/>
            <w:vAlign w:val="bottom"/>
            <w:tcBorders>
              <w:top w:val="single" w:sz="8" w:color="231F20"/>
              <w:bottom w:val="single" w:sz="8" w:color="231F20"/>
            </w:tcBorders>
          </w:tcPr>
          <w:p>
            <w:pPr>
              <w:spacing w:after="0"/>
              <w:rPr>
                <w:sz w:val="21"/>
                <w:szCs w:val="21"/>
                <w:color w:val="auto"/>
              </w:rPr>
            </w:pPr>
          </w:p>
        </w:tc>
        <w:tc>
          <w:tcPr>
            <w:tcW w:w="1240" w:type="dxa"/>
            <w:vAlign w:val="bottom"/>
            <w:tcBorders>
              <w:top w:val="single" w:sz="8" w:color="231F20"/>
              <w:bottom w:val="single" w:sz="8" w:color="231F20"/>
            </w:tcBorders>
          </w:tcPr>
          <w:p>
            <w:pPr>
              <w:ind w:left="340"/>
              <w:spacing w:after="0"/>
              <w:rPr>
                <w:sz w:val="20"/>
                <w:szCs w:val="20"/>
                <w:color w:val="auto"/>
              </w:rPr>
            </w:pPr>
            <w:r>
              <w:rPr>
                <w:rFonts w:ascii="Times New Roman" w:cs="Times New Roman" w:eastAsia="Times New Roman" w:hAnsi="Times New Roman"/>
                <w:sz w:val="18"/>
                <w:szCs w:val="18"/>
                <w:b w:val="1"/>
                <w:bCs w:val="1"/>
                <w:color w:val="333E48"/>
              </w:rPr>
              <w:t>GAAP</w:t>
            </w:r>
          </w:p>
        </w:tc>
        <w:tc>
          <w:tcPr>
            <w:tcW w:w="1280" w:type="dxa"/>
            <w:vAlign w:val="bottom"/>
            <w:tcBorders>
              <w:top w:val="single" w:sz="8" w:color="231F20"/>
              <w:bottom w:val="single" w:sz="8" w:color="231F20"/>
              <w:right w:val="single" w:sz="8" w:color="231F20"/>
            </w:tcBorders>
          </w:tcPr>
          <w:p>
            <w:pPr>
              <w:spacing w:after="0"/>
              <w:rPr>
                <w:sz w:val="21"/>
                <w:szCs w:val="21"/>
                <w:color w:val="auto"/>
              </w:rPr>
            </w:pPr>
          </w:p>
        </w:tc>
        <w:tc>
          <w:tcPr>
            <w:tcW w:w="1260" w:type="dxa"/>
            <w:vAlign w:val="bottom"/>
            <w:tcBorders>
              <w:top w:val="single" w:sz="8" w:color="231F20"/>
              <w:left w:val="single" w:sz="8" w:color="231F20"/>
              <w:bottom w:val="single" w:sz="8" w:color="231F20"/>
            </w:tcBorders>
          </w:tcPr>
          <w:p>
            <w:pPr>
              <w:spacing w:after="0"/>
              <w:rPr>
                <w:sz w:val="21"/>
                <w:szCs w:val="21"/>
                <w:color w:val="auto"/>
              </w:rPr>
            </w:pPr>
          </w:p>
        </w:tc>
        <w:tc>
          <w:tcPr>
            <w:tcW w:w="1280" w:type="dxa"/>
            <w:vAlign w:val="bottom"/>
            <w:tcBorders>
              <w:top w:val="single" w:sz="8" w:color="231F20"/>
              <w:bottom w:val="single" w:sz="8" w:color="231F20"/>
            </w:tcBorders>
          </w:tcPr>
          <w:p>
            <w:pPr>
              <w:ind w:left="100"/>
              <w:spacing w:after="0" w:line="250" w:lineRule="exact"/>
              <w:rPr>
                <w:sz w:val="20"/>
                <w:szCs w:val="20"/>
                <w:color w:val="auto"/>
              </w:rPr>
            </w:pPr>
            <w:r>
              <w:rPr>
                <w:rFonts w:ascii="Times New Roman" w:cs="Times New Roman" w:eastAsia="Times New Roman" w:hAnsi="Times New Roman"/>
                <w:sz w:val="18"/>
                <w:szCs w:val="18"/>
                <w:b w:val="1"/>
                <w:bCs w:val="1"/>
                <w:color w:val="333E48"/>
              </w:rPr>
              <w:t xml:space="preserve">Non-GAAP </w:t>
            </w:r>
            <w:r>
              <w:rPr>
                <w:rFonts w:ascii="Times New Roman" w:cs="Times New Roman" w:eastAsia="Times New Roman" w:hAnsi="Times New Roman"/>
                <w:sz w:val="23"/>
                <w:szCs w:val="23"/>
                <w:b w:val="1"/>
                <w:bCs w:val="1"/>
                <w:color w:val="333E48"/>
                <w:vertAlign w:val="superscript"/>
              </w:rPr>
              <w:t>(1)</w:t>
            </w:r>
          </w:p>
        </w:tc>
        <w:tc>
          <w:tcPr>
            <w:tcW w:w="1260" w:type="dxa"/>
            <w:vAlign w:val="bottom"/>
            <w:tcBorders>
              <w:top w:val="single" w:sz="8" w:color="231F20"/>
              <w:bottom w:val="single" w:sz="8" w:color="231F20"/>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231F20"/>
              <w:right w:val="single" w:sz="8" w:color="231F20"/>
            </w:tcBorders>
          </w:tcPr>
          <w:p>
            <w:pPr>
              <w:spacing w:after="0"/>
              <w:rPr>
                <w:sz w:val="21"/>
                <w:szCs w:val="21"/>
                <w:color w:val="auto"/>
              </w:rPr>
            </w:pP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333E48"/>
                <w:w w:val="99"/>
              </w:rPr>
              <w:t>Q1 FYE25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333E48"/>
                <w:w w:val="99"/>
              </w:rPr>
              <w:t>Q1 FYE24</w:t>
            </w:r>
          </w:p>
        </w:tc>
        <w:tc>
          <w:tcPr>
            <w:tcW w:w="1280" w:type="dxa"/>
            <w:vAlign w:val="bottom"/>
            <w:tcBorders>
              <w:right w:val="single" w:sz="8" w:color="231F20"/>
            </w:tcBorders>
          </w:tcPr>
          <w:p>
            <w:pPr>
              <w:ind w:left="380"/>
              <w:spacing w:after="0"/>
              <w:rPr>
                <w:sz w:val="20"/>
                <w:szCs w:val="20"/>
                <w:color w:val="auto"/>
              </w:rPr>
            </w:pPr>
            <w:r>
              <w:rPr>
                <w:rFonts w:ascii="Times New Roman" w:cs="Times New Roman" w:eastAsia="Times New Roman" w:hAnsi="Times New Roman"/>
                <w:sz w:val="18"/>
                <w:szCs w:val="18"/>
                <w:color w:val="333E48"/>
              </w:rPr>
              <w:t>Y/Y %</w:t>
            </w:r>
          </w:p>
        </w:tc>
        <w:tc>
          <w:tcPr>
            <w:tcW w:w="1260" w:type="dxa"/>
            <w:vAlign w:val="bottom"/>
            <w:tcBorders>
              <w:left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333E48"/>
              </w:rPr>
              <w:t>Q1 FYE25</w:t>
            </w:r>
          </w:p>
        </w:tc>
        <w:tc>
          <w:tcPr>
            <w:tcW w:w="12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333E48"/>
                <w:w w:val="99"/>
              </w:rPr>
              <w:t>Q1 FYE24</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333E48"/>
              </w:rPr>
              <w:t>Y/Y %</w:t>
            </w:r>
          </w:p>
        </w:tc>
        <w:tc>
          <w:tcPr>
            <w:tcW w:w="0" w:type="dxa"/>
            <w:vAlign w:val="bottom"/>
          </w:tcPr>
          <w:p>
            <w:pPr>
              <w:spacing w:after="0"/>
              <w:rPr>
                <w:sz w:val="1"/>
                <w:szCs w:val="1"/>
                <w:color w:val="auto"/>
              </w:rPr>
            </w:pPr>
          </w:p>
        </w:tc>
      </w:tr>
      <w:tr>
        <w:trPr>
          <w:trHeight w:val="237"/>
        </w:trPr>
        <w:tc>
          <w:tcPr>
            <w:tcW w:w="36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333E48"/>
              </w:rPr>
              <w:t>Total revenue</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6"/>
              </w:rPr>
              <w:t>939</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675</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39%</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939</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6"/>
              </w:rPr>
              <w:t>675</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39%</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333E48"/>
              </w:rPr>
              <w:t>License and other revenue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333E48"/>
                <w:w w:val="96"/>
              </w:rPr>
              <w:t>472</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333E48"/>
              </w:rPr>
              <w:t>275</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333E48"/>
              </w:rPr>
              <w:t>72%</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333E48"/>
              </w:rPr>
              <w:t>472</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333E48"/>
                <w:w w:val="96"/>
              </w:rPr>
              <w:t>275</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333E48"/>
                <w:w w:val="96"/>
              </w:rPr>
              <w:t>72%</w:t>
            </w:r>
          </w:p>
        </w:tc>
        <w:tc>
          <w:tcPr>
            <w:tcW w:w="0" w:type="dxa"/>
            <w:vAlign w:val="bottom"/>
          </w:tcPr>
          <w:p>
            <w:pPr>
              <w:spacing w:after="0"/>
              <w:rPr>
                <w:sz w:val="1"/>
                <w:szCs w:val="1"/>
                <w:color w:val="auto"/>
              </w:rPr>
            </w:pPr>
          </w:p>
        </w:tc>
      </w:tr>
      <w:tr>
        <w:trPr>
          <w:trHeight w:val="257"/>
        </w:trPr>
        <w:tc>
          <w:tcPr>
            <w:tcW w:w="362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333E48"/>
              </w:rPr>
              <w:t>Royalty revenue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333E48"/>
                <w:w w:val="96"/>
              </w:rPr>
              <w:t>467</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333E48"/>
              </w:rPr>
              <w:t>400</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333E48"/>
              </w:rPr>
              <w:t>17%</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333E48"/>
              </w:rPr>
              <w:t>467</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6"/>
              </w:rPr>
              <w:t>400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333E48"/>
                <w:w w:val="96"/>
              </w:rPr>
              <w:t>17%</w:t>
            </w:r>
          </w:p>
        </w:tc>
        <w:tc>
          <w:tcPr>
            <w:tcW w:w="0" w:type="dxa"/>
            <w:vAlign w:val="bottom"/>
          </w:tcPr>
          <w:p>
            <w:pPr>
              <w:spacing w:after="0"/>
              <w:rPr>
                <w:sz w:val="1"/>
                <w:szCs w:val="1"/>
                <w:color w:val="auto"/>
              </w:rPr>
            </w:pP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231F20"/>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231F20"/>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333E48"/>
              </w:rPr>
              <w:t>Cost of sales</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(33)</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333E48"/>
                <w:w w:val="99"/>
              </w:rPr>
              <w:t>(31)</w:t>
            </w:r>
          </w:p>
        </w:tc>
        <w:tc>
          <w:tcPr>
            <w:tcW w:w="12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333E48"/>
                <w:w w:val="99"/>
              </w:rPr>
              <w:t>6%</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333E48"/>
                <w:w w:val="99"/>
              </w:rPr>
              <w:t>(24)</w:t>
            </w:r>
          </w:p>
        </w:tc>
        <w:tc>
          <w:tcPr>
            <w:tcW w:w="12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(24)</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333E48"/>
                <w:w w:val="96"/>
              </w:rPr>
              <w:t>—%</w:t>
            </w:r>
          </w:p>
        </w:tc>
        <w:tc>
          <w:tcPr>
            <w:tcW w:w="0" w:type="dxa"/>
            <w:vAlign w:val="bottom"/>
          </w:tcPr>
          <w:p>
            <w:pPr>
              <w:spacing w:after="0"/>
              <w:rPr>
                <w:sz w:val="1"/>
                <w:szCs w:val="1"/>
                <w:color w:val="auto"/>
              </w:rPr>
            </w:pPr>
          </w:p>
        </w:tc>
      </w:tr>
      <w:tr>
        <w:trPr>
          <w:trHeight w:val="232"/>
        </w:trPr>
        <w:tc>
          <w:tcPr>
            <w:tcW w:w="36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333E48"/>
              </w:rPr>
              <w:t>Gross profit</w:t>
            </w:r>
          </w:p>
        </w:tc>
        <w:tc>
          <w:tcPr>
            <w:tcW w:w="1260" w:type="dxa"/>
            <w:vAlign w:val="bottom"/>
            <w:tcBorders>
              <w:top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6"/>
              </w:rPr>
              <w:t>906</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644</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41%</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915</w:t>
            </w:r>
          </w:p>
        </w:tc>
        <w:tc>
          <w:tcPr>
            <w:tcW w:w="1280" w:type="dxa"/>
            <w:vAlign w:val="bottom"/>
            <w:tcBorders>
              <w:top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6"/>
              </w:rPr>
              <w:t>651</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41%</w:t>
            </w:r>
          </w:p>
        </w:tc>
        <w:tc>
          <w:tcPr>
            <w:tcW w:w="0" w:type="dxa"/>
            <w:vAlign w:val="bottom"/>
          </w:tcPr>
          <w:p>
            <w:pPr>
              <w:spacing w:after="0"/>
              <w:rPr>
                <w:sz w:val="1"/>
                <w:szCs w:val="1"/>
                <w:color w:val="auto"/>
              </w:rPr>
            </w:pPr>
          </w:p>
        </w:tc>
      </w:tr>
      <w:tr>
        <w:trPr>
          <w:trHeight w:val="248"/>
        </w:trPr>
        <w:tc>
          <w:tcPr>
            <w:tcW w:w="36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i w:val="1"/>
                <w:iCs w:val="1"/>
                <w:color w:val="333E48"/>
              </w:rPr>
              <w:t>Gross margin (%)</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231F20"/>
                <w:w w:val="98"/>
              </w:rPr>
              <w:t>96.5%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231F20"/>
              </w:rPr>
              <w:t>95.4%</w:t>
            </w:r>
          </w:p>
        </w:tc>
        <w:tc>
          <w:tcPr>
            <w:tcW w:w="128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231F20"/>
              </w:rPr>
              <w:t>97.4%</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231F20"/>
                <w:w w:val="98"/>
              </w:rPr>
              <w:t>96.4%</w:t>
            </w:r>
          </w:p>
        </w:tc>
        <w:tc>
          <w:tcPr>
            <w:tcW w:w="1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231F20"/>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231F20"/>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333E48"/>
              </w:rPr>
              <w:t>Operating expenses</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7"/>
              </w:rPr>
              <w:t>(724)</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333E48"/>
              </w:rPr>
              <w:t>(533)</w:t>
            </w:r>
          </w:p>
        </w:tc>
        <w:tc>
          <w:tcPr>
            <w:tcW w:w="12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333E48"/>
              </w:rPr>
              <w:t>36%</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333E48"/>
              </w:rPr>
              <w:t>(467)</w:t>
            </w:r>
          </w:p>
        </w:tc>
        <w:tc>
          <w:tcPr>
            <w:tcW w:w="12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7"/>
              </w:rPr>
              <w:t>(379)</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333E48"/>
                <w:w w:val="96"/>
              </w:rPr>
              <w:t>23%</w:t>
            </w:r>
          </w:p>
        </w:tc>
        <w:tc>
          <w:tcPr>
            <w:tcW w:w="0" w:type="dxa"/>
            <w:vAlign w:val="bottom"/>
          </w:tcPr>
          <w:p>
            <w:pPr>
              <w:spacing w:after="0"/>
              <w:rPr>
                <w:sz w:val="1"/>
                <w:szCs w:val="1"/>
                <w:color w:val="auto"/>
              </w:rPr>
            </w:pPr>
          </w:p>
        </w:tc>
      </w:tr>
      <w:tr>
        <w:trPr>
          <w:trHeight w:val="232"/>
        </w:trPr>
        <w:tc>
          <w:tcPr>
            <w:tcW w:w="36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Operating income (loss)</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6"/>
              </w:rPr>
              <w:t>182</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88"/>
              </w:rPr>
              <w:t>111</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64%</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448</w:t>
            </w:r>
          </w:p>
        </w:tc>
        <w:tc>
          <w:tcPr>
            <w:tcW w:w="1280" w:type="dxa"/>
            <w:vAlign w:val="bottom"/>
            <w:tcBorders>
              <w:top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6"/>
              </w:rPr>
              <w:t>272</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65%</w:t>
            </w:r>
          </w:p>
        </w:tc>
        <w:tc>
          <w:tcPr>
            <w:tcW w:w="0" w:type="dxa"/>
            <w:vAlign w:val="bottom"/>
          </w:tcPr>
          <w:p>
            <w:pPr>
              <w:spacing w:after="0"/>
              <w:rPr>
                <w:sz w:val="1"/>
                <w:szCs w:val="1"/>
                <w:color w:val="auto"/>
              </w:rPr>
            </w:pPr>
          </w:p>
        </w:tc>
      </w:tr>
      <w:tr>
        <w:trPr>
          <w:trHeight w:val="248"/>
        </w:trPr>
        <w:tc>
          <w:tcPr>
            <w:tcW w:w="36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i w:val="1"/>
                <w:iCs w:val="1"/>
                <w:color w:val="333E48"/>
              </w:rPr>
              <w:t>Operating margin (%)</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231F20"/>
                <w:w w:val="98"/>
              </w:rPr>
              <w:t>19.4%</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231F20"/>
              </w:rPr>
              <w:t>16.4%</w:t>
            </w:r>
          </w:p>
        </w:tc>
        <w:tc>
          <w:tcPr>
            <w:tcW w:w="128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231F20"/>
              </w:rPr>
              <w:t>47.7%</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231F20"/>
                <w:w w:val="98"/>
              </w:rPr>
              <w:t>40.3%</w:t>
            </w:r>
          </w:p>
        </w:tc>
        <w:tc>
          <w:tcPr>
            <w:tcW w:w="1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20" w:type="dxa"/>
            <w:vAlign w:val="bottom"/>
            <w:tcBorders>
              <w:left w:val="single" w:sz="8" w:color="231F20"/>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Net income</w:t>
            </w:r>
          </w:p>
        </w:tc>
        <w:tc>
          <w:tcPr>
            <w:tcW w:w="12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6"/>
              </w:rPr>
              <w:t>223</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105</w:t>
            </w:r>
          </w:p>
        </w:tc>
        <w:tc>
          <w:tcPr>
            <w:tcW w:w="12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112%</w:t>
            </w:r>
          </w:p>
        </w:tc>
        <w:tc>
          <w:tcPr>
            <w:tcW w:w="12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419</w:t>
            </w:r>
          </w:p>
        </w:tc>
        <w:tc>
          <w:tcPr>
            <w:tcW w:w="12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6"/>
              </w:rPr>
              <w:t>246</w:t>
            </w:r>
          </w:p>
        </w:tc>
        <w:tc>
          <w:tcPr>
            <w:tcW w:w="126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70%</w:t>
            </w:r>
          </w:p>
        </w:tc>
        <w:tc>
          <w:tcPr>
            <w:tcW w:w="0" w:type="dxa"/>
            <w:vAlign w:val="bottom"/>
          </w:tcPr>
          <w:p>
            <w:pPr>
              <w:spacing w:after="0"/>
              <w:rPr>
                <w:sz w:val="1"/>
                <w:szCs w:val="1"/>
                <w:color w:val="auto"/>
              </w:rPr>
            </w:pPr>
          </w:p>
        </w:tc>
      </w:tr>
      <w:tr>
        <w:trPr>
          <w:trHeight w:val="250"/>
        </w:trPr>
        <w:tc>
          <w:tcPr>
            <w:tcW w:w="36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Diluted earnings per share ($)</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0.21</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0.10</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110%</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0.40</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5"/>
              </w:rPr>
              <w:t>0.24</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6"/>
              </w:rPr>
              <w:t>67%</w:t>
            </w:r>
          </w:p>
        </w:tc>
        <w:tc>
          <w:tcPr>
            <w:tcW w:w="0" w:type="dxa"/>
            <w:vAlign w:val="bottom"/>
          </w:tcPr>
          <w:p>
            <w:pPr>
              <w:spacing w:after="0"/>
              <w:rPr>
                <w:sz w:val="1"/>
                <w:szCs w:val="1"/>
                <w:color w:val="auto"/>
              </w:rPr>
            </w:pPr>
          </w:p>
        </w:tc>
      </w:tr>
      <w:tr>
        <w:trPr>
          <w:trHeight w:val="257"/>
        </w:trPr>
        <w:tc>
          <w:tcPr>
            <w:tcW w:w="3620" w:type="dxa"/>
            <w:vAlign w:val="bottom"/>
            <w:tcBorders>
              <w:top w:val="single" w:sz="8" w:color="auto"/>
              <w:left w:val="single" w:sz="8" w:color="231F20"/>
              <w:bottom w:val="single" w:sz="8" w:color="auto"/>
              <w:right w:val="single" w:sz="8" w:color="231F20"/>
            </w:tcBorders>
          </w:tcPr>
          <w:p>
            <w:pPr>
              <w:ind w:left="120"/>
              <w:spacing w:after="0" w:line="256" w:lineRule="exact"/>
              <w:rPr>
                <w:sz w:val="20"/>
                <w:szCs w:val="20"/>
                <w:color w:val="auto"/>
              </w:rPr>
            </w:pPr>
            <w:r>
              <w:rPr>
                <w:rFonts w:ascii="Times New Roman" w:cs="Times New Roman" w:eastAsia="Times New Roman" w:hAnsi="Times New Roman"/>
                <w:sz w:val="18"/>
                <w:szCs w:val="18"/>
                <w:b w:val="1"/>
                <w:bCs w:val="1"/>
                <w:color w:val="231F20"/>
              </w:rPr>
              <w:t xml:space="preserve">Non-GAAP free cash flow </w:t>
            </w:r>
            <w:r>
              <w:rPr>
                <w:rFonts w:ascii="Times New Roman" w:cs="Times New Roman" w:eastAsia="Times New Roman" w:hAnsi="Times New Roman"/>
                <w:sz w:val="23"/>
                <w:szCs w:val="23"/>
                <w:b w:val="1"/>
                <w:bCs w:val="1"/>
                <w:color w:val="231F20"/>
                <w:vertAlign w:val="superscript"/>
              </w:rPr>
              <w:t>(2)</w:t>
            </w:r>
          </w:p>
        </w:tc>
        <w:tc>
          <w:tcPr>
            <w:tcW w:w="1260" w:type="dxa"/>
            <w:vAlign w:val="bottom"/>
            <w:tcBorders>
              <w:top w:val="single" w:sz="8" w:color="231F20"/>
              <w:bottom w:val="single" w:sz="8" w:color="231F20"/>
              <w:right w:val="single" w:sz="8" w:color="231F20"/>
            </w:tcBorders>
            <w:shd w:val="clear" w:color="auto" w:fill="E5ECEB"/>
          </w:tcPr>
          <w:p>
            <w:pPr>
              <w:spacing w:after="0"/>
              <w:rPr>
                <w:sz w:val="22"/>
                <w:szCs w:val="22"/>
                <w:color w:val="auto"/>
              </w:rPr>
            </w:pPr>
          </w:p>
        </w:tc>
        <w:tc>
          <w:tcPr>
            <w:tcW w:w="1240" w:type="dxa"/>
            <w:vAlign w:val="bottom"/>
            <w:tcBorders>
              <w:top w:val="single" w:sz="8" w:color="231F20"/>
              <w:bottom w:val="single" w:sz="8" w:color="231F20"/>
              <w:right w:val="single" w:sz="8" w:color="231F20"/>
            </w:tcBorders>
            <w:shd w:val="clear" w:color="auto" w:fill="E5ECEB"/>
          </w:tcPr>
          <w:p>
            <w:pPr>
              <w:spacing w:after="0"/>
              <w:rPr>
                <w:sz w:val="22"/>
                <w:szCs w:val="22"/>
                <w:color w:val="auto"/>
              </w:rPr>
            </w:pPr>
          </w:p>
        </w:tc>
        <w:tc>
          <w:tcPr>
            <w:tcW w:w="1280" w:type="dxa"/>
            <w:vAlign w:val="bottom"/>
            <w:tcBorders>
              <w:top w:val="single" w:sz="8" w:color="231F20"/>
              <w:bottom w:val="single" w:sz="8" w:color="231F20"/>
              <w:right w:val="single" w:sz="8" w:color="231F20"/>
            </w:tcBorders>
            <w:shd w:val="clear" w:color="auto" w:fill="E5ECEB"/>
          </w:tcPr>
          <w:p>
            <w:pPr>
              <w:spacing w:after="0"/>
              <w:rPr>
                <w:sz w:val="22"/>
                <w:szCs w:val="22"/>
                <w:color w:val="auto"/>
              </w:rPr>
            </w:pPr>
          </w:p>
        </w:tc>
        <w:tc>
          <w:tcPr>
            <w:tcW w:w="1260" w:type="dxa"/>
            <w:vAlign w:val="bottom"/>
            <w:tcBorders>
              <w:top w:val="single" w:sz="8" w:color="231F20"/>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(348)</w:t>
            </w:r>
          </w:p>
        </w:tc>
        <w:tc>
          <w:tcPr>
            <w:tcW w:w="1280" w:type="dxa"/>
            <w:vAlign w:val="bottom"/>
            <w:tcBorders>
              <w:top w:val="single" w:sz="8" w:color="auto"/>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(150)</w:t>
            </w:r>
          </w:p>
        </w:tc>
        <w:tc>
          <w:tcPr>
            <w:tcW w:w="1260" w:type="dxa"/>
            <w:vAlign w:val="bottom"/>
            <w:tcBorders>
              <w:top w:val="single" w:sz="8" w:color="231F20"/>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5"/>
              </w:rPr>
              <w:t>nm</w:t>
            </w:r>
          </w:p>
        </w:tc>
        <w:tc>
          <w:tcPr>
            <w:tcW w:w="0" w:type="dxa"/>
            <w:vAlign w:val="bottom"/>
          </w:tcPr>
          <w:p>
            <w:pPr>
              <w:spacing w:after="0"/>
              <w:rPr>
                <w:sz w:val="1"/>
                <w:szCs w:val="1"/>
                <w:color w:val="auto"/>
              </w:rPr>
            </w:pPr>
          </w:p>
        </w:tc>
      </w:tr>
      <w:tr>
        <w:trPr>
          <w:trHeight w:val="187"/>
        </w:trPr>
        <w:tc>
          <w:tcPr>
            <w:tcW w:w="3620" w:type="dxa"/>
            <w:vAlign w:val="bottom"/>
            <w:tcBorders>
              <w:left w:val="single" w:sz="8" w:color="231F20"/>
              <w:right w:val="single" w:sz="8" w:color="231F20"/>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231F20"/>
              </w:rPr>
              <w:t>Non-GAAP free cash flow trailing twelve</w:t>
            </w:r>
          </w:p>
        </w:tc>
        <w:tc>
          <w:tcPr>
            <w:tcW w:w="1260" w:type="dxa"/>
            <w:vAlign w:val="bottom"/>
            <w:tcBorders>
              <w:right w:val="single" w:sz="8" w:color="231F20"/>
            </w:tcBorders>
            <w:shd w:val="clear" w:color="auto" w:fill="E5ECEB"/>
          </w:tcPr>
          <w:p>
            <w:pPr>
              <w:spacing w:after="0"/>
              <w:rPr>
                <w:sz w:val="16"/>
                <w:szCs w:val="16"/>
                <w:color w:val="auto"/>
              </w:rPr>
            </w:pPr>
          </w:p>
        </w:tc>
        <w:tc>
          <w:tcPr>
            <w:tcW w:w="1240" w:type="dxa"/>
            <w:vAlign w:val="bottom"/>
            <w:tcBorders>
              <w:right w:val="single" w:sz="8" w:color="231F20"/>
            </w:tcBorders>
            <w:shd w:val="clear" w:color="auto" w:fill="E5ECEB"/>
          </w:tcPr>
          <w:p>
            <w:pPr>
              <w:spacing w:after="0"/>
              <w:rPr>
                <w:sz w:val="16"/>
                <w:szCs w:val="16"/>
                <w:color w:val="auto"/>
              </w:rPr>
            </w:pPr>
          </w:p>
        </w:tc>
        <w:tc>
          <w:tcPr>
            <w:tcW w:w="1280" w:type="dxa"/>
            <w:vAlign w:val="bottom"/>
            <w:tcBorders>
              <w:right w:val="single" w:sz="8" w:color="auto"/>
            </w:tcBorders>
            <w:shd w:val="clear" w:color="auto" w:fill="E5ECEB"/>
          </w:tcPr>
          <w:p>
            <w:pPr>
              <w:spacing w:after="0"/>
              <w:rPr>
                <w:sz w:val="16"/>
                <w:szCs w:val="16"/>
                <w:color w:val="auto"/>
              </w:rPr>
            </w:pPr>
          </w:p>
        </w:tc>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709</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724</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144"/>
        </w:trPr>
        <w:tc>
          <w:tcPr>
            <w:tcW w:w="362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231F20"/>
              </w:rPr>
              <w:t>months ("TTM")</w:t>
            </w:r>
          </w:p>
        </w:tc>
        <w:tc>
          <w:tcPr>
            <w:tcW w:w="1260" w:type="dxa"/>
            <w:vAlign w:val="bottom"/>
            <w:tcBorders>
              <w:right w:val="single" w:sz="8" w:color="231F20"/>
            </w:tcBorders>
            <w:shd w:val="clear" w:color="auto" w:fill="E5ECEB"/>
          </w:tcPr>
          <w:p>
            <w:pPr>
              <w:spacing w:after="0"/>
              <w:rPr>
                <w:sz w:val="12"/>
                <w:szCs w:val="12"/>
                <w:color w:val="auto"/>
              </w:rPr>
            </w:pPr>
          </w:p>
        </w:tc>
        <w:tc>
          <w:tcPr>
            <w:tcW w:w="1240" w:type="dxa"/>
            <w:vAlign w:val="bottom"/>
            <w:tcBorders>
              <w:right w:val="single" w:sz="8" w:color="231F20"/>
            </w:tcBorders>
            <w:shd w:val="clear" w:color="auto" w:fill="E5ECEB"/>
          </w:tcPr>
          <w:p>
            <w:pPr>
              <w:spacing w:after="0"/>
              <w:rPr>
                <w:sz w:val="12"/>
                <w:szCs w:val="12"/>
                <w:color w:val="auto"/>
              </w:rPr>
            </w:pPr>
          </w:p>
        </w:tc>
        <w:tc>
          <w:tcPr>
            <w:tcW w:w="1280" w:type="dxa"/>
            <w:vAlign w:val="bottom"/>
            <w:tcBorders>
              <w:right w:val="single" w:sz="8" w:color="auto"/>
            </w:tcBorders>
            <w:shd w:val="clear" w:color="auto" w:fill="E5ECEB"/>
          </w:tcPr>
          <w:p>
            <w:pPr>
              <w:spacing w:after="0"/>
              <w:rPr>
                <w:sz w:val="12"/>
                <w:szCs w:val="12"/>
                <w:color w:val="auto"/>
              </w:rPr>
            </w:pPr>
          </w:p>
        </w:tc>
        <w:tc>
          <w:tcPr>
            <w:tcW w:w="1260" w:type="dxa"/>
            <w:vAlign w:val="bottom"/>
            <w:tcBorders>
              <w:left w:val="single" w:sz="8" w:color="auto"/>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620" w:type="dxa"/>
            <w:vAlign w:val="bottom"/>
            <w:tcBorders>
              <w:left w:val="single" w:sz="8" w:color="231F20"/>
              <w:right w:val="single" w:sz="8" w:color="231F20"/>
            </w:tcBorders>
            <w:vMerge w:val="continue"/>
          </w:tcPr>
          <w:p>
            <w:pPr>
              <w:spacing w:after="0"/>
              <w:rPr>
                <w:sz w:val="10"/>
                <w:szCs w:val="10"/>
                <w:color w:val="auto"/>
              </w:rPr>
            </w:pPr>
          </w:p>
        </w:tc>
        <w:tc>
          <w:tcPr>
            <w:tcW w:w="1260" w:type="dxa"/>
            <w:vAlign w:val="bottom"/>
            <w:tcBorders>
              <w:bottom w:val="single" w:sz="8" w:color="E5ECEB"/>
              <w:right w:val="single" w:sz="8" w:color="231F20"/>
            </w:tcBorders>
            <w:shd w:val="clear" w:color="auto" w:fill="E5ECEB"/>
          </w:tcPr>
          <w:p>
            <w:pPr>
              <w:spacing w:after="0"/>
              <w:rPr>
                <w:sz w:val="10"/>
                <w:szCs w:val="10"/>
                <w:color w:val="auto"/>
              </w:rPr>
            </w:pPr>
          </w:p>
        </w:tc>
        <w:tc>
          <w:tcPr>
            <w:tcW w:w="1240" w:type="dxa"/>
            <w:vAlign w:val="bottom"/>
            <w:tcBorders>
              <w:bottom w:val="single" w:sz="8" w:color="E5ECEB"/>
              <w:right w:val="single" w:sz="8" w:color="231F20"/>
            </w:tcBorders>
            <w:shd w:val="clear" w:color="auto" w:fill="E5ECEB"/>
          </w:tcPr>
          <w:p>
            <w:pPr>
              <w:spacing w:after="0"/>
              <w:rPr>
                <w:sz w:val="10"/>
                <w:szCs w:val="10"/>
                <w:color w:val="auto"/>
              </w:rPr>
            </w:pPr>
          </w:p>
        </w:tc>
        <w:tc>
          <w:tcPr>
            <w:tcW w:w="1280" w:type="dxa"/>
            <w:vAlign w:val="bottom"/>
            <w:tcBorders>
              <w:bottom w:val="single" w:sz="8" w:color="E5ECEB"/>
              <w:right w:val="single" w:sz="8" w:color="auto"/>
            </w:tcBorders>
            <w:shd w:val="clear" w:color="auto" w:fill="E5ECEB"/>
          </w:tcPr>
          <w:p>
            <w:pPr>
              <w:spacing w:after="0"/>
              <w:rPr>
                <w:sz w:val="10"/>
                <w:szCs w:val="10"/>
                <w:color w:val="auto"/>
              </w:rPr>
            </w:pPr>
          </w:p>
        </w:tc>
        <w:tc>
          <w:tcPr>
            <w:tcW w:w="1260" w:type="dxa"/>
            <w:vAlign w:val="bottom"/>
            <w:tcBorders>
              <w:left w:val="single" w:sz="8" w:color="auto"/>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6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Remaining performance obligations ("RPO")</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2,168</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1,681</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tcBorders>
              <w:top w:val="single" w:sz="8" w:color="auto"/>
              <w:left w:val="single" w:sz="8" w:color="auto"/>
              <w:bottom w:val="single" w:sz="8" w:color="auto"/>
              <w:right w:val="single" w:sz="8" w:color="auto"/>
            </w:tcBorders>
            <w:shd w:val="clear" w:color="auto" w:fill="E5ECEB"/>
          </w:tcPr>
          <w:p>
            <w:pPr>
              <w:spacing w:after="0"/>
              <w:rPr>
                <w:sz w:val="21"/>
                <w:szCs w:val="21"/>
                <w:color w:val="auto"/>
              </w:rPr>
            </w:pPr>
          </w:p>
        </w:tc>
        <w:tc>
          <w:tcPr>
            <w:tcW w:w="1280" w:type="dxa"/>
            <w:vAlign w:val="bottom"/>
            <w:tcBorders>
              <w:top w:val="single" w:sz="8" w:color="auto"/>
              <w:bottom w:val="single" w:sz="8" w:color="auto"/>
              <w:right w:val="single" w:sz="8" w:color="auto"/>
            </w:tcBorders>
            <w:shd w:val="clear" w:color="auto" w:fill="E5ECEB"/>
          </w:tcPr>
          <w:p>
            <w:pPr>
              <w:spacing w:after="0"/>
              <w:rPr>
                <w:sz w:val="21"/>
                <w:szCs w:val="21"/>
                <w:color w:val="auto"/>
              </w:rPr>
            </w:pPr>
          </w:p>
        </w:tc>
        <w:tc>
          <w:tcPr>
            <w:tcW w:w="1260" w:type="dxa"/>
            <w:vAlign w:val="bottom"/>
            <w:tcBorders>
              <w:top w:val="single" w:sz="8" w:color="auto"/>
              <w:bottom w:val="single" w:sz="8" w:color="auto"/>
              <w:right w:val="single" w:sz="8" w:color="auto"/>
            </w:tcBorders>
            <w:shd w:val="clear" w:color="auto" w:fill="E5ECEB"/>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60" w:right="260" w:hanging="252"/>
        <w:spacing w:after="0" w:line="253" w:lineRule="auto"/>
        <w:tabs>
          <w:tab w:leader="none" w:pos="36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definitions, and reconciliations of Non-GAAP measures see the “Key Financial and Operating Metrics” section below. Percentage changes that are considered not meaningful are presented as "nm."</w:t>
      </w:r>
    </w:p>
    <w:p>
      <w:pPr>
        <w:ind w:left="260" w:right="140" w:hanging="252"/>
        <w:spacing w:after="0" w:line="239" w:lineRule="auto"/>
        <w:tabs>
          <w:tab w:leader="none" w:pos="36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free cash flow for Q1 FYE25 includes a reversal of the Q4 FYE24 $573 million change in working capital benefit that was primarily due to cash held for payroll tax liabilities related to the IPO share vesting event.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 xml:space="preserve">Non-Financial Metrics </w:t>
      </w:r>
      <w:r>
        <w:rPr>
          <w:rFonts w:ascii="Times New Roman" w:cs="Times New Roman" w:eastAsia="Times New Roman" w:hAnsi="Times New Roman"/>
          <w:sz w:val="23"/>
          <w:szCs w:val="23"/>
          <w:b w:val="1"/>
          <w:bCs w:val="1"/>
          <w:color w:val="0091BD"/>
          <w:vertAlign w:val="superscript"/>
        </w:rPr>
        <w:t>(1)</w:t>
      </w:r>
      <w:r>
        <w:rPr>
          <w:rFonts w:ascii="Times New Roman" w:cs="Times New Roman" w:eastAsia="Times New Roman" w:hAnsi="Times New Roman"/>
          <w:sz w:val="18"/>
          <w:szCs w:val="18"/>
          <w:b w:val="1"/>
          <w:bCs w:val="1"/>
          <w:color w:val="0091BD"/>
        </w:rPr>
        <w:t xml:space="preserve"> (Unaudited)</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780" w:type="dxa"/>
            <w:vAlign w:val="bottom"/>
            <w:tcBorders>
              <w:top w:val="single" w:sz="8" w:color="231F20"/>
              <w:left w:val="single" w:sz="8" w:color="231F20"/>
              <w:bottom w:val="single" w:sz="8" w:color="231F20"/>
              <w:right w:val="single" w:sz="8" w:color="231F20"/>
            </w:tcBorders>
          </w:tcPr>
          <w:p>
            <w:pPr>
              <w:spacing w:after="0"/>
              <w:rPr>
                <w:sz w:val="21"/>
                <w:szCs w:val="21"/>
                <w:color w:val="auto"/>
              </w:rPr>
            </w:pPr>
          </w:p>
        </w:tc>
        <w:tc>
          <w:tcPr>
            <w:tcW w:w="2160" w:type="dxa"/>
            <w:vAlign w:val="bottom"/>
            <w:tcBorders>
              <w:top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333E48"/>
              </w:rPr>
              <w:t>Q1 FYE25</w:t>
            </w:r>
          </w:p>
        </w:tc>
        <w:tc>
          <w:tcPr>
            <w:tcW w:w="2160" w:type="dxa"/>
            <w:vAlign w:val="bottom"/>
            <w:tcBorders>
              <w:top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333E48"/>
              </w:rPr>
              <w:t>Q1 FYE24</w:t>
            </w:r>
          </w:p>
        </w:tc>
        <w:tc>
          <w:tcPr>
            <w:tcW w:w="2180" w:type="dxa"/>
            <w:vAlign w:val="bottom"/>
            <w:tcBorders>
              <w:top w:val="single" w:sz="8" w:color="231F20"/>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333E48"/>
              </w:rPr>
              <w:t>Y/Y %</w:t>
            </w:r>
          </w:p>
        </w:tc>
      </w:tr>
      <w:tr>
        <w:trPr>
          <w:trHeight w:val="234"/>
        </w:trPr>
        <w:tc>
          <w:tcPr>
            <w:tcW w:w="47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Annualized contract value ("ACV")</w:t>
            </w:r>
          </w:p>
        </w:tc>
        <w:tc>
          <w:tcPr>
            <w:tcW w:w="2160" w:type="dxa"/>
            <w:vAlign w:val="bottom"/>
            <w:tcBorders>
              <w:right w:val="single" w:sz="8" w:color="231F20"/>
            </w:tcBorders>
          </w:tcPr>
          <w:p>
            <w:pPr>
              <w:ind w:left="540"/>
              <w:spacing w:after="0"/>
              <w:rPr>
                <w:sz w:val="20"/>
                <w:szCs w:val="20"/>
                <w:color w:val="auto"/>
              </w:rPr>
            </w:pPr>
            <w:r>
              <w:rPr>
                <w:rFonts w:ascii="Times New Roman" w:cs="Times New Roman" w:eastAsia="Times New Roman" w:hAnsi="Times New Roman"/>
                <w:sz w:val="18"/>
                <w:szCs w:val="18"/>
                <w:color w:val="231F20"/>
              </w:rPr>
              <w:t>$1,193 million</w:t>
            </w:r>
          </w:p>
        </w:tc>
        <w:tc>
          <w:tcPr>
            <w:tcW w:w="21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231F20"/>
              </w:rPr>
              <w:t>$1,048 million</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14%</w:t>
            </w:r>
          </w:p>
        </w:tc>
      </w:tr>
      <w:tr>
        <w:trPr>
          <w:trHeight w:val="22"/>
        </w:trPr>
        <w:tc>
          <w:tcPr>
            <w:tcW w:w="4780" w:type="dxa"/>
            <w:vAlign w:val="bottom"/>
            <w:tcBorders>
              <w:left w:val="single" w:sz="8" w:color="231F20"/>
              <w:bottom w:val="single" w:sz="8" w:color="231F20"/>
              <w:right w:val="single" w:sz="8" w:color="231F20"/>
            </w:tcBorders>
          </w:tcPr>
          <w:p>
            <w:pPr>
              <w:spacing w:after="0" w:line="20" w:lineRule="exact"/>
              <w:rPr>
                <w:sz w:val="1"/>
                <w:szCs w:val="1"/>
                <w:color w:val="auto"/>
              </w:rPr>
            </w:pPr>
          </w:p>
        </w:tc>
        <w:tc>
          <w:tcPr>
            <w:tcW w:w="2160" w:type="dxa"/>
            <w:vAlign w:val="bottom"/>
            <w:tcBorders>
              <w:bottom w:val="single" w:sz="8" w:color="231F20"/>
              <w:right w:val="single" w:sz="8" w:color="231F20"/>
            </w:tcBorders>
          </w:tcPr>
          <w:p>
            <w:pPr>
              <w:spacing w:after="0" w:line="20" w:lineRule="exact"/>
              <w:rPr>
                <w:sz w:val="1"/>
                <w:szCs w:val="1"/>
                <w:color w:val="auto"/>
              </w:rPr>
            </w:pPr>
          </w:p>
        </w:tc>
        <w:tc>
          <w:tcPr>
            <w:tcW w:w="2160" w:type="dxa"/>
            <w:vAlign w:val="bottom"/>
            <w:tcBorders>
              <w:bottom w:val="single" w:sz="8" w:color="231F20"/>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47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Arm Total Access licenses</w:t>
            </w:r>
          </w:p>
        </w:tc>
        <w:tc>
          <w:tcPr>
            <w:tcW w:w="2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33</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20</w:t>
            </w:r>
          </w:p>
        </w:tc>
        <w:tc>
          <w:tcPr>
            <w:tcW w:w="2180" w:type="dxa"/>
            <w:vAlign w:val="bottom"/>
            <w:tcBorders>
              <w:bottom w:val="single" w:sz="8" w:color="E5ECEB"/>
              <w:right w:val="single" w:sz="8" w:color="auto"/>
            </w:tcBorders>
            <w:shd w:val="clear" w:color="auto" w:fill="E5ECEB"/>
          </w:tcPr>
          <w:p>
            <w:pPr>
              <w:spacing w:after="0"/>
              <w:rPr>
                <w:sz w:val="21"/>
                <w:szCs w:val="21"/>
                <w:color w:val="auto"/>
              </w:rPr>
            </w:pPr>
          </w:p>
        </w:tc>
      </w:tr>
      <w:tr>
        <w:trPr>
          <w:trHeight w:val="250"/>
        </w:trPr>
        <w:tc>
          <w:tcPr>
            <w:tcW w:w="4780" w:type="dxa"/>
            <w:vAlign w:val="bottom"/>
            <w:tcBorders>
              <w:top w:val="single" w:sz="8" w:color="231F20"/>
              <w:left w:val="single" w:sz="8" w:color="231F20"/>
              <w:bottom w:val="single" w:sz="8" w:color="auto"/>
              <w:right w:val="single" w:sz="8" w:color="231F20"/>
            </w:tcBorders>
          </w:tcPr>
          <w:p>
            <w:pPr>
              <w:ind w:left="120"/>
              <w:spacing w:after="0" w:line="250" w:lineRule="exact"/>
              <w:rPr>
                <w:sz w:val="20"/>
                <w:szCs w:val="20"/>
                <w:color w:val="auto"/>
              </w:rPr>
            </w:pPr>
            <w:r>
              <w:rPr>
                <w:rFonts w:ascii="Times New Roman" w:cs="Times New Roman" w:eastAsia="Times New Roman" w:hAnsi="Times New Roman"/>
                <w:sz w:val="18"/>
                <w:szCs w:val="18"/>
                <w:color w:val="231F20"/>
              </w:rPr>
              <w:t xml:space="preserve">Arm Flexible Access licenses </w:t>
            </w:r>
            <w:r>
              <w:rPr>
                <w:rFonts w:ascii="Times New Roman" w:cs="Times New Roman" w:eastAsia="Times New Roman" w:hAnsi="Times New Roman"/>
                <w:sz w:val="23"/>
                <w:szCs w:val="23"/>
                <w:color w:val="231F20"/>
                <w:vertAlign w:val="superscript"/>
              </w:rPr>
              <w:t>(2)</w:t>
            </w:r>
          </w:p>
        </w:tc>
        <w:tc>
          <w:tcPr>
            <w:tcW w:w="2160" w:type="dxa"/>
            <w:vAlign w:val="bottom"/>
            <w:tcBorders>
              <w:top w:val="single" w:sz="8" w:color="231F20"/>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6"/>
              </w:rPr>
              <w:t>241</w:t>
            </w:r>
          </w:p>
        </w:tc>
        <w:tc>
          <w:tcPr>
            <w:tcW w:w="2160" w:type="dxa"/>
            <w:vAlign w:val="bottom"/>
            <w:tcBorders>
              <w:top w:val="single" w:sz="8" w:color="231F20"/>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6"/>
              </w:rPr>
              <w:t>211</w:t>
            </w:r>
          </w:p>
        </w:tc>
        <w:tc>
          <w:tcPr>
            <w:tcW w:w="2180" w:type="dxa"/>
            <w:vAlign w:val="bottom"/>
            <w:tcBorders>
              <w:top w:val="single" w:sz="8" w:color="auto"/>
              <w:bottom w:val="single" w:sz="8" w:color="auto"/>
              <w:right w:val="single" w:sz="8" w:color="231F20"/>
            </w:tcBorders>
            <w:shd w:val="clear" w:color="auto" w:fill="E5ECEB"/>
          </w:tcPr>
          <w:p>
            <w:pPr>
              <w:spacing w:after="0"/>
              <w:rPr>
                <w:sz w:val="21"/>
                <w:szCs w:val="21"/>
                <w:color w:val="auto"/>
              </w:rPr>
            </w:pPr>
          </w:p>
        </w:tc>
      </w:tr>
      <w:tr>
        <w:trPr>
          <w:trHeight w:val="228"/>
        </w:trPr>
        <w:tc>
          <w:tcPr>
            <w:tcW w:w="4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Total number of employees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7,320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6,229</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18%</w:t>
            </w:r>
          </w:p>
        </w:tc>
      </w:tr>
      <w:tr>
        <w:trPr>
          <w:trHeight w:val="22"/>
        </w:trPr>
        <w:tc>
          <w:tcPr>
            <w:tcW w:w="4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r>
        <w:trPr>
          <w:trHeight w:val="230"/>
        </w:trPr>
        <w:tc>
          <w:tcPr>
            <w:tcW w:w="4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Engineers as a percentage of total employees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83%</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80%</w:t>
            </w:r>
          </w:p>
        </w:tc>
        <w:tc>
          <w:tcPr>
            <w:tcW w:w="2180" w:type="dxa"/>
            <w:vAlign w:val="bottom"/>
            <w:tcBorders>
              <w:bottom w:val="single" w:sz="8" w:color="E5ECEB"/>
              <w:right w:val="single" w:sz="8" w:color="auto"/>
            </w:tcBorders>
            <w:shd w:val="clear" w:color="auto" w:fill="E5ECEB"/>
          </w:tcPr>
          <w:p>
            <w:pPr>
              <w:spacing w:after="0"/>
              <w:rPr>
                <w:sz w:val="20"/>
                <w:szCs w:val="20"/>
                <w:color w:val="auto"/>
              </w:rPr>
            </w:pPr>
          </w:p>
        </w:tc>
      </w:tr>
      <w:tr>
        <w:trPr>
          <w:trHeight w:val="20"/>
        </w:trPr>
        <w:tc>
          <w:tcPr>
            <w:tcW w:w="47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16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tcBorders>
              <w:right w:val="single" w:sz="8" w:color="auto"/>
            </w:tcBorders>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and definitions of Non-Financial Metrics see the “Key Financial and Operating Metrics” section below.</w:t>
      </w:r>
    </w:p>
    <w:p>
      <w:pPr>
        <w:spacing w:after="0" w:line="27" w:lineRule="exact"/>
        <w:rPr>
          <w:rFonts w:ascii="Times New Roman" w:cs="Times New Roman" w:eastAsia="Times New Roman" w:hAnsi="Times New Roman"/>
          <w:sz w:val="14"/>
          <w:szCs w:val="14"/>
          <w:color w:val="auto"/>
        </w:rPr>
      </w:pPr>
    </w:p>
    <w:p>
      <w:pPr>
        <w:ind w:left="260" w:right="20" w:hanging="252"/>
        <w:spacing w:after="0" w:line="254" w:lineRule="auto"/>
        <w:tabs>
          <w:tab w:leader="none" w:pos="36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quarter ended June 30, 2023 (Q1 FYE24), the number of Flexible Access agreements has been adjusted to 211 from 214 (as previously reported in our final prospectus filed with the SEC on September 14, 2023) to account for certain customer license terminations and a consolidation of customer licenses due to an acquisition.</w:t>
      </w:r>
    </w:p>
    <w:p>
      <w:pPr>
        <w:ind w:left="360" w:hanging="352"/>
        <w:spacing w:after="0"/>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metric "Chips reported as shipped" will no longer be reported, see the "Number of Arm-based chips reported as shipped"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60"/>
          </w:cols>
          <w:pgMar w:left="320" w:top="114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0091BD"/>
        </w:rPr>
        <w:t>Q1 FYE25 Financial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(US GAAP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Total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Total revenue was a record $939 million, up 39% year-over-year and 1% sequentially.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Royalty revenue</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Royalty revenue was </w:t>
      </w:r>
      <w:r>
        <w:rPr>
          <w:rFonts w:ascii="Times New Roman" w:cs="Times New Roman" w:eastAsia="Times New Roman" w:hAnsi="Times New Roman"/>
          <w:sz w:val="18"/>
          <w:szCs w:val="18"/>
          <w:color w:val="231F20"/>
        </w:rPr>
        <w:t>$467 million</w:t>
      </w:r>
      <w:r>
        <w:rPr>
          <w:rFonts w:ascii="Times New Roman" w:cs="Times New Roman" w:eastAsia="Times New Roman" w:hAnsi="Times New Roman"/>
          <w:sz w:val="18"/>
          <w:szCs w:val="18"/>
          <w:color w:val="auto"/>
        </w:rPr>
        <w:t xml:space="preserve">, up 17% year-over-year, with the largest contribution from </w:t>
      </w:r>
      <w:r>
        <w:rPr>
          <w:rFonts w:ascii="Times New Roman" w:cs="Times New Roman" w:eastAsia="Times New Roman" w:hAnsi="Times New Roman"/>
          <w:sz w:val="18"/>
          <w:szCs w:val="18"/>
          <w:b w:val="1"/>
          <w:bCs w:val="1"/>
          <w:color w:val="auto"/>
        </w:rPr>
        <w:t>smartphones</w:t>
      </w:r>
      <w:r>
        <w:rPr>
          <w:rFonts w:ascii="Times New Roman" w:cs="Times New Roman" w:eastAsia="Times New Roman" w:hAnsi="Times New Roman"/>
          <w:sz w:val="18"/>
          <w:szCs w:val="18"/>
          <w:color w:val="auto"/>
        </w:rPr>
        <w:t xml:space="preserve"> driven by increased penetration of Armv9 combined with the overall market recovery and a higher premium tier mix compared with a year ago. </w:t>
      </w:r>
      <w:r>
        <w:rPr>
          <w:rFonts w:ascii="Times New Roman" w:cs="Times New Roman" w:eastAsia="Times New Roman" w:hAnsi="Times New Roman"/>
          <w:sz w:val="18"/>
          <w:szCs w:val="18"/>
          <w:b w:val="1"/>
          <w:bCs w:val="1"/>
          <w:color w:val="auto"/>
        </w:rPr>
        <w:t>Automotive</w:t>
      </w:r>
      <w:r>
        <w:rPr>
          <w:rFonts w:ascii="Times New Roman" w:cs="Times New Roman" w:eastAsia="Times New Roman" w:hAnsi="Times New Roman"/>
          <w:sz w:val="18"/>
          <w:szCs w:val="18"/>
          <w:color w:val="auto"/>
        </w:rPr>
        <w:t xml:space="preserve"> saw growth driven by chips with higher royalty rates going into advanced applications such as in advanced driver assistance systems and the digital cockpit. In </w:t>
      </w:r>
      <w:r>
        <w:rPr>
          <w:rFonts w:ascii="Times New Roman" w:cs="Times New Roman" w:eastAsia="Times New Roman" w:hAnsi="Times New Roman"/>
          <w:sz w:val="18"/>
          <w:szCs w:val="18"/>
          <w:b w:val="1"/>
          <w:bCs w:val="1"/>
          <w:color w:val="auto"/>
        </w:rPr>
        <w:t>cloud compute</w:t>
      </w:r>
      <w:r>
        <w:rPr>
          <w:rFonts w:ascii="Times New Roman" w:cs="Times New Roman" w:eastAsia="Times New Roman" w:hAnsi="Times New Roman"/>
          <w:sz w:val="18"/>
          <w:szCs w:val="18"/>
          <w:color w:val="auto"/>
        </w:rPr>
        <w:t xml:space="preserve"> we continue to see the early benefits from the adoption of Armv9-based server chips. </w:t>
      </w:r>
      <w:r>
        <w:rPr>
          <w:rFonts w:ascii="Times New Roman" w:cs="Times New Roman" w:eastAsia="Times New Roman" w:hAnsi="Times New Roman"/>
          <w:sz w:val="18"/>
          <w:szCs w:val="18"/>
          <w:b w:val="1"/>
          <w:bCs w:val="1"/>
          <w:color w:val="auto"/>
        </w:rPr>
        <w:t>IoT/embedded</w:t>
      </w:r>
      <w:r>
        <w:rPr>
          <w:rFonts w:ascii="Times New Roman" w:cs="Times New Roman" w:eastAsia="Times New Roman" w:hAnsi="Times New Roman"/>
          <w:sz w:val="18"/>
          <w:szCs w:val="18"/>
          <w:color w:val="auto"/>
        </w:rPr>
        <w:t xml:space="preserve"> declined year-over-year due to the continued inventory correction in the broader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License and other revenue</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231F20"/>
        </w:rPr>
        <w:t xml:space="preserve">License and other revenue was $472 million, </w:t>
      </w:r>
      <w:r>
        <w:rPr>
          <w:rFonts w:ascii="Times New Roman" w:cs="Times New Roman" w:eastAsia="Times New Roman" w:hAnsi="Times New Roman"/>
          <w:sz w:val="18"/>
          <w:szCs w:val="18"/>
          <w:color w:val="000000"/>
        </w:rPr>
        <w:t>up</w:t>
      </w:r>
      <w:r>
        <w:rPr>
          <w:rFonts w:ascii="Times New Roman" w:cs="Times New Roman" w:eastAsia="Times New Roman" w:hAnsi="Times New Roman"/>
          <w:sz w:val="18"/>
          <w:szCs w:val="18"/>
          <w:color w:val="231F20"/>
        </w:rPr>
        <w:t xml:space="preserve"> 72% year-over-year due to customers continuing to make new long-term commitments to use Arm’s power-efficient technology in their future products, and also contributions from backlog into the current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Annualized contract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ACV at quarter-end was $1,193 million, up 14% year-over-year and </w:t>
      </w:r>
      <w:r>
        <w:rPr>
          <w:rFonts w:ascii="Times New Roman" w:cs="Times New Roman" w:eastAsia="Times New Roman" w:hAnsi="Times New Roman"/>
          <w:sz w:val="18"/>
          <w:szCs w:val="18"/>
          <w:color w:val="000000"/>
        </w:rPr>
        <w:t>up 1%</w:t>
      </w:r>
      <w:r>
        <w:rPr>
          <w:rFonts w:ascii="Times New Roman" w:cs="Times New Roman" w:eastAsia="Times New Roman" w:hAnsi="Times New Roman"/>
          <w:sz w:val="18"/>
          <w:szCs w:val="18"/>
          <w:color w:val="231F20"/>
        </w:rPr>
        <w:t xml:space="preserve"> sequentially driven by major deals signed in the current and prior quarters.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Remaining performance obligations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 xml:space="preserve">RPO at quarter-end was $2,168 million, up 29% year-over-year, and </w:t>
      </w:r>
      <w:r>
        <w:rPr>
          <w:rFonts w:ascii="Times New Roman" w:cs="Times New Roman" w:eastAsia="Times New Roman" w:hAnsi="Times New Roman"/>
          <w:sz w:val="18"/>
          <w:szCs w:val="18"/>
          <w:color w:val="000000"/>
        </w:rPr>
        <w:t>down 13%</w:t>
      </w:r>
      <w:r>
        <w:rPr>
          <w:rFonts w:ascii="Times New Roman" w:cs="Times New Roman" w:eastAsia="Times New Roman" w:hAnsi="Times New Roman"/>
          <w:sz w:val="18"/>
          <w:szCs w:val="18"/>
          <w:color w:val="231F20"/>
        </w:rPr>
        <w:t xml:space="preserve"> sequentially due to the contribution to revenue from backlog during the quarter. We expect to recognize approximately 22% of RPO as revenue over the next 12 months, 14% over the subsequent 13-to-24-month period, and the remainder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Licenses signed</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231F20"/>
        </w:rPr>
        <w:t>During the quarter, Arm signed two additional Arm Total Access agreements, taking the total number of extant licenses to 33, which includes more than half of our top 30 customers. The Arm Flexible Access program now has 241 customers, with adoption benefiting from the introduction of the program into China, where previously it was only available to the rest of the world.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Gross profit and margin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31F20"/>
        </w:rPr>
        <w:t>GAAP cost of sales was $33 million, with a GAAP Gross Profit of $906 million, representing a GAAP Gross Margin of 96.5%. Non-GAAP cost of sales was $24 million, with non-GAAP Gross Profit of $915 million, representing a non-GAAP Gross Margin of 97.4%.</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231F20"/>
        </w:rPr>
        <w:t>Non-GAAP adjustments primarily relate to SBC and employer taxes related to SBC, net of research and development ("R&amp;D") incentives (see table in "GAAP to Non-GAAP Reconciliation").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Operating expenses and margin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 xml:space="preserve">GAAP operating expenses were $724 million. Non-GAAP operating expenses were $467 million, up </w:t>
      </w:r>
      <w:r>
        <w:rPr>
          <w:rFonts w:ascii="Times New Roman" w:cs="Times New Roman" w:eastAsia="Times New Roman" w:hAnsi="Times New Roman"/>
          <w:sz w:val="18"/>
          <w:szCs w:val="18"/>
          <w:color w:val="000000"/>
        </w:rPr>
        <w:t>23%</w:t>
      </w:r>
      <w:r>
        <w:rPr>
          <w:rFonts w:ascii="Times New Roman" w:cs="Times New Roman" w:eastAsia="Times New Roman" w:hAnsi="Times New Roman"/>
          <w:sz w:val="18"/>
          <w:szCs w:val="18"/>
          <w:color w:val="231F20"/>
        </w:rPr>
        <w:t xml:space="preserve"> year-over-year, driven by an 18% year-over-year increase in headcount.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GAAP R&amp;D expense was $485 million. Non-GAAP R&amp;D expense was $298 million, representing 32% of revenue compared with 36% in the same period a year ago, and up 24% year-over-year, driven by a 23% year-over-year increase in engineering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00"/>
          </w:cols>
          <w:pgMar w:left="320" w:top="1035" w:right="379" w:bottom="1440" w:gutter="0" w:footer="0" w:header="0"/>
        </w:sectPr>
      </w:pPr>
    </w:p>
    <w:bookmarkStart w:id="9" w:name="page10"/>
    <w:bookmarkEnd w:id="9"/>
    <w:p>
      <w:pPr>
        <w:jc w:val="both"/>
        <w:ind w:right="480"/>
        <w:spacing w:after="0" w:line="266" w:lineRule="auto"/>
        <w:rPr>
          <w:sz w:val="20"/>
          <w:szCs w:val="20"/>
          <w:color w:val="auto"/>
        </w:rPr>
      </w:pPr>
      <w:r>
        <w:rPr>
          <w:rFonts w:ascii="Times New Roman" w:cs="Times New Roman" w:eastAsia="Times New Roman" w:hAnsi="Times New Roman"/>
          <w:sz w:val="18"/>
          <w:szCs w:val="18"/>
          <w:color w:val="231F20"/>
        </w:rPr>
        <w:t>GAAP selling, general and administrative ("SG&amp;A") expense was $239 million. Non-GAAP SG&amp;A expense was $169 million, representing 18% of revenue compared with 20% in the same period a year ago, and up 22% year-over-year, driven by a bad debt expense, salaries and professional fees, partially offset by lower bonus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GAAP operating income was $182 million, representing an operating margin of </w:t>
      </w:r>
      <w:r>
        <w:rPr>
          <w:rFonts w:ascii="Times New Roman" w:cs="Times New Roman" w:eastAsia="Times New Roman" w:hAnsi="Times New Roman"/>
          <w:sz w:val="18"/>
          <w:szCs w:val="18"/>
          <w:color w:val="000000"/>
        </w:rPr>
        <w:t>19.4%</w:t>
      </w:r>
      <w:r>
        <w:rPr>
          <w:rFonts w:ascii="Times New Roman" w:cs="Times New Roman" w:eastAsia="Times New Roman" w:hAnsi="Times New Roman"/>
          <w:sz w:val="18"/>
          <w:szCs w:val="18"/>
          <w:color w:val="231F20"/>
        </w:rPr>
        <w:t xml:space="preserve"> compared with </w:t>
      </w:r>
      <w:r>
        <w:rPr>
          <w:rFonts w:ascii="Times New Roman" w:cs="Times New Roman" w:eastAsia="Times New Roman" w:hAnsi="Times New Roman"/>
          <w:sz w:val="18"/>
          <w:szCs w:val="18"/>
          <w:color w:val="000000"/>
        </w:rPr>
        <w:t>16.4%</w:t>
      </w:r>
      <w:r>
        <w:rPr>
          <w:rFonts w:ascii="Times New Roman" w:cs="Times New Roman" w:eastAsia="Times New Roman" w:hAnsi="Times New Roman"/>
          <w:sz w:val="18"/>
          <w:szCs w:val="18"/>
          <w:color w:val="231F20"/>
        </w:rPr>
        <w:t xml:space="preserve"> in the same period a year ago.</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 xml:space="preserve">Non-GAAP operating income was $448 million, up </w:t>
      </w:r>
      <w:r>
        <w:rPr>
          <w:rFonts w:ascii="Times New Roman" w:cs="Times New Roman" w:eastAsia="Times New Roman" w:hAnsi="Times New Roman"/>
          <w:sz w:val="18"/>
          <w:szCs w:val="18"/>
          <w:color w:val="000000"/>
        </w:rPr>
        <w:t>65%</w:t>
      </w:r>
      <w:r>
        <w:rPr>
          <w:rFonts w:ascii="Times New Roman" w:cs="Times New Roman" w:eastAsia="Times New Roman" w:hAnsi="Times New Roman"/>
          <w:sz w:val="18"/>
          <w:szCs w:val="18"/>
          <w:color w:val="231F20"/>
        </w:rPr>
        <w:t xml:space="preserve"> year-over-year, and representing a non-GAAP operating margin of 47.7% compared with 40.3% in the same period a year ago.</w:t>
      </w:r>
    </w:p>
    <w:p>
      <w:pPr>
        <w:spacing w:after="0" w:line="1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231F20"/>
        </w:rPr>
        <w:t>Non-GAAP adjustments primarily relate to SBC and employer taxes related to SBC, net of R&amp;D incentives (see table in "GAAP to Non-GAAP Reconciliation").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Effective tax rate, net income, earnings per share (EPS), and share count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GAAP effective tax rate was </w:t>
      </w:r>
      <w:r>
        <w:rPr>
          <w:rFonts w:ascii="Times New Roman" w:cs="Times New Roman" w:eastAsia="Times New Roman" w:hAnsi="Times New Roman"/>
          <w:sz w:val="18"/>
          <w:szCs w:val="18"/>
          <w:color w:val="000000"/>
        </w:rPr>
        <w:t>8.6%</w:t>
      </w:r>
      <w:r>
        <w:rPr>
          <w:rFonts w:ascii="Times New Roman" w:cs="Times New Roman" w:eastAsia="Times New Roman" w:hAnsi="Times New Roman"/>
          <w:sz w:val="18"/>
          <w:szCs w:val="18"/>
          <w:color w:val="231F20"/>
        </w:rPr>
        <w:t>. Non-GAAP effective tax rate was 13.8%, and we expect this to remain in the mid-teens going forward.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GAAP net income was $223 million. Non-GAAP net income was $419 million, up </w:t>
      </w:r>
      <w:r>
        <w:rPr>
          <w:rFonts w:ascii="Times New Roman" w:cs="Times New Roman" w:eastAsia="Times New Roman" w:hAnsi="Times New Roman"/>
          <w:sz w:val="18"/>
          <w:szCs w:val="18"/>
          <w:color w:val="000000"/>
        </w:rPr>
        <w:t>70%</w:t>
      </w:r>
      <w:r>
        <w:rPr>
          <w:rFonts w:ascii="Times New Roman" w:cs="Times New Roman" w:eastAsia="Times New Roman" w:hAnsi="Times New Roman"/>
          <w:sz w:val="18"/>
          <w:szCs w:val="18"/>
          <w:color w:val="231F20"/>
        </w:rPr>
        <w:t xml:space="preserve"> year-over-year.</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GAAP </w:t>
      </w:r>
      <w:r>
        <w:rPr>
          <w:rFonts w:ascii="Times New Roman" w:cs="Times New Roman" w:eastAsia="Times New Roman" w:hAnsi="Times New Roman"/>
          <w:sz w:val="18"/>
          <w:szCs w:val="18"/>
          <w:color w:val="231F20"/>
        </w:rPr>
        <w:t>fully diluted earnings per share ("EPS") was $0.21 compared with $0.10 in the same period a year ago. Non-GAAP fully diluted EPS was</w:t>
      </w:r>
      <w:r>
        <w:rPr>
          <w:rFonts w:ascii="Times New Roman" w:cs="Times New Roman" w:eastAsia="Times New Roman" w:hAnsi="Times New Roman"/>
          <w:sz w:val="18"/>
          <w:szCs w:val="18"/>
          <w:color w:val="auto"/>
        </w:rPr>
        <w:t xml:space="preserve"> $0.40 </w:t>
      </w:r>
      <w:r>
        <w:rPr>
          <w:rFonts w:ascii="Times New Roman" w:cs="Times New Roman" w:eastAsia="Times New Roman" w:hAnsi="Times New Roman"/>
          <w:sz w:val="18"/>
          <w:szCs w:val="18"/>
          <w:color w:val="231F20"/>
        </w:rPr>
        <w:t xml:space="preserve">compared with </w:t>
      </w:r>
      <w:r>
        <w:rPr>
          <w:rFonts w:ascii="Times New Roman" w:cs="Times New Roman" w:eastAsia="Times New Roman" w:hAnsi="Times New Roman"/>
          <w:sz w:val="18"/>
          <w:szCs w:val="18"/>
          <w:color w:val="000000"/>
        </w:rPr>
        <w:t>$0.24</w:t>
      </w:r>
      <w:r>
        <w:rPr>
          <w:rFonts w:ascii="Times New Roman" w:cs="Times New Roman" w:eastAsia="Times New Roman" w:hAnsi="Times New Roman"/>
          <w:sz w:val="18"/>
          <w:szCs w:val="18"/>
          <w:color w:val="231F20"/>
        </w:rPr>
        <w:t xml:space="preserve"> in the same period a year ago.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GAAP and a non-GAAP basic and fully diluted weighted average share count was 1,044 million and 1,060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Non-GAAP free cash flow</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Non-GAAP free cash flow ("FCF") was $(348) million for the quarter, compared with $(150) million in the same period a year ago, and for the trailing 12-months was $709 million, down 2% year-over-year. Q1 has historically been our lowest seasonal quarter for FCF as we pay the annual corporate bonus for the preceding fiscal year. Additionally, as noted last quarter, Q4 FYE24 experienced a $573 million change in working capital benefit that was primarily due to cash held for payroll tax liabilities related to the IPO share vesting event. As expected, this benefit subsequently reversed in Q1 FYE25. Since we do not expect this event to reoccur, we expect this dynamic to impact the comparability of FCF for FYE25 relative to the prior fiscal year.</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 xml:space="preserve">At quarter-end, cash and cash equivalents, and short-term investments, totaled $2,465 million, down </w:t>
      </w:r>
      <w:r>
        <w:rPr>
          <w:rFonts w:ascii="Times New Roman" w:cs="Times New Roman" w:eastAsia="Times New Roman" w:hAnsi="Times New Roman"/>
          <w:sz w:val="18"/>
          <w:szCs w:val="18"/>
          <w:color w:val="000000"/>
        </w:rPr>
        <w:t>16%</w:t>
      </w:r>
      <w:r>
        <w:rPr>
          <w:rFonts w:ascii="Times New Roman" w:cs="Times New Roman" w:eastAsia="Times New Roman" w:hAnsi="Times New Roman"/>
          <w:sz w:val="18"/>
          <w:szCs w:val="18"/>
          <w:color w:val="231F20"/>
        </w:rPr>
        <w:t xml:space="preserve"> from $2,923 million in the prior quarter and up </w:t>
      </w:r>
      <w:r>
        <w:rPr>
          <w:rFonts w:ascii="Times New Roman" w:cs="Times New Roman" w:eastAsia="Times New Roman" w:hAnsi="Times New Roman"/>
          <w:sz w:val="18"/>
          <w:szCs w:val="18"/>
          <w:color w:val="000000"/>
        </w:rPr>
        <w:t xml:space="preserve">20% </w:t>
      </w:r>
      <w:r>
        <w:rPr>
          <w:rFonts w:ascii="Times New Roman" w:cs="Times New Roman" w:eastAsia="Times New Roman" w:hAnsi="Times New Roman"/>
          <w:sz w:val="18"/>
          <w:szCs w:val="18"/>
          <w:color w:val="231F20"/>
        </w:rPr>
        <w:t>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00"/>
          </w:cols>
          <w:pgMar w:left="320" w:top="1039" w:right="37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02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16"/>
                <w:szCs w:val="16"/>
                <w:color w:val="auto"/>
              </w:rPr>
            </w:pPr>
          </w:p>
        </w:tc>
        <w:tc>
          <w:tcPr>
            <w:tcW w:w="12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from external customers</w:t>
            </w:r>
          </w:p>
        </w:tc>
        <w:tc>
          <w:tcPr>
            <w:tcW w:w="120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Pr>
          <w:p>
            <w:pPr>
              <w:spacing w:after="0"/>
              <w:rPr>
                <w:sz w:val="17"/>
                <w:szCs w:val="17"/>
                <w:color w:val="auto"/>
              </w:rPr>
            </w:pPr>
          </w:p>
        </w:tc>
        <w:tc>
          <w:tcPr>
            <w:tcW w:w="118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from related parties</w:t>
            </w:r>
          </w:p>
        </w:tc>
        <w:tc>
          <w:tcPr>
            <w:tcW w:w="1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3"/>
        </w:trPr>
        <w:tc>
          <w:tcPr>
            <w:tcW w:w="76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66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9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sales</w:t>
            </w:r>
          </w:p>
        </w:tc>
        <w:tc>
          <w:tcPr>
            <w:tcW w:w="1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60" w:type="dxa"/>
            <w:vAlign w:val="bottom"/>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16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3"/>
        </w:trPr>
        <w:tc>
          <w:tcPr>
            <w:tcW w:w="76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60" w:type="dxa"/>
            <w:vAlign w:val="bottom"/>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9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1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 net</w:t>
            </w:r>
          </w:p>
        </w:tc>
        <w:tc>
          <w:tcPr>
            <w:tcW w:w="1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1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66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9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20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76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120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7"/>
                <w:szCs w:val="17"/>
                <w:color w:val="auto"/>
              </w:rPr>
            </w:pPr>
          </w:p>
        </w:tc>
        <w:tc>
          <w:tcPr>
            <w:tcW w:w="118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20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7"/>
                <w:szCs w:val="17"/>
                <w:color w:val="auto"/>
              </w:rPr>
            </w:pPr>
          </w:p>
        </w:tc>
        <w:tc>
          <w:tcPr>
            <w:tcW w:w="118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47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1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220"/>
          </w:cols>
          <w:pgMar w:left="340" w:top="117" w:right="339" w:bottom="1440" w:gutter="0" w:footer="0" w:header="0"/>
        </w:sectPr>
      </w:pPr>
    </w:p>
    <w:bookmarkStart w:id="11" w:name="page12"/>
    <w:bookmarkEnd w:id="1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8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65"/>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2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 (including receivables from related parties of $146 and $182 as of June 30, 2024 and March 31, 2024,</w:t>
            </w:r>
          </w:p>
        </w:tc>
        <w:tc>
          <w:tcPr>
            <w:tcW w:w="13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188"/>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3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assets (including contract assets from related parties of $13 and $22 as of June 30, 2024 and March 31, 2024,</w:t>
            </w:r>
          </w:p>
        </w:tc>
        <w:tc>
          <w:tcPr>
            <w:tcW w:w="13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88"/>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3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3"/>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80" w:type="dxa"/>
            <w:vAlign w:val="bottom"/>
            <w:vMerge w:val="continue"/>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3,840</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4,197</w:t>
            </w:r>
          </w:p>
        </w:tc>
        <w:tc>
          <w:tcPr>
            <w:tcW w:w="0" w:type="dxa"/>
            <w:vAlign w:val="bottom"/>
          </w:tcPr>
          <w:p>
            <w:pPr>
              <w:spacing w:after="0"/>
              <w:rPr>
                <w:sz w:val="1"/>
                <w:szCs w:val="1"/>
                <w:color w:val="auto"/>
              </w:rPr>
            </w:pPr>
          </w:p>
        </w:tc>
      </w:tr>
      <w:tr>
        <w:trPr>
          <w:trHeight w:val="165"/>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6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Equity investments (including investments held at fair value of $573 and $573 as of June 30, 2024 and March 31, 2024,</w:t>
            </w:r>
          </w:p>
        </w:tc>
        <w:tc>
          <w:tcPr>
            <w:tcW w:w="13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188"/>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3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contract assets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3"/>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80" w:type="dxa"/>
            <w:vAlign w:val="bottom"/>
            <w:vMerge w:val="continue"/>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32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738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32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Tax liabilities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6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 (including contract liabilities from related parties of $114 and $107 as of June 30, 2024 and March 31, 2024,</w:t>
            </w:r>
          </w:p>
        </w:tc>
        <w:tc>
          <w:tcPr>
            <w:tcW w:w="13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88"/>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3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(including payables to related parties of $6 and $7 as of June 30, 2024 and March 31, 2024,</w:t>
            </w:r>
          </w:p>
        </w:tc>
        <w:tc>
          <w:tcPr>
            <w:tcW w:w="13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192"/>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0" w:type="dxa"/>
            <w:vAlign w:val="bottom"/>
          </w:tcPr>
          <w:p>
            <w:pPr>
              <w:spacing w:after="0"/>
              <w:rPr>
                <w:sz w:val="1"/>
                <w:szCs w:val="1"/>
                <w:color w:val="auto"/>
              </w:rPr>
            </w:pPr>
          </w:p>
        </w:tc>
      </w:tr>
      <w:tr>
        <w:trPr>
          <w:trHeight w:val="166"/>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accrued compensation</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contract liabilities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operating lease liabilities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3"/>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80" w:type="dxa"/>
            <w:vAlign w:val="bottom"/>
            <w:vMerge w:val="continue"/>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196"/>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340" w:top="117"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0940"/>
          </w:cols>
          <w:pgMar w:left="340" w:top="117" w:right="619" w:bottom="1440" w:gutter="0" w:footer="0" w:header="0"/>
          <w:type w:val="continuous"/>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65"/>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$0.001 par value; 1,088 shares authorized and 1,048 shares issued and outstanding as of June 30, 2024; and 1,088</w:t>
            </w:r>
          </w:p>
        </w:tc>
        <w:tc>
          <w:tcPr>
            <w:tcW w:w="13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shares authorized and 1,040 shares issued and outstanding as of March 31, 2024</w:t>
            </w:r>
          </w:p>
        </w:tc>
        <w:tc>
          <w:tcPr>
            <w:tcW w:w="13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5,295</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32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220"/>
          </w:cols>
          <w:pgMar w:left="340" w:top="117"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00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16"/>
                <w:szCs w:val="16"/>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operating activities:</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7"/>
                <w:szCs w:val="17"/>
                <w:color w:val="auto"/>
              </w:rPr>
            </w:pPr>
          </w:p>
        </w:tc>
        <w:tc>
          <w:tcPr>
            <w:tcW w:w="116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for) operating activities:</w:t>
            </w: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income taxes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cost</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expense</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(including receivables from related parties)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assets, net (including contract assets from related parties)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liabilities (including contract liabilities from related parties)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liabilities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 (including payables to related parties)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operating activities</w:t>
            </w: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60" w:type="dxa"/>
            <w:vAlign w:val="bottom"/>
            <w:vMerge w:val="continue"/>
          </w:tcPr>
          <w:p>
            <w:pPr>
              <w:spacing w:after="0"/>
              <w:rPr>
                <w:sz w:val="16"/>
                <w:szCs w:val="16"/>
                <w:color w:val="auto"/>
              </w:rPr>
            </w:pPr>
          </w:p>
        </w:tc>
        <w:tc>
          <w:tcPr>
            <w:tcW w:w="118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60"/>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investing activities</w:t>
            </w: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equity investments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investing activities</w:t>
            </w: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118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60"/>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financing activities</w:t>
            </w: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Payment of intangible asset obligations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Payment of withholding tax on vested shares</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financing activities</w:t>
            </w: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118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60"/>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1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6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9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the beginning of the period</w:t>
            </w:r>
          </w:p>
        </w:tc>
        <w:tc>
          <w:tcPr>
            <w:tcW w:w="1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and cash equivalents at the end of the period</w:t>
            </w: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118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1220"/>
          </w:cols>
          <w:pgMar w:left="34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following key performance indicators and non-GAAP financial measures to analyze our business performance and financial forecasts and to develop strategic plans, which we believe provide useful information to the market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key financial and operating metrics: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for Number of extant Arm Total Access and Arm Flexible Access licenses, and Total number of employees,</w:t>
            </w:r>
          </w:p>
        </w:tc>
        <w:tc>
          <w:tcPr>
            <w:tcW w:w="420" w:type="dxa"/>
            <w:vAlign w:val="bottom"/>
          </w:tcPr>
          <w:p>
            <w:pPr>
              <w:spacing w:after="0"/>
              <w:rPr>
                <w:sz w:val="16"/>
                <w:szCs w:val="16"/>
                <w:color w:val="auto"/>
              </w:rPr>
            </w:pPr>
          </w:p>
        </w:tc>
        <w:tc>
          <w:tcPr>
            <w:tcW w:w="314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3"/>
        </w:trPr>
        <w:tc>
          <w:tcPr>
            <w:tcW w:w="7680" w:type="dxa"/>
            <w:vAlign w:val="bottom"/>
            <w:vMerge w:val="continue"/>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engineers and non-engineers)</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93"/>
        </w:trPr>
        <w:tc>
          <w:tcPr>
            <w:tcW w:w="7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License and other revenue</w:t>
            </w: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203"/>
        </w:trPr>
        <w:tc>
          <w:tcPr>
            <w:tcW w:w="7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Royalty revenue</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Non-GAAP operating income (loss)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88"/>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Non-GAAP net income (loss)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88"/>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for) operating activities</w:t>
            </w: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14"/>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Non-GAAP free cash flow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4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Non-GAAP free cash flow TTM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bl>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Operating metrics: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6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0"/>
        </w:trPr>
        <w:tc>
          <w:tcPr>
            <w:tcW w:w="7660" w:type="dxa"/>
            <w:vAlign w:val="bottom"/>
          </w:tcPr>
          <w:p>
            <w:pPr>
              <w:spacing w:after="0" w:line="190" w:lineRule="exact"/>
              <w:rPr>
                <w:sz w:val="20"/>
                <w:szCs w:val="20"/>
                <w:color w:val="auto"/>
              </w:rPr>
            </w:pPr>
            <w:r>
              <w:rPr>
                <w:rFonts w:ascii="Times New Roman" w:cs="Times New Roman" w:eastAsia="Times New Roman" w:hAnsi="Times New Roman"/>
                <w:sz w:val="14"/>
                <w:szCs w:val="14"/>
                <w:color w:val="auto"/>
              </w:rPr>
              <w:t xml:space="preserve">Number of extant Arm Total Access licenses </w:t>
            </w:r>
            <w:r>
              <w:rPr>
                <w:rFonts w:ascii="Times New Roman" w:cs="Times New Roman" w:eastAsia="Times New Roman" w:hAnsi="Times New Roman"/>
                <w:sz w:val="18"/>
                <w:szCs w:val="18"/>
                <w:color w:val="auto"/>
                <w:vertAlign w:val="superscript"/>
              </w:rPr>
              <w:t>(2)</w:t>
            </w: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6"/>
        </w:trPr>
        <w:tc>
          <w:tcPr>
            <w:tcW w:w="7660" w:type="dxa"/>
            <w:vAlign w:val="bottom"/>
          </w:tcPr>
          <w:p>
            <w:pPr>
              <w:spacing w:after="0" w:line="206" w:lineRule="exact"/>
              <w:rPr>
                <w:sz w:val="20"/>
                <w:szCs w:val="20"/>
                <w:color w:val="auto"/>
              </w:rPr>
            </w:pPr>
            <w:r>
              <w:rPr>
                <w:rFonts w:ascii="Times New Roman" w:cs="Times New Roman" w:eastAsia="Times New Roman" w:hAnsi="Times New Roman"/>
                <w:sz w:val="14"/>
                <w:szCs w:val="14"/>
                <w:color w:val="auto"/>
              </w:rPr>
              <w:t xml:space="preserve">Number of extant Arm Flexible Access licenses </w:t>
            </w:r>
            <w:r>
              <w:rPr>
                <w:rFonts w:ascii="Times New Roman" w:cs="Times New Roman" w:eastAsia="Times New Roman" w:hAnsi="Times New Roman"/>
                <w:sz w:val="18"/>
                <w:szCs w:val="18"/>
                <w:color w:val="auto"/>
                <w:vertAlign w:val="superscript"/>
              </w:rPr>
              <w:t>(2)</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Annualized contract value</w:t>
            </w: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1,193</w:t>
            </w:r>
          </w:p>
        </w:tc>
        <w:tc>
          <w:tcPr>
            <w:tcW w:w="100" w:type="dxa"/>
            <w:vAlign w:val="bottom"/>
          </w:tcPr>
          <w:p>
            <w:pPr>
              <w:spacing w:after="0"/>
              <w:rPr>
                <w:sz w:val="16"/>
                <w:szCs w:val="16"/>
                <w:color w:val="auto"/>
              </w:rPr>
            </w:pP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Remaining performance obligation</w:t>
            </w: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2,168</w:t>
            </w:r>
          </w:p>
        </w:tc>
        <w:tc>
          <w:tcPr>
            <w:tcW w:w="100" w:type="dxa"/>
            <w:vAlign w:val="bottom"/>
          </w:tcPr>
          <w:p>
            <w:pPr>
              <w:spacing w:after="0"/>
              <w:rPr>
                <w:sz w:val="17"/>
                <w:szCs w:val="17"/>
                <w:color w:val="auto"/>
              </w:rPr>
            </w:pP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Total number of employees (at end of period)</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6,229</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Total number of engineers</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4,977</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Total number of non-engineers</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260" w:right="20" w:hanging="252"/>
        <w:spacing w:after="0" w:line="261" w:lineRule="auto"/>
        <w:tabs>
          <w:tab w:leader="none" w:pos="36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operating income (loss), Non-GAAP net income, Non-GAAP free cash flow, and Non-GAAP free cash flow TTM are non-GAAP financial measures. For more information regarding our use of these measures and a reconciliation of these measures to the most directly comparable GAAP financial measures, see “—GAAP to Non-GAAP Reconciliation” below.</w:t>
      </w:r>
    </w:p>
    <w:p>
      <w:pPr>
        <w:jc w:val="both"/>
        <w:ind w:left="260" w:hanging="252"/>
        <w:spacing w:after="0" w:line="248" w:lineRule="auto"/>
        <w:tabs>
          <w:tab w:leader="none" w:pos="38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last day of the applicable period. For the quarter ended June 30, 2023 (Q1 FYE24), the number of Arm Flexible Access agreements has been adjusted to 211 from 214 (as previously reported in our final prospectus filed with the U.S. Securities and Exchange Commission (the “SEC”) on September 14, 2023) pursuant to Rule 424(b)(4) under the Securities Act of 1933, as amended (the “Securities Act”), relating to our Registration Statement on Form F-1) to account for certain customer license terminations and a consolidation of customer licenses due to an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40"/>
          </w:cols>
          <w:pgMar w:left="320" w:top="9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0091BD"/>
        </w:rPr>
        <w:t>Total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major product offerings consist of the following: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License and other revenue</w:t>
      </w:r>
    </w:p>
    <w:p>
      <w:pPr>
        <w:spacing w:after="0" w:line="119" w:lineRule="exact"/>
        <w:rPr>
          <w:sz w:val="20"/>
          <w:szCs w:val="20"/>
          <w:color w:val="auto"/>
        </w:rPr>
      </w:pPr>
    </w:p>
    <w:p>
      <w:pPr>
        <w:jc w:val="both"/>
        <w:ind w:left="66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Intellectual property license </w:t>
      </w:r>
      <w:r>
        <w:rPr>
          <w:rFonts w:ascii="Times New Roman" w:cs="Times New Roman" w:eastAsia="Times New Roman" w:hAnsi="Times New Roman"/>
          <w:sz w:val="18"/>
          <w:szCs w:val="18"/>
          <w:color w:val="231F20"/>
        </w:rPr>
        <w:t>— We generally license IP under non-exclusive license agreements that provide usage rights for specific applications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Revenue allocated to the IP license is recognized at a point in time upon the delivery or 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spacing w:after="0" w:line="76"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w:t>
      </w:r>
    </w:p>
    <w:p>
      <w:pPr>
        <w:spacing w:after="0" w:line="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Software sales, including development systems </w:t>
      </w:r>
      <w:r>
        <w:rPr>
          <w:rFonts w:ascii="Times New Roman" w:cs="Times New Roman" w:eastAsia="Times New Roman" w:hAnsi="Times New Roman"/>
          <w:sz w:val="18"/>
          <w:szCs w:val="18"/>
          <w:color w:val="231F20"/>
        </w:rPr>
        <w:t>— Sales of software, including development systems, which are not specifically designed for a</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given license (such as off-the-shelf software), are recognized upon delivery when control has been transferred and customer can begin to use and benefit from the license.</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Professional services </w:t>
      </w:r>
      <w:r>
        <w:rPr>
          <w:rFonts w:ascii="Times New Roman" w:cs="Times New Roman" w:eastAsia="Times New Roman" w:hAnsi="Times New Roman"/>
          <w:sz w:val="18"/>
          <w:szCs w:val="18"/>
          <w:color w:val="231F20"/>
        </w:rPr>
        <w:t>— Services (such as training and professional and design services) that we provide, which are not essential to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functionality 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we have an enforceable right to payment for performance completed to date, which includes a reasonable profit margin and the performance of such services do not create an asset with an alternative use.</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Support and maintenance </w:t>
      </w:r>
      <w:r>
        <w:rPr>
          <w:rFonts w:ascii="Times New Roman" w:cs="Times New Roman" w:eastAsia="Times New Roman" w:hAnsi="Times New Roman"/>
          <w:sz w:val="18"/>
          <w:szCs w:val="18"/>
          <w:color w:val="231F20"/>
        </w:rPr>
        <w:t>— Support and maintenance is a stand-ready obligation to the customer that is both provided and consumed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simultaneously. Revenue is recognized on a straight-line basis over the period for which support and maintenance is contractually agreed pursuant to the license.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Royalty revenue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For certain IP license agreements, royalties are collected on products that incorporate our IP. Royalties are recognized on an accrual basis in the quarter in which the customer ships their products, based on our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 in the period following the accrual.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1240"/>
          </w:cols>
          <w:pgMar w:left="320" w:top="10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0091BD"/>
        </w:rPr>
        <w:t>Royalty technology mix</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Royalty mix by architecture such as Armv9 is estimated at the system-on-a-chip ("SoC") level based on the architecture of the primary CPU or an approximation of the IP mix and is subject to change based on the availability of additional product detail.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Number of Arm-based chips reported as shipped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quarter, most of our customers, and those contracted through Arm Technology (China) Co. Limited ("Arm China"), furnish us (directly or via Arm China) with royalty reports setting forth the actual number of Arm-powered chips they shipped in the immediately preceding quarter. Royalty reports received in the 12-month period from April 1 to March 31 of each year relate to chip shipments made in the period from January 1 to December 31 of each year. We also perform various procedures to assess customer data related to royalties for reasonableness, and our license agreements generally include rights for us to audit the books and records of our customers to verify certain types of customer data.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previously considered the number of chips reported as shipped by our customers as a key performance indicator because it represented the acceptance of our products by companies who use chips in their products (e.g., our customers’ customers). As we shift our focus to higher-value, lower-volume markets such as data center servers, AI accelerators and smartphone applications processors, the number of chips reported as shipped is less representative of our performance as the growth in royalty revenue is concentrated in a smaller number of chips. As such, starting in Q1 FYE25, we are no longer reporting the number of Arm-based chips reported as shipped.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Number of extant Arm Total Access and Arm Flexible Access licenses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quarter, we track the number of extant Arm Total Access and Arm Flexible Access licenses with our customers, and those contracted through Arm China. We believe that, over time, many of our customers will transition to either an Arm Total Access or Arm Flexible Access license to access our products. This transition enables us and our customers to focus less on contract negotiations and more on how our products can be deployed in our customers’ future chips.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the number of extant Arm Total Access and Arm Flexible Access licenses as key performance indicators as they represent the increasing collaboration between us and our customers, which could be a leading indicator to more chips being designed with our products and, accordingly, more recurring royalty revenue in the future, improving our long-term market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Annualized contract value ("ACV")</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quarter, we track the ACV relating to licensing agreements signed with our customers and those contracted through Arm China per the aggregate license fee as shared under the Intellectual Property License Agreement with Arm China. We define ACV as the total annualized committed fees, excluding any potential future royalty revenue, for all signed agreements deemed to be active through the last day of each applicable reporting period. Arm Total Access agreements and ALAs are deemed to be active for, and annualized over, the number of years in the contract. Any other license agreements, including single use and limited use licenses issued under an Arm Flexible Access agreement or Technology License Agreement, are deemed to be active for, and annualized over, three years based on the historical licensing patterns of our customers. The aggregate license fee shared by Arm China is also deemed to be active for, and annualized over, three years.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ACV is an operational metric based on committed fees, excluding royalties, not recognized revenue, and therefore is not reconcilable to, nor a substitute for, revenue reported under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240"/>
          </w:cols>
          <w:pgMar w:left="320" w:top="10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0091BD"/>
        </w:rPr>
        <w:t>Remaining performance obligations ("RPO")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RPO represents the transaction price allocated to performance obligations that are unsatisfied, or partially unsatisfied, which includes unearned revenue and amounts that will be invoiced and recognized as revenue in future periods.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Arm has elected to exclude potential future royalty receipts from the disclosure of RPO. Revenue recognition occurs upon delivery or beginning of license term, whichever is later.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utilize and present financial measures that are not calculated and presented in accordance with GAAP. Our non-GAAP financial measures include non-GAAP cost of sales, non-GAAP gross profit, non-GAAP gross margin, non-GAAP research and development operating expenses, non-GAAP selling, general and administrative operating expenses, non-GAAP impairment of long-lived assets operating expenses, non-GAAP disposal, restructuring and other operating expense, net, non-GAAP operating expense, non-GAAP operating income (loss), non-GAAP operating margin, non-GAAP income (loss) from equity investments, net, non-GAAP interest income, net, non-GAAP other non-operating income (loss), net, non-GAAP income before income taxes, net, non-GAAP net income (loss), non-GAAP basic and diluted net income per share attributable to ordinary shareholders, non-GAAP free cash flow, and non-GAAP free cash flow TTM. We believe these non-GAAP financial measures provide useful information to investors and others in understanding and evaluating our results of operations, as well as provide a useful measure for period-to-period comparisons of our business performance. Moreover, we have included these non-GAAP financial measures because they are key measurements used by our management internally to make operating decisions, including those related to analyzing operating expenses, evaluating performance, and performing strategic planning and annual budgeting.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Non-GAAP financial measures presented herein exclude acquisition-related intangible asset amortization, share-based compensation ("SBC") cost associated with equity-classified awards where our intent is to issue equity upon vesting (in lieu of cash settlement), employer taxes related to SBC equity-classified awards, net of the research and development ("R&amp;D") tax incentives associated with these taxes, </w:t>
      </w:r>
      <w:r>
        <w:rPr>
          <w:rFonts w:ascii="Times New Roman" w:cs="Times New Roman" w:eastAsia="Times New Roman" w:hAnsi="Times New Roman"/>
          <w:sz w:val="18"/>
          <w:szCs w:val="18"/>
          <w:color w:val="231F20"/>
        </w:rPr>
        <w:t>one-time employee benefit related to the</w:t>
      </w:r>
      <w:r>
        <w:rPr>
          <w:rFonts w:ascii="Times New Roman" w:cs="Times New Roman" w:eastAsia="Times New Roman" w:hAnsi="Times New Roman"/>
          <w:sz w:val="18"/>
          <w:szCs w:val="18"/>
          <w:color w:val="auto"/>
        </w:rPr>
        <w:t xml:space="preserve"> Arm Limited All Employee Plan 2019 (“2019 AEP”), costs associated with disposal activities, impairment of long-lived assets, restructuring and related costs, public company readiness costs, other operating income (expenses), net, (income) loss from equity method investments, gain on disposal of business, and income tax effect on non-GAAP adjustments. We exclude these items from our non-GAAP financial measures because they are non-cash or non-recurring in nature, or because the amount and timing of these items is unpredictable and not driven by core results of operations, which renders comparisons with prior periods and competitors less meaningful.</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Investors should consider non-GAAP financial measures alongside other financial performance measures, including operating income, net income and our other GAAP results. For more information regarding our use of these measures and a reconciliation to the most directly comparable GAAP financial measure, see “—GAAP to Non-GAAP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15</w:t>
      </w:r>
    </w:p>
    <w:p>
      <w:pPr>
        <w:sectPr>
          <w:pgSz w:w="11900" w:h="16838" w:orient="portrait"/>
          <w:cols w:equalWidth="0" w:num="1">
            <w:col w:w="11240"/>
          </w:cols>
          <w:pgMar w:left="320" w:top="1035" w:right="339" w:bottom="1440" w:gutter="0" w:footer="0" w:header="0"/>
        </w:sectPr>
      </w:pPr>
    </w:p>
    <w:bookmarkStart w:id="18" w:name="page19"/>
    <w:bookmarkEnd w:id="18"/>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GAAP to Non-GAAP results: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7"/>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00" w:type="dxa"/>
            <w:vAlign w:val="bottom"/>
          </w:tcPr>
          <w:p>
            <w:pPr>
              <w:spacing w:after="0"/>
              <w:rPr>
                <w:sz w:val="11"/>
                <w:szCs w:val="11"/>
                <w:color w:val="auto"/>
              </w:rPr>
            </w:pPr>
          </w:p>
        </w:tc>
        <w:tc>
          <w:tcPr>
            <w:tcW w:w="76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9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1"/>
                <w:szCs w:val="11"/>
                <w:color w:val="auto"/>
              </w:rPr>
            </w:pPr>
          </w:p>
        </w:tc>
        <w:tc>
          <w:tcPr>
            <w:tcW w:w="8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taxes related</w:t>
            </w:r>
          </w:p>
        </w:tc>
        <w:tc>
          <w:tcPr>
            <w:tcW w:w="120" w:type="dxa"/>
            <w:vAlign w:val="bottom"/>
          </w:tcPr>
          <w:p>
            <w:pPr>
              <w:spacing w:after="0"/>
              <w:rPr>
                <w:sz w:val="12"/>
                <w:szCs w:val="12"/>
                <w:color w:val="auto"/>
              </w:rPr>
            </w:pPr>
          </w:p>
        </w:tc>
        <w:tc>
          <w:tcPr>
            <w:tcW w:w="80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from equity</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 SBC, net</w:t>
            </w:r>
          </w:p>
        </w:tc>
        <w:tc>
          <w:tcPr>
            <w:tcW w:w="120" w:type="dxa"/>
            <w:vAlign w:val="bottom"/>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method</w:t>
            </w: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 on non-</w:t>
            </w:r>
          </w:p>
        </w:tc>
        <w:tc>
          <w:tcPr>
            <w:tcW w:w="120" w:type="dxa"/>
            <w:vAlign w:val="bottom"/>
          </w:tcPr>
          <w:p>
            <w:pPr>
              <w:spacing w:after="0"/>
              <w:rPr>
                <w:sz w:val="11"/>
                <w:szCs w:val="11"/>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8"/>
        </w:trPr>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GAAP Results</w:t>
            </w:r>
          </w:p>
        </w:tc>
        <w:tc>
          <w:tcPr>
            <w:tcW w:w="100" w:type="dxa"/>
            <w:vAlign w:val="bottom"/>
          </w:tcPr>
          <w:p>
            <w:pPr>
              <w:spacing w:after="0"/>
              <w:rPr>
                <w:sz w:val="12"/>
                <w:szCs w:val="12"/>
                <w:color w:val="auto"/>
              </w:rPr>
            </w:pPr>
          </w:p>
        </w:tc>
        <w:tc>
          <w:tcPr>
            <w:tcW w:w="8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R&amp;D tax</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2"/>
                <w:szCs w:val="12"/>
                <w:color w:val="auto"/>
              </w:rPr>
            </w:pPr>
          </w:p>
        </w:tc>
        <w:tc>
          <w:tcPr>
            <w:tcW w:w="8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8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8"/>
              <w:spacing w:after="0" w:line="202" w:lineRule="exact"/>
              <w:rPr>
                <w:sz w:val="20"/>
                <w:szCs w:val="20"/>
                <w:color w:val="auto"/>
              </w:rPr>
            </w:pPr>
            <w:r>
              <w:rPr>
                <w:rFonts w:ascii="Times New Roman" w:cs="Times New Roman" w:eastAsia="Times New Roman" w:hAnsi="Times New Roman"/>
                <w:sz w:val="14"/>
                <w:szCs w:val="14"/>
                <w:b w:val="1"/>
                <w:bCs w:val="1"/>
                <w:color w:val="auto"/>
                <w:w w:val="94"/>
              </w:rPr>
              <w:t xml:space="preserve">settled) </w:t>
            </w:r>
            <w:r>
              <w:rPr>
                <w:rFonts w:ascii="Times New Roman" w:cs="Times New Roman" w:eastAsia="Times New Roman" w:hAnsi="Times New Roman"/>
                <w:sz w:val="18"/>
                <w:szCs w:val="18"/>
                <w:b w:val="1"/>
                <w:bCs w:val="1"/>
                <w:color w:val="auto"/>
                <w:w w:val="94"/>
                <w:vertAlign w:val="superscript"/>
              </w:rPr>
              <w:t>(1)</w:t>
            </w:r>
          </w:p>
        </w:tc>
        <w:tc>
          <w:tcPr>
            <w:tcW w:w="86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incentives </w:t>
            </w:r>
            <w:r>
              <w:rPr>
                <w:rFonts w:ascii="Times New Roman" w:cs="Times New Roman" w:eastAsia="Times New Roman" w:hAnsi="Times New Roman"/>
                <w:sz w:val="18"/>
                <w:szCs w:val="18"/>
                <w:b w:val="1"/>
                <w:bCs w:val="1"/>
                <w:color w:val="auto"/>
                <w:w w:val="99"/>
                <w:vertAlign w:val="superscript"/>
              </w:rPr>
              <w:t>(2)</w:t>
            </w:r>
          </w:p>
        </w:tc>
        <w:tc>
          <w:tcPr>
            <w:tcW w:w="120" w:type="dxa"/>
            <w:vAlign w:val="bottom"/>
          </w:tcPr>
          <w:p>
            <w:pPr>
              <w:spacing w:after="0"/>
              <w:rPr>
                <w:sz w:val="17"/>
                <w:szCs w:val="17"/>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net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8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2"/>
        </w:trPr>
        <w:tc>
          <w:tcPr>
            <w:tcW w:w="2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tcPr>
          <w:p>
            <w:pPr>
              <w:spacing w:after="0"/>
              <w:rPr>
                <w:sz w:val="15"/>
                <w:szCs w:val="15"/>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top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top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19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3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3"/>
        </w:trPr>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38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88"/>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96.5 %</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97.4 %</w:t>
            </w:r>
          </w:p>
        </w:tc>
        <w:tc>
          <w:tcPr>
            <w:tcW w:w="0" w:type="dxa"/>
            <w:vAlign w:val="bottom"/>
          </w:tcPr>
          <w:p>
            <w:pPr>
              <w:spacing w:after="0"/>
              <w:rPr>
                <w:sz w:val="1"/>
                <w:szCs w:val="1"/>
                <w:color w:val="auto"/>
              </w:rPr>
            </w:pPr>
          </w:p>
        </w:tc>
      </w:tr>
      <w:tr>
        <w:trPr>
          <w:trHeight w:val="19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20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3"/>
        </w:trPr>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38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9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188"/>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19.4 %</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47.7 %</w:t>
            </w:r>
          </w:p>
        </w:tc>
        <w:tc>
          <w:tcPr>
            <w:tcW w:w="0" w:type="dxa"/>
            <w:vAlign w:val="bottom"/>
          </w:tcPr>
          <w:p>
            <w:pPr>
              <w:spacing w:after="0"/>
              <w:rPr>
                <w:sz w:val="1"/>
                <w:szCs w:val="1"/>
                <w:color w:val="auto"/>
              </w:rPr>
            </w:pPr>
          </w:p>
        </w:tc>
      </w:tr>
      <w:tr>
        <w:trPr>
          <w:trHeight w:val="154"/>
        </w:trPr>
        <w:tc>
          <w:tcPr>
            <w:tcW w:w="238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Income (loss) from equity investments,</w:t>
            </w:r>
          </w:p>
        </w:tc>
        <w:tc>
          <w:tcPr>
            <w:tcW w:w="300" w:type="dxa"/>
            <w:vAlign w:val="bottom"/>
          </w:tcPr>
          <w:p>
            <w:pPr>
              <w:spacing w:after="0"/>
              <w:rPr>
                <w:sz w:val="13"/>
                <w:szCs w:val="13"/>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3"/>
                <w:szCs w:val="13"/>
                <w:color w:val="auto"/>
              </w:rPr>
            </w:pPr>
          </w:p>
        </w:tc>
        <w:tc>
          <w:tcPr>
            <w:tcW w:w="8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w:t>
            </w:r>
          </w:p>
        </w:tc>
        <w:tc>
          <w:tcPr>
            <w:tcW w:w="3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30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30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
        </w:trPr>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3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5"/>
                <w:szCs w:val="15"/>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19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3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Net income (loss) per share</w:t>
            </w: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23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380" w:type="dxa"/>
            <w:vAlign w:val="bottom"/>
            <w:gridSpan w:val="2"/>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attributable to ordinary</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20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161"/>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ordinary shares</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0" w:type="dxa"/>
            <w:vAlign w:val="bottom"/>
          </w:tcPr>
          <w:p>
            <w:pPr>
              <w:spacing w:after="0"/>
              <w:rPr>
                <w:sz w:val="1"/>
                <w:szCs w:val="1"/>
                <w:color w:val="auto"/>
              </w:rPr>
            </w:pPr>
          </w:p>
        </w:tc>
      </w:tr>
      <w:tr>
        <w:trPr>
          <w:trHeight w:val="20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SBC cost was $182 million for the three months ended June 30, 2024, of which all are equity-classified awards.</w:t>
      </w:r>
    </w:p>
    <w:p>
      <w:pPr>
        <w:spacing w:after="0" w:line="55"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0139"/>
          </w:cols>
          <w:pgMar w:left="320" w:top="104" w:right="1440" w:bottom="1440" w:gutter="0" w:footer="0" w:header="0"/>
        </w:sectPr>
      </w:pPr>
    </w:p>
    <w:bookmarkStart w:id="19" w:name="page20"/>
    <w:bookmarkEnd w:id="19"/>
    <w:tbl>
      <w:tblPr>
        <w:tblLayout w:type="fixed"/>
        <w:tblInd w:w="12"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3"/>
          </w:tcPr>
          <w:p>
            <w:pPr>
              <w:jc w:val="center"/>
              <w:ind w:left="106"/>
              <w:spacing w:after="0"/>
              <w:rPr>
                <w:sz w:val="20"/>
                <w:szCs w:val="20"/>
                <w:color w:val="auto"/>
              </w:rPr>
            </w:pPr>
            <w:r>
              <w:rPr>
                <w:rFonts w:ascii="Times New Roman" w:cs="Times New Roman" w:eastAsia="Times New Roman" w:hAnsi="Times New Roman"/>
                <w:sz w:val="18"/>
                <w:szCs w:val="18"/>
                <w:b w:val="1"/>
                <w:bCs w:val="1"/>
                <w:color w:val="auto"/>
                <w:w w:val="99"/>
              </w:rPr>
              <w:t>Arm Holdings plc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3"/>
          </w:tcPr>
          <w:p>
            <w:pPr>
              <w:jc w:val="center"/>
              <w:ind w:left="106"/>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3"/>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4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7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9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1"/>
                <w:szCs w:val="11"/>
                <w:color w:val="auto"/>
              </w:rPr>
            </w:pPr>
          </w:p>
        </w:tc>
        <w:tc>
          <w:tcPr>
            <w:tcW w:w="7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7"/>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related</w:t>
            </w:r>
          </w:p>
        </w:tc>
        <w:tc>
          <w:tcPr>
            <w:tcW w:w="10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equity</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040" w:type="dxa"/>
            <w:vAlign w:val="bottom"/>
            <w:gridSpan w:val="2"/>
          </w:tcPr>
          <w:p>
            <w:pPr>
              <w:jc w:val="center"/>
              <w:ind w:right="26"/>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company</w:t>
            </w:r>
          </w:p>
        </w:tc>
        <w:tc>
          <w:tcPr>
            <w:tcW w:w="700" w:type="dxa"/>
            <w:vAlign w:val="bottom"/>
          </w:tcPr>
          <w:p>
            <w:pPr>
              <w:jc w:val="center"/>
              <w:ind w:left="168"/>
              <w:spacing w:after="0" w:line="135" w:lineRule="exact"/>
              <w:rPr>
                <w:sz w:val="20"/>
                <w:szCs w:val="20"/>
                <w:color w:val="auto"/>
              </w:rPr>
            </w:pPr>
            <w:r>
              <w:rPr>
                <w:rFonts w:ascii="Times New Roman" w:cs="Times New Roman" w:eastAsia="Times New Roman" w:hAnsi="Times New Roman"/>
                <w:sz w:val="14"/>
                <w:szCs w:val="14"/>
                <w:b w:val="1"/>
                <w:bCs w:val="1"/>
                <w:color w:val="auto"/>
              </w:rPr>
              <w:t>method</w:t>
            </w:r>
          </w:p>
        </w:tc>
        <w:tc>
          <w:tcPr>
            <w:tcW w:w="20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 on non-</w:t>
            </w:r>
          </w:p>
        </w:tc>
        <w:tc>
          <w:tcPr>
            <w:tcW w:w="120" w:type="dxa"/>
            <w:vAlign w:val="bottom"/>
          </w:tcPr>
          <w:p>
            <w:pPr>
              <w:spacing w:after="0"/>
              <w:rPr>
                <w:sz w:val="11"/>
                <w:szCs w:val="11"/>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8"/>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GAAP Results</w:t>
            </w:r>
          </w:p>
        </w:tc>
        <w:tc>
          <w:tcPr>
            <w:tcW w:w="120" w:type="dxa"/>
            <w:vAlign w:val="bottom"/>
          </w:tcPr>
          <w:p>
            <w:pPr>
              <w:spacing w:after="0"/>
              <w:rPr>
                <w:sz w:val="12"/>
                <w:szCs w:val="12"/>
                <w:color w:val="auto"/>
              </w:rPr>
            </w:pPr>
          </w:p>
        </w:tc>
        <w:tc>
          <w:tcPr>
            <w:tcW w:w="760" w:type="dxa"/>
            <w:vAlign w:val="bottom"/>
          </w:tcPr>
          <w:p>
            <w:pPr>
              <w:jc w:val="center"/>
              <w:ind w:right="27"/>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120" w:type="dxa"/>
            <w:vAlign w:val="bottom"/>
          </w:tcPr>
          <w:p>
            <w:pPr>
              <w:spacing w:after="0"/>
              <w:rPr>
                <w:sz w:val="12"/>
                <w:szCs w:val="12"/>
                <w:color w:val="auto"/>
              </w:rPr>
            </w:pPr>
          </w:p>
        </w:tc>
        <w:tc>
          <w:tcPr>
            <w:tcW w:w="920" w:type="dxa"/>
            <w:vAlign w:val="bottom"/>
          </w:tcPr>
          <w:p>
            <w:pPr>
              <w:jc w:val="center"/>
              <w:ind w:right="146"/>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readiness</w:t>
            </w: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00" w:type="dxa"/>
            <w:vAlign w:val="bottom"/>
            <w:vMerge w:val="continue"/>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46"/>
              <w:spacing w:after="0" w:line="202" w:lineRule="exact"/>
              <w:rPr>
                <w:sz w:val="20"/>
                <w:szCs w:val="20"/>
                <w:color w:val="auto"/>
              </w:rPr>
            </w:pPr>
            <w:r>
              <w:rPr>
                <w:rFonts w:ascii="Times New Roman" w:cs="Times New Roman" w:eastAsia="Times New Roman" w:hAnsi="Times New Roman"/>
                <w:sz w:val="14"/>
                <w:szCs w:val="14"/>
                <w:b w:val="1"/>
                <w:bCs w:val="1"/>
                <w:color w:val="auto"/>
                <w:w w:val="94"/>
              </w:rPr>
              <w:t xml:space="preserve">settled) </w:t>
            </w:r>
            <w:r>
              <w:rPr>
                <w:rFonts w:ascii="Times New Roman" w:cs="Times New Roman" w:eastAsia="Times New Roman" w:hAnsi="Times New Roman"/>
                <w:sz w:val="18"/>
                <w:szCs w:val="18"/>
                <w:b w:val="1"/>
                <w:bCs w:val="1"/>
                <w:color w:val="auto"/>
                <w:w w:val="94"/>
                <w:vertAlign w:val="superscript"/>
              </w:rPr>
              <w:t>(1)</w:t>
            </w:r>
          </w:p>
        </w:tc>
        <w:tc>
          <w:tcPr>
            <w:tcW w:w="7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costs</w:t>
            </w:r>
          </w:p>
        </w:tc>
        <w:tc>
          <w:tcPr>
            <w:tcW w:w="70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3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6</w:t>
            </w:r>
          </w:p>
        </w:tc>
        <w:tc>
          <w:tcPr>
            <w:tcW w:w="7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3"/>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4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6</w:t>
            </w: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95.4 %</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96.4 %</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96</w:t>
            </w:r>
          </w:p>
        </w:tc>
        <w:tc>
          <w:tcPr>
            <w:tcW w:w="7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44</w:t>
            </w:r>
          </w:p>
        </w:tc>
        <w:tc>
          <w:tcPr>
            <w:tcW w:w="7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14</w:t>
            </w: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3"/>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(533)</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140</w:t>
            </w: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14</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96"/>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146</w:t>
            </w: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14</w:t>
            </w: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40.3 %</w:t>
            </w:r>
          </w:p>
        </w:tc>
        <w:tc>
          <w:tcPr>
            <w:tcW w:w="0" w:type="dxa"/>
            <w:vAlign w:val="bottom"/>
          </w:tcPr>
          <w:p>
            <w:pPr>
              <w:spacing w:after="0"/>
              <w:rPr>
                <w:sz w:val="1"/>
                <w:szCs w:val="1"/>
                <w:color w:val="auto"/>
              </w:rPr>
            </w:pPr>
          </w:p>
        </w:tc>
      </w:tr>
      <w:tr>
        <w:trPr>
          <w:trHeight w:val="154"/>
        </w:trPr>
        <w:tc>
          <w:tcPr>
            <w:tcW w:w="24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Income (loss) from equity investments,</w:t>
            </w:r>
          </w:p>
        </w:tc>
        <w:tc>
          <w:tcPr>
            <w:tcW w:w="300" w:type="dxa"/>
            <w:vAlign w:val="bottom"/>
          </w:tcPr>
          <w:p>
            <w:pPr>
              <w:spacing w:after="0"/>
              <w:rPr>
                <w:sz w:val="13"/>
                <w:szCs w:val="13"/>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20" w:type="dxa"/>
            <w:vAlign w:val="bottom"/>
            <w:vMerge w:val="restart"/>
          </w:tcPr>
          <w:p>
            <w:pPr>
              <w:jc w:val="right"/>
              <w:ind w:right="10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3"/>
                <w:szCs w:val="13"/>
                <w:color w:val="auto"/>
              </w:rPr>
            </w:pPr>
          </w:p>
        </w:tc>
        <w:tc>
          <w:tcPr>
            <w:tcW w:w="7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w:t>
            </w:r>
          </w:p>
        </w:tc>
        <w:tc>
          <w:tcPr>
            <w:tcW w:w="3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30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3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4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146</w:t>
            </w:r>
          </w:p>
        </w:tc>
        <w:tc>
          <w:tcPr>
            <w:tcW w:w="7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14</w:t>
            </w: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14</w:t>
            </w:r>
          </w:p>
        </w:tc>
        <w:tc>
          <w:tcPr>
            <w:tcW w:w="7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21"/>
        </w:trPr>
        <w:tc>
          <w:tcPr>
            <w:tcW w:w="2400" w:type="dxa"/>
            <w:vAlign w:val="bottom"/>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Net income (loss) per share</w:t>
            </w: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24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400" w:type="dxa"/>
            <w:vAlign w:val="bottom"/>
          </w:tcPr>
          <w:p>
            <w:pPr>
              <w:ind w:left="160"/>
              <w:spacing w:after="0" w:line="146" w:lineRule="exact"/>
              <w:rPr>
                <w:sz w:val="20"/>
                <w:szCs w:val="20"/>
                <w:color w:val="auto"/>
              </w:rPr>
            </w:pPr>
            <w:r>
              <w:rPr>
                <w:rFonts w:ascii="Times New Roman" w:cs="Times New Roman" w:eastAsia="Times New Roman" w:hAnsi="Times New Roman"/>
                <w:sz w:val="14"/>
                <w:szCs w:val="14"/>
                <w:b w:val="1"/>
                <w:bCs w:val="1"/>
                <w:color w:val="auto"/>
              </w:rPr>
              <w:t>attributable to ordinary</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0.10</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4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left="252" w:hanging="252"/>
        <w:spacing w:after="0" w:line="271" w:lineRule="auto"/>
        <w:tabs>
          <w:tab w:leader="none" w:pos="35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Total SBC cost, including both cash and equity settled awards, was </w:t>
      </w:r>
      <w:r>
        <w:rPr>
          <w:rFonts w:ascii="Times New Roman" w:cs="Times New Roman" w:eastAsia="Times New Roman" w:hAnsi="Times New Roman"/>
          <w:sz w:val="14"/>
          <w:szCs w:val="14"/>
          <w:color w:val="231F20"/>
        </w:rPr>
        <w:t>$158 million</w:t>
      </w:r>
      <w:r>
        <w:rPr>
          <w:rFonts w:ascii="Times New Roman" w:cs="Times New Roman" w:eastAsia="Times New Roman" w:hAnsi="Times New Roman"/>
          <w:sz w:val="14"/>
          <w:szCs w:val="14"/>
          <w:color w:val="auto"/>
        </w:rPr>
        <w:t xml:space="preserve"> for the three months ended June 30, 2023. For non-GAAP purposes, we adjusted for those awards that were liability-classified prior to </w:t>
      </w:r>
      <w:r>
        <w:rPr>
          <w:rFonts w:ascii="Times New Roman" w:cs="Times New Roman" w:eastAsia="Times New Roman" w:hAnsi="Times New Roman"/>
          <w:sz w:val="14"/>
          <w:szCs w:val="14"/>
          <w:color w:val="231F20"/>
        </w:rPr>
        <w:t>the Company’s initial public offering of ADSs (the “IPO”)</w:t>
      </w:r>
      <w:r>
        <w:rPr>
          <w:rFonts w:ascii="Times New Roman" w:cs="Times New Roman" w:eastAsia="Times New Roman" w:hAnsi="Times New Roman"/>
          <w:sz w:val="14"/>
          <w:szCs w:val="14"/>
          <w:color w:val="auto"/>
        </w:rPr>
        <w:t xml:space="preserve"> but were equity settled after the IPO. Liability-classified awards were remeasured at the end of each reporting period through the date of settlement to ensure that the expense recognized for each award was equivalent to the amount paid in cash or equity settled after the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Page 17</w:t>
      </w:r>
    </w:p>
    <w:p>
      <w:pPr>
        <w:sectPr>
          <w:pgSz w:w="11900" w:h="16838" w:orient="portrait"/>
          <w:cols w:equalWidth="0" w:num="1">
            <w:col w:w="11232"/>
          </w:cols>
          <w:pgMar w:left="328" w:top="104"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Non-GAAP free cash flow to Net cash provided by (used for) operating activities, the most directly comparable GAAP cash flow measure: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3"/>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8"/>
        </w:trPr>
        <w:tc>
          <w:tcPr>
            <w:tcW w:w="5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for) operating activities</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93"/>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for:</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3"/>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Payment of intangible asset obligations</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Non-GAAP free cash flow</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18</w:t>
      </w:r>
    </w:p>
    <w:p>
      <w:pPr>
        <w:sectPr>
          <w:pgSz w:w="11900" w:h="16838" w:orient="portrait"/>
          <w:cols w:equalWidth="0" w:num="1">
            <w:col w:w="11240"/>
          </w:cols>
          <w:pgMar w:left="320" w:top="1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shareholder letter contains forward-looking statements that reflect our plans, beliefs, expectations and current views with respect to, among other things, future events and financial performance.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There are many factors that could cause or contribute to such differences, including, but not limited to, those identified below and those discussed in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in our Annual Report on Form 20-F for the fiscal year ended March 31, 2024, filed with the SEC on May 29, 2024.</w:t>
      </w:r>
    </w:p>
    <w:p>
      <w:pPr>
        <w:spacing w:after="0" w:line="18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shareholder letter contains forward-looking statements within the meaning of Section 27A of the Securities Act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future operations, results of operations and other matters that are based on our current expectations, estimates, assumptions and projections.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 inclusion of forward-looking statements in this shareholder letter should not be regarded as a representation by us or any other person that the future plans, estimates or expectations contemplated by us will be achieved or that we have conducted an exhaustive inquiry into, or review of, all potentially available relevant information. The forward-looking statements included in this shareholder letter are based on management’s current beliefs, assumptions and expectations of our future economic performance, considering the information currently available to management. While we believe such information forms a reasonable basis for such statements, such information may be limited or incomplete. Accordingly, there are, or will be, important factors that could cause our actual results to differ materially from those indicated in these statements. All such factors are difficult to predict, represent uncertainties that may materially affect actual results and may be beyond our control. New risk factors emerge from time to time, and it is not possible for management to predict all such risk factors or to assess the impact of each such risk factor on the Company. Any forward-looking statement in this shareholder letter speaks only as of the date hereof, and we do not undertake any obligation to update any forward-looking statement to reflect events or circumstances after the date of this shareholder letter except as required by applicable law. If one or more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19</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2024-07-31T15:12:17Z</dcterms:created>
  <dcterms:modified xsi:type="dcterms:W3CDTF">2024-07-31T15:12:17Z</dcterms:modified>
</cp:coreProperties>
</file>