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3891df1.htm"/>
        <w:bookmarkStart w:id="1" w:name="ksd393891df1"/>
        <w:bookmarkEnd w:id="0"/>
        <w:bookmarkEnd w:id="1"/>
        <w:r>
          <w:rPr>
            <w:rStyle w:val="InternetLink"/>
          </w:rPr>
          <w:t>Table of Contents</w:t>
        </w:r>
      </w:hyperlink>
    </w:p>
    <w:p>
      <w:pPr>
        <w:pStyle w:val="TextBody"/>
        <w:bidi w:val="0"/>
        <w:spacing w:before="0" w:after="0"/>
        <w:jc w:val="center"/>
        <w:rPr>
          <w:rFonts w:ascii="Times New Roman" w:hAnsi="Times New Roman"/>
          <w:b/>
          <w:sz w:val="14"/>
        </w:rPr>
      </w:pPr>
      <w:r>
        <w:rPr>
          <w:rFonts w:ascii="Times New Roman" w:hAnsi="Times New Roman"/>
          <w:b/>
          <w:sz w:val="14"/>
        </w:rPr>
        <w:t xml:space="preserve">As filed with the Securities and Exchange Commission on August 21, 2023. </w:t>
      </w:r>
    </w:p>
    <w:p>
      <w:pPr>
        <w:pStyle w:val="TextBody"/>
        <w:bidi w:val="0"/>
        <w:spacing w:before="0" w:after="0"/>
        <w:jc w:val="right"/>
        <w:rPr>
          <w:rFonts w:ascii="Times New Roman" w:hAnsi="Times New Roman"/>
          <w:b/>
          <w:sz w:val="14"/>
        </w:rPr>
      </w:pPr>
      <w:r>
        <w:rPr>
          <w:rFonts w:ascii="Times New Roman" w:hAnsi="Times New Roman"/>
          <w:b/>
          <w:sz w:val="14"/>
        </w:rPr>
        <w:t xml:space="preserve">Registration Statement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Form F-1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40"/>
        </w:rPr>
      </w:pPr>
      <w:r>
        <w:rPr>
          <w:rFonts w:ascii="Times New Roman" w:hAnsi="Times New Roman"/>
          <w:b/>
          <w:sz w:val="40"/>
        </w:rPr>
        <w:t xml:space="preserve">Arm Holdings Limited1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England and Wales</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3674</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Not applicable</w:t>
            </w:r>
          </w:p>
        </w:tc>
      </w:tr>
      <w:tr>
        <w:trPr/>
        <w:tc>
          <w:tcPr>
            <w:tcW w:w="3470" w:type="dxa"/>
            <w:tcBorders/>
          </w:tcPr>
          <w:p>
            <w:pPr>
              <w:pStyle w:val="TableContents"/>
              <w:bidi w:val="0"/>
              <w:spacing w:before="0" w:after="283"/>
              <w:jc w:val="center"/>
              <w:rPr>
                <w:b/>
              </w:rPr>
            </w:pPr>
            <w:r>
              <w:rPr>
                <w:b/>
              </w:rPr>
              <w:t>(State or other jurisdiction of</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(Primary Standard Industrial</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r>
          </w:p>
        </w:tc>
      </w:tr>
      <w:tr>
        <w:trPr/>
        <w:tc>
          <w:tcPr>
            <w:tcW w:w="3470" w:type="dxa"/>
            <w:tcBorders/>
          </w:tcPr>
          <w:p>
            <w:pPr>
              <w:pStyle w:val="TableContents"/>
              <w:bidi w:val="0"/>
              <w:spacing w:before="0" w:after="283"/>
              <w:jc w:val="center"/>
              <w:rPr>
                <w:b/>
              </w:rPr>
            </w:pPr>
            <w:r>
              <w:rPr>
                <w:b/>
              </w:rP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Identification Number)</w:t>
            </w:r>
          </w:p>
        </w:tc>
      </w:tr>
    </w:tbl>
    <w:p>
      <w:pPr>
        <w:pStyle w:val="TextBody"/>
        <w:bidi w:val="0"/>
        <w:spacing w:before="80" w:after="0"/>
        <w:jc w:val="center"/>
        <w:rPr>
          <w:rFonts w:ascii="Times New Roman" w:hAnsi="Times New Roman"/>
          <w:b/>
          <w:sz w:val="14"/>
        </w:rPr>
      </w:pPr>
      <w:r>
        <w:rPr>
          <w:rFonts w:ascii="Times New Roman" w:hAnsi="Times New Roman"/>
          <w:b/>
          <w:sz w:val="14"/>
        </w:rPr>
        <w:t xml:space="preserve">110 Fulbourn Road </w:t>
      </w:r>
    </w:p>
    <w:p>
      <w:pPr>
        <w:pStyle w:val="TextBody"/>
        <w:bidi w:val="0"/>
        <w:spacing w:before="0" w:after="0"/>
        <w:jc w:val="center"/>
        <w:rPr>
          <w:rFonts w:ascii="Times New Roman" w:hAnsi="Times New Roman"/>
          <w:b/>
          <w:sz w:val="14"/>
        </w:rPr>
      </w:pPr>
      <w:r>
        <w:rPr>
          <w:rFonts w:ascii="Times New Roman" w:hAnsi="Times New Roman"/>
          <w:b/>
          <w:sz w:val="14"/>
        </w:rPr>
        <w:t xml:space="preserve">Cambridge CB1 9NJ </w:t>
      </w:r>
    </w:p>
    <w:p>
      <w:pPr>
        <w:pStyle w:val="TextBody"/>
        <w:bidi w:val="0"/>
        <w:spacing w:before="0" w:after="0"/>
        <w:jc w:val="center"/>
        <w:rPr>
          <w:rFonts w:ascii="Times New Roman" w:hAnsi="Times New Roman"/>
          <w:b/>
          <w:sz w:val="14"/>
        </w:rPr>
      </w:pPr>
      <w:r>
        <w:rPr>
          <w:rFonts w:ascii="Times New Roman" w:hAnsi="Times New Roman"/>
          <w:b/>
          <w:sz w:val="14"/>
        </w:rPr>
        <w:t xml:space="preserve">United Kingdom </w:t>
      </w:r>
    </w:p>
    <w:p>
      <w:pPr>
        <w:pStyle w:val="TextBody"/>
        <w:bidi w:val="0"/>
        <w:spacing w:before="0" w:after="0"/>
        <w:jc w:val="center"/>
        <w:rPr>
          <w:rFonts w:ascii="Times New Roman" w:hAnsi="Times New Roman"/>
          <w:b/>
          <w:sz w:val="14"/>
        </w:rPr>
      </w:pPr>
      <w:r>
        <w:rPr>
          <w:rFonts w:ascii="Times New Roman" w:hAnsi="Times New Roman"/>
          <w:b/>
          <w:sz w:val="14"/>
        </w:rPr>
        <w:t xml:space="preserve">Tel: +44 (1223) 400 400 </w:t>
      </w:r>
    </w:p>
    <w:p>
      <w:pPr>
        <w:pStyle w:val="TextBody"/>
        <w:bidi w:val="0"/>
        <w:spacing w:before="0" w:after="0"/>
        <w:jc w:val="center"/>
        <w:rPr>
          <w:rFonts w:ascii="Times New Roman" w:hAnsi="Times New Roman"/>
          <w:b/>
          <w:sz w:val="12"/>
        </w:rPr>
      </w:pPr>
      <w:r>
        <w:rPr>
          <w:rFonts w:ascii="Times New Roman" w:hAnsi="Times New Roman"/>
          <w:b/>
          <w:sz w:val="12"/>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4"/>
        </w:rPr>
      </w:pPr>
      <w:r>
        <w:rPr>
          <w:rFonts w:ascii="Times New Roman" w:hAnsi="Times New Roman"/>
          <w:b/>
          <w:sz w:val="14"/>
        </w:rPr>
        <w:t xml:space="preserve">Arm, Inc. </w:t>
      </w:r>
    </w:p>
    <w:p>
      <w:pPr>
        <w:pStyle w:val="TextBody"/>
        <w:bidi w:val="0"/>
        <w:spacing w:before="0" w:after="0"/>
        <w:jc w:val="center"/>
        <w:rPr>
          <w:rFonts w:ascii="Times New Roman" w:hAnsi="Times New Roman"/>
          <w:b/>
          <w:sz w:val="14"/>
        </w:rPr>
      </w:pPr>
      <w:r>
        <w:rPr>
          <w:rFonts w:ascii="Times New Roman" w:hAnsi="Times New Roman"/>
          <w:b/>
          <w:sz w:val="14"/>
        </w:rPr>
        <w:t xml:space="preserve">120 Rose Orchard Way </w:t>
      </w:r>
    </w:p>
    <w:p>
      <w:pPr>
        <w:pStyle w:val="TextBody"/>
        <w:bidi w:val="0"/>
        <w:spacing w:before="0" w:after="0"/>
        <w:jc w:val="center"/>
        <w:rPr>
          <w:rFonts w:ascii="Times New Roman" w:hAnsi="Times New Roman"/>
          <w:b/>
          <w:sz w:val="14"/>
        </w:rPr>
      </w:pPr>
      <w:r>
        <w:rPr>
          <w:rFonts w:ascii="Times New Roman" w:hAnsi="Times New Roman"/>
          <w:b/>
          <w:sz w:val="14"/>
        </w:rPr>
        <w:t xml:space="preserve">San Jose, CA 95134 </w:t>
      </w:r>
    </w:p>
    <w:p>
      <w:pPr>
        <w:pStyle w:val="TextBody"/>
        <w:bidi w:val="0"/>
        <w:spacing w:before="0" w:after="0"/>
        <w:jc w:val="center"/>
        <w:rPr>
          <w:rFonts w:ascii="Times New Roman" w:hAnsi="Times New Roman"/>
          <w:b/>
          <w:sz w:val="14"/>
        </w:rPr>
      </w:pPr>
      <w:r>
        <w:rPr>
          <w:rFonts w:ascii="Times New Roman" w:hAnsi="Times New Roman"/>
          <w:b/>
          <w:sz w:val="14"/>
        </w:rPr>
        <w:t xml:space="preserve">Tel: +1 (408) 576-1500 </w:t>
      </w:r>
    </w:p>
    <w:p>
      <w:pPr>
        <w:pStyle w:val="TextBody"/>
        <w:bidi w:val="0"/>
        <w:spacing w:before="0" w:after="0"/>
        <w:jc w:val="center"/>
        <w:rPr>
          <w:rFonts w:ascii="Times New Roman" w:hAnsi="Times New Roman"/>
          <w:b/>
          <w:sz w:val="12"/>
        </w:rPr>
      </w:pPr>
      <w:r>
        <w:rPr>
          <w:rFonts w:ascii="Times New Roman" w:hAnsi="Times New Roman"/>
          <w:b/>
          <w:sz w:val="12"/>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i/>
          <w:sz w:val="14"/>
        </w:rPr>
      </w:pPr>
      <w:r>
        <w:rPr>
          <w:rFonts w:ascii="Times New Roman" w:hAnsi="Times New Roman"/>
          <w:b/>
          <w:i/>
          <w:sz w:val="14"/>
        </w:rPr>
        <w:t xml:space="preserve">Copies of all communications, including communications sent to agent for service, should be sent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0"/>
        <w:gridCol w:w="3267"/>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b/>
                <w:sz w:val="14"/>
              </w:rPr>
            </w:pPr>
            <w:r>
              <w:rPr>
                <w:rFonts w:ascii="Times New Roman" w:hAnsi="Times New Roman"/>
                <w:b/>
                <w:sz w:val="14"/>
              </w:rPr>
              <w:t>Justin R. Salon</w:t>
            </w:r>
          </w:p>
          <w:p>
            <w:pPr>
              <w:pStyle w:val="TableContents"/>
              <w:bidi w:val="0"/>
              <w:spacing w:before="0" w:after="0"/>
              <w:jc w:val="center"/>
              <w:rPr>
                <w:rFonts w:ascii="Times New Roman" w:hAnsi="Times New Roman"/>
                <w:b/>
                <w:sz w:val="14"/>
              </w:rPr>
            </w:pPr>
            <w:r>
              <w:rPr>
                <w:rFonts w:ascii="Times New Roman" w:hAnsi="Times New Roman"/>
                <w:b/>
                <w:sz w:val="14"/>
              </w:rPr>
              <w:t>R. John Hensley</w:t>
            </w:r>
          </w:p>
          <w:p>
            <w:pPr>
              <w:pStyle w:val="TableContents"/>
              <w:bidi w:val="0"/>
              <w:spacing w:before="0" w:after="0"/>
              <w:jc w:val="center"/>
              <w:rPr>
                <w:rFonts w:ascii="Times New Roman" w:hAnsi="Times New Roman"/>
                <w:b/>
                <w:sz w:val="14"/>
              </w:rPr>
            </w:pPr>
            <w:r>
              <w:rPr>
                <w:rFonts w:ascii="Times New Roman" w:hAnsi="Times New Roman"/>
                <w:b/>
                <w:sz w:val="14"/>
              </w:rPr>
              <w:t>John T. Owen</w:t>
            </w:r>
          </w:p>
          <w:p>
            <w:pPr>
              <w:pStyle w:val="TableContents"/>
              <w:bidi w:val="0"/>
              <w:spacing w:before="0" w:after="0"/>
              <w:jc w:val="center"/>
              <w:rPr>
                <w:rFonts w:ascii="Times New Roman" w:hAnsi="Times New Roman"/>
                <w:b/>
                <w:sz w:val="14"/>
              </w:rPr>
            </w:pPr>
            <w:r>
              <w:rPr>
                <w:rFonts w:ascii="Times New Roman" w:hAnsi="Times New Roman"/>
                <w:b/>
                <w:sz w:val="14"/>
              </w:rPr>
              <w:t>Morrison &amp; Foerster LLP</w:t>
            </w:r>
          </w:p>
          <w:p>
            <w:pPr>
              <w:pStyle w:val="TableContents"/>
              <w:bidi w:val="0"/>
              <w:spacing w:before="0" w:after="0"/>
              <w:jc w:val="center"/>
              <w:rPr>
                <w:rFonts w:ascii="Times New Roman" w:hAnsi="Times New Roman"/>
                <w:b/>
                <w:sz w:val="14"/>
              </w:rPr>
            </w:pPr>
            <w:r>
              <w:rPr>
                <w:rFonts w:ascii="Times New Roman" w:hAnsi="Times New Roman"/>
                <w:b/>
                <w:sz w:val="14"/>
              </w:rPr>
              <w:t>2100 L Street, NW, Suite 900</w:t>
            </w:r>
          </w:p>
          <w:p>
            <w:pPr>
              <w:pStyle w:val="TableContents"/>
              <w:bidi w:val="0"/>
              <w:spacing w:before="0" w:after="0"/>
              <w:jc w:val="center"/>
              <w:rPr>
                <w:rFonts w:ascii="Times New Roman" w:hAnsi="Times New Roman"/>
                <w:b/>
                <w:sz w:val="14"/>
              </w:rPr>
            </w:pPr>
            <w:r>
              <w:rPr>
                <w:rFonts w:ascii="Times New Roman" w:hAnsi="Times New Roman"/>
                <w:b/>
                <w:sz w:val="14"/>
              </w:rPr>
              <w:t>Washington, D.C. 20037</w:t>
            </w:r>
          </w:p>
          <w:p>
            <w:pPr>
              <w:pStyle w:val="TableContents"/>
              <w:bidi w:val="0"/>
              <w:spacing w:before="0" w:after="20"/>
              <w:jc w:val="center"/>
              <w:rPr>
                <w:rFonts w:ascii="Times New Roman" w:hAnsi="Times New Roman"/>
                <w:b/>
                <w:sz w:val="14"/>
              </w:rPr>
            </w:pPr>
            <w:r>
              <w:rPr>
                <w:rFonts w:ascii="Times New Roman" w:hAnsi="Times New Roman"/>
                <w:b/>
                <w:sz w:val="14"/>
              </w:rPr>
              <w:t>+1 (202) 887-1500</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Kenneth A. Siegel</w:t>
            </w:r>
          </w:p>
          <w:p>
            <w:pPr>
              <w:pStyle w:val="TableContents"/>
              <w:bidi w:val="0"/>
              <w:spacing w:before="0" w:after="0"/>
              <w:jc w:val="center"/>
              <w:rPr>
                <w:rFonts w:ascii="Times New Roman" w:hAnsi="Times New Roman"/>
                <w:b/>
                <w:sz w:val="14"/>
              </w:rPr>
            </w:pPr>
            <w:r>
              <w:rPr>
                <w:rFonts w:ascii="Times New Roman" w:hAnsi="Times New Roman"/>
                <w:b/>
                <w:sz w:val="14"/>
              </w:rPr>
              <w:t>Jesse S. Gillespie</w:t>
            </w:r>
          </w:p>
          <w:p>
            <w:pPr>
              <w:pStyle w:val="TableContents"/>
              <w:bidi w:val="0"/>
              <w:spacing w:before="0" w:after="0"/>
              <w:jc w:val="center"/>
              <w:rPr>
                <w:rFonts w:ascii="Times New Roman" w:hAnsi="Times New Roman"/>
                <w:b/>
                <w:sz w:val="14"/>
              </w:rPr>
            </w:pPr>
            <w:r>
              <w:rPr>
                <w:rFonts w:ascii="Times New Roman" w:hAnsi="Times New Roman"/>
                <w:b/>
                <w:sz w:val="14"/>
              </w:rPr>
              <w:t>Morrison &amp; Foerster LLP</w:t>
            </w:r>
          </w:p>
          <w:p>
            <w:pPr>
              <w:pStyle w:val="TableContents"/>
              <w:bidi w:val="0"/>
              <w:spacing w:before="0" w:after="0"/>
              <w:jc w:val="center"/>
              <w:rPr>
                <w:rFonts w:ascii="Times New Roman" w:hAnsi="Times New Roman"/>
                <w:b/>
                <w:sz w:val="14"/>
              </w:rPr>
            </w:pPr>
            <w:r>
              <w:rPr>
                <w:rFonts w:ascii="Times New Roman" w:hAnsi="Times New Roman"/>
                <w:b/>
                <w:sz w:val="14"/>
              </w:rPr>
              <w:t>Shin-Marunouchi Building, 29th Floor</w:t>
            </w:r>
          </w:p>
          <w:p>
            <w:pPr>
              <w:pStyle w:val="TableContents"/>
              <w:bidi w:val="0"/>
              <w:spacing w:before="0" w:after="0"/>
              <w:jc w:val="center"/>
              <w:rPr>
                <w:rFonts w:ascii="Times New Roman" w:hAnsi="Times New Roman"/>
                <w:b/>
                <w:sz w:val="14"/>
              </w:rPr>
            </w:pPr>
            <w:r>
              <w:rPr>
                <w:rFonts w:ascii="Times New Roman" w:hAnsi="Times New Roman"/>
                <w:b/>
                <w:sz w:val="14"/>
              </w:rPr>
              <w:t>5-1, Marunouchi 1-Chome</w:t>
            </w:r>
          </w:p>
          <w:p>
            <w:pPr>
              <w:pStyle w:val="TableContents"/>
              <w:bidi w:val="0"/>
              <w:spacing w:before="0" w:after="0"/>
              <w:jc w:val="center"/>
              <w:rPr>
                <w:rFonts w:ascii="Times New Roman" w:hAnsi="Times New Roman"/>
                <w:b/>
                <w:sz w:val="14"/>
              </w:rPr>
            </w:pPr>
            <w:r>
              <w:rPr>
                <w:rFonts w:ascii="Times New Roman" w:hAnsi="Times New Roman"/>
                <w:b/>
                <w:sz w:val="14"/>
              </w:rPr>
              <w:t>Chiyoda-ku, Tokyo, Japan 100-6529</w:t>
            </w:r>
          </w:p>
          <w:p>
            <w:pPr>
              <w:pStyle w:val="TableContents"/>
              <w:bidi w:val="0"/>
              <w:spacing w:before="0" w:after="20"/>
              <w:jc w:val="center"/>
              <w:rPr>
                <w:rFonts w:ascii="Times New Roman" w:hAnsi="Times New Roman"/>
                <w:b/>
                <w:sz w:val="14"/>
              </w:rPr>
            </w:pPr>
            <w:r>
              <w:rPr>
                <w:rFonts w:ascii="Times New Roman" w:hAnsi="Times New Roman"/>
                <w:b/>
                <w:sz w:val="14"/>
              </w:rPr>
              <w:t>+81-3 3214 6522</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Richard D. Truesdell, Jr.</w:t>
            </w:r>
          </w:p>
          <w:p>
            <w:pPr>
              <w:pStyle w:val="TableContents"/>
              <w:bidi w:val="0"/>
              <w:spacing w:before="0" w:after="0"/>
              <w:jc w:val="center"/>
              <w:rPr>
                <w:rFonts w:ascii="Times New Roman" w:hAnsi="Times New Roman"/>
                <w:b/>
                <w:sz w:val="14"/>
              </w:rPr>
            </w:pPr>
            <w:r>
              <w:rPr>
                <w:rFonts w:ascii="Times New Roman" w:hAnsi="Times New Roman"/>
                <w:b/>
                <w:sz w:val="14"/>
              </w:rPr>
              <w:t>Derek J. Dostal</w:t>
            </w:r>
          </w:p>
          <w:p>
            <w:pPr>
              <w:pStyle w:val="TableContents"/>
              <w:bidi w:val="0"/>
              <w:spacing w:before="0" w:after="0"/>
              <w:jc w:val="center"/>
              <w:rPr>
                <w:rFonts w:ascii="Times New Roman" w:hAnsi="Times New Roman"/>
                <w:b/>
                <w:sz w:val="14"/>
              </w:rPr>
            </w:pPr>
            <w:r>
              <w:rPr>
                <w:rFonts w:ascii="Times New Roman" w:hAnsi="Times New Roman"/>
                <w:b/>
                <w:sz w:val="14"/>
              </w:rPr>
              <w:t>Davis Polk &amp; Wardwell LLP</w:t>
            </w:r>
          </w:p>
          <w:p>
            <w:pPr>
              <w:pStyle w:val="TableContents"/>
              <w:bidi w:val="0"/>
              <w:spacing w:before="0" w:after="0"/>
              <w:jc w:val="center"/>
              <w:rPr>
                <w:rFonts w:ascii="Times New Roman" w:hAnsi="Times New Roman"/>
                <w:b/>
                <w:sz w:val="14"/>
              </w:rPr>
            </w:pPr>
            <w:r>
              <w:rPr>
                <w:rFonts w:ascii="Times New Roman" w:hAnsi="Times New Roman"/>
                <w:b/>
                <w:sz w:val="14"/>
              </w:rPr>
              <w:t>450 Lexington Avenue</w:t>
            </w:r>
          </w:p>
          <w:p>
            <w:pPr>
              <w:pStyle w:val="TableContents"/>
              <w:bidi w:val="0"/>
              <w:spacing w:before="0" w:after="0"/>
              <w:jc w:val="center"/>
              <w:rPr>
                <w:rFonts w:ascii="Times New Roman" w:hAnsi="Times New Roman"/>
                <w:b/>
                <w:sz w:val="14"/>
              </w:rPr>
            </w:pPr>
            <w:r>
              <w:rPr>
                <w:rFonts w:ascii="Times New Roman" w:hAnsi="Times New Roman"/>
                <w:b/>
                <w:sz w:val="14"/>
              </w:rPr>
              <w:t>New York, New York 10017</w:t>
            </w:r>
          </w:p>
          <w:p>
            <w:pPr>
              <w:pStyle w:val="TableContents"/>
              <w:bidi w:val="0"/>
              <w:spacing w:before="0" w:after="20"/>
              <w:jc w:val="center"/>
              <w:rPr>
                <w:rFonts w:ascii="Times New Roman" w:hAnsi="Times New Roman"/>
                <w:b/>
                <w:sz w:val="14"/>
              </w:rPr>
            </w:pPr>
            <w:r>
              <w:rPr>
                <w:rFonts w:ascii="Times New Roman" w:hAnsi="Times New Roman"/>
                <w:b/>
                <w:sz w:val="14"/>
              </w:rPr>
              <w:t>+1 (212) 450-4000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4"/>
        </w:rPr>
      </w:pPr>
      <w:r>
        <w:rPr>
          <w:rFonts w:ascii="Times New Roman" w:hAnsi="Times New Roman"/>
          <w:b/>
          <w:sz w:val="14"/>
        </w:rPr>
        <w:t xml:space="preserve">Approximate date of commencement of proposed sale to public: </w:t>
      </w:r>
    </w:p>
    <w:p>
      <w:pPr>
        <w:pStyle w:val="TextBody"/>
        <w:bidi w:val="0"/>
        <w:spacing w:before="0" w:after="0"/>
        <w:jc w:val="center"/>
        <w:rPr>
          <w:rFonts w:ascii="Times New Roman" w:hAnsi="Times New Roman"/>
          <w:b/>
          <w:sz w:val="14"/>
        </w:rPr>
      </w:pPr>
      <w:r>
        <w:rPr>
          <w:rFonts w:ascii="Times New Roman" w:hAnsi="Times New Roman"/>
          <w:b/>
          <w:sz w:val="14"/>
        </w:rPr>
        <w:t xml:space="preserve">As soon as practicable after this registration statement becomes effective. </w:t>
      </w:r>
    </w:p>
    <w:p>
      <w:pPr>
        <w:pStyle w:val="TextBody"/>
        <w:bidi w:val="0"/>
        <w:spacing w:before="80" w:after="0"/>
        <w:jc w:val="left"/>
        <w:rPr>
          <w:rFonts w:ascii="Times New Roman" w:hAnsi="Times New Roman"/>
          <w:sz w:val="14"/>
        </w:rPr>
      </w:pPr>
      <w:r>
        <w:rPr>
          <w:rFonts w:ascii="Times New Roman" w:hAnsi="Times New Roman"/>
          <w:sz w:val="14"/>
        </w:rPr>
        <w:t xml:space="preserve">If any of the securities being registered on this Form are to be offered on a delayed or continuous basis pursuant to Rule 415 under the Securities Act of 1933, check the following box.  ☐ </w:t>
      </w:r>
    </w:p>
    <w:p>
      <w:pPr>
        <w:pStyle w:val="TextBody"/>
        <w:bidi w:val="0"/>
        <w:spacing w:before="80" w:after="0"/>
        <w:jc w:val="left"/>
        <w:rPr>
          <w:rFonts w:ascii="Times New Roman" w:hAnsi="Times New Roman"/>
          <w:sz w:val="14"/>
        </w:rPr>
      </w:pPr>
      <w:r>
        <w:rPr>
          <w:rFonts w:ascii="Times New Roman" w:hAnsi="Times New Roman"/>
          <w:sz w:val="14"/>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4"/>
        </w:rPr>
      </w:pPr>
      <w:r>
        <w:rPr>
          <w:rFonts w:ascii="Times New Roman" w:hAnsi="Times New Roman"/>
          <w:sz w:val="14"/>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4"/>
        </w:rPr>
      </w:pPr>
      <w:r>
        <w:rPr>
          <w:rFonts w:ascii="Times New Roman" w:hAnsi="Times New Roman"/>
          <w:sz w:val="14"/>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4"/>
        </w:rPr>
      </w:pPr>
      <w:r>
        <w:rPr>
          <w:rFonts w:ascii="Times New Roman" w:hAnsi="Times New Roman"/>
          <w:sz w:val="14"/>
        </w:rPr>
        <w:t xml:space="preserve">Indicate by check mark whether the registrant is an emerging growth company as defined in Rule 405 of the Securities Act. </w:t>
      </w:r>
    </w:p>
    <w:p>
      <w:pPr>
        <w:pStyle w:val="TextBody"/>
        <w:bidi w:val="0"/>
        <w:spacing w:before="0" w:after="0"/>
        <w:jc w:val="right"/>
        <w:rPr>
          <w:rFonts w:ascii="Times New Roman" w:hAnsi="Times New Roman"/>
          <w:sz w:val="14"/>
        </w:rPr>
      </w:pPr>
      <w:r>
        <w:rPr>
          <w:rFonts w:ascii="Times New Roman" w:hAnsi="Times New Roman"/>
          <w:sz w:val="14"/>
        </w:rPr>
        <w:t xml:space="preserve">Emerging growth company  ☐ </w:t>
      </w:r>
    </w:p>
    <w:p>
      <w:pPr>
        <w:pStyle w:val="TextBody"/>
        <w:bidi w:val="0"/>
        <w:spacing w:before="80" w:after="0"/>
        <w:jc w:val="left"/>
        <w:rPr>
          <w:rFonts w:ascii="Times New Roman" w:hAnsi="Times New Roman"/>
          <w:sz w:val="14"/>
        </w:rPr>
      </w:pPr>
      <w:r>
        <w:rPr>
          <w:rFonts w:ascii="Times New Roman" w:hAnsi="Times New Roman"/>
          <w:sz w:val="14"/>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0"/>
        <w:jc w:val="left"/>
        <w:rPr>
          <w:rFonts w:ascii="Times New Roman" w:hAnsi="Times New Roman"/>
          <w:b/>
          <w:sz w:val="14"/>
        </w:rPr>
      </w:pPr>
      <w:r>
        <w:rPr>
          <w:rFonts w:ascii="Times New Roman" w:hAnsi="Times New Roman"/>
          <w:b/>
          <w:sz w:val="14"/>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shall determine.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98"/>
        <w:gridCol w:w="9907"/>
      </w:tblGrid>
      <w:tr>
        <w:trPr/>
        <w:tc>
          <w:tcPr>
            <w:tcW w:w="298" w:type="dxa"/>
            <w:tcBorders/>
          </w:tcPr>
          <w:p>
            <w:pPr>
              <w:pStyle w:val="TableContents"/>
              <w:bidi w:val="0"/>
              <w:spacing w:before="0" w:after="283"/>
              <w:jc w:val="left"/>
              <w:rPr/>
            </w:pPr>
            <w:r>
              <w:rPr/>
              <w:t></w:t>
            </w:r>
          </w:p>
        </w:tc>
        <w:tc>
          <w:tcPr>
            <w:tcW w:w="9907" w:type="dxa"/>
            <w:tcBorders/>
          </w:tcPr>
          <w:p>
            <w:pPr>
              <w:pStyle w:val="TableContents"/>
              <w:bidi w:val="0"/>
              <w:spacing w:before="0" w:after="0"/>
              <w:jc w:val="left"/>
              <w:rPr>
                <w:rFonts w:ascii="Times New Roman" w:hAnsi="Times New Roman"/>
                <w:sz w:val="14"/>
              </w:rPr>
            </w:pPr>
            <w:r>
              <w:rPr>
                <w:rFonts w:ascii="Times New Roman" w:hAnsi="Times New Roman"/>
                <w:sz w:val="14"/>
              </w:rPr>
              <w:t xml:space="preserve">The term new or revised financial accounting standard refers to any update issued by the Financial Accounting Standards Board to its Accounting Standards Codification after April 5, 2012.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w:t>
            </w:r>
          </w:p>
        </w:tc>
        <w:tc>
          <w:tcPr>
            <w:tcW w:w="9900" w:type="dxa"/>
            <w:tcBorders/>
          </w:tcPr>
          <w:p>
            <w:pPr>
              <w:pStyle w:val="TableContents"/>
              <w:bidi w:val="0"/>
              <w:spacing w:before="0" w:after="0"/>
              <w:jc w:val="left"/>
              <w:rPr>
                <w:rFonts w:ascii="Times New Roman" w:hAnsi="Times New Roman"/>
                <w:sz w:val="14"/>
              </w:rPr>
            </w:pPr>
            <w:r>
              <w:rPr>
                <w:rFonts w:ascii="Times New Roman" w:hAnsi="Times New Roman"/>
                <w:sz w:val="14"/>
              </w:rPr>
              <w:t xml:space="preserve">Arm Holdings Limited, a company with limited liability incorporated under the laws of England and Wales, will become the holding company of Arm Limited and will be the Registrant. We intend to alter the legal status of the Registrant under English law from a private limited company by re-registering as a public limited company and changing the name of the Registrant from Arm Holdings Limited to Arm Holdings plc prior to the completion of this offering. See the section titled Corporate Reorganization in the prospectus which forms a part of this registration statement.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contained in this prospectus is not complete and may be changed. The selling shareholder may not sell these securities until the registration statement filed with the Securities and Exchange Commission is effective. This prospectus is not an offer to sell these securities and the selling shareholder is not soliciting offers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Prospectus dated August 21, 2023. </w:t>
      </w:r>
    </w:p>
    <w:p>
      <w:pPr>
        <w:pStyle w:val="TextBody"/>
        <w:bidi w:val="0"/>
        <w:spacing w:before="240" w:after="0"/>
        <w:jc w:val="center"/>
        <w:rPr>
          <w:rFonts w:ascii="Times New Roman" w:hAnsi="Times New Roman"/>
          <w:b/>
          <w:sz w:val="36"/>
        </w:rPr>
      </w:pPr>
      <w:r>
        <w:rPr>
          <w:rFonts w:ascii="Times New Roman" w:hAnsi="Times New Roman"/>
          <w:b/>
          <w:sz w:val="36"/>
        </w:rPr>
        <w:t xml:space="preserve">American Depositary Shares </w:t>
      </w:r>
    </w:p>
    <w:p>
      <w:pPr>
        <w:pStyle w:val="TextBody"/>
        <w:bidi w:val="0"/>
        <w:spacing w:before="0" w:after="0"/>
        <w:jc w:val="center"/>
        <w:rPr>
          <w:rFonts w:ascii="Times New Roman" w:hAnsi="Times New Roman"/>
          <w:b/>
          <w:sz w:val="36"/>
        </w:rPr>
      </w:pPr>
      <w:r>
        <w:rPr>
          <w:rFonts w:ascii="Times New Roman" w:hAnsi="Times New Roman"/>
          <w:b/>
          <w:sz w:val="36"/>
        </w:rPr>
        <w:t xml:space="preserve">(Representing              Ordinary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0820" cy="679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820" cy="679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19"/>
        </w:rPr>
      </w:pPr>
      <w:r>
        <w:rPr>
          <w:rFonts w:ascii="Times New Roman" w:hAnsi="Times New Roman"/>
          <w:sz w:val="19"/>
        </w:rPr>
        <w:t xml:space="preserve">This is an initial offering of American depositary shares (ADSs) representing ordinary shares of Arm Holdings plc. </w:t>
      </w:r>
    </w:p>
    <w:p>
      <w:pPr>
        <w:pStyle w:val="TextBody"/>
        <w:bidi w:val="0"/>
        <w:spacing w:before="160" w:after="0"/>
        <w:jc w:val="left"/>
        <w:rPr>
          <w:rFonts w:ascii="Times New Roman" w:hAnsi="Times New Roman"/>
          <w:sz w:val="19"/>
        </w:rPr>
      </w:pPr>
      <w:r>
        <w:rPr>
          <w:rFonts w:ascii="Times New Roman" w:hAnsi="Times New Roman"/>
          <w:sz w:val="19"/>
        </w:rPr>
        <w:t xml:space="preserve">All of the ADSs to be sold in this offering are currently held by the selling shareholder identified in this prospectus. We are not selling any of the ADSs in this offering and will not receive any proceeds from the sale of the ADSs by the selling shareholder in this offering. Each ADS represents the right to receive one ordinary share, nominal value £0.001 per share, and may be evidenced by American depositary receipts (ADRs). </w:t>
      </w:r>
    </w:p>
    <w:p>
      <w:pPr>
        <w:pStyle w:val="TextBody"/>
        <w:bidi w:val="0"/>
        <w:spacing w:before="160" w:after="0"/>
        <w:jc w:val="left"/>
        <w:rPr>
          <w:rFonts w:ascii="Times New Roman" w:hAnsi="Times New Roman"/>
          <w:sz w:val="19"/>
        </w:rPr>
      </w:pPr>
      <w:r>
        <w:rPr>
          <w:rFonts w:ascii="Times New Roman" w:hAnsi="Times New Roman"/>
          <w:sz w:val="19"/>
        </w:rPr>
        <w:t xml:space="preserve">Prior to this offering, there has been no public market for the ADSs or our ordinary shares. The initial public offering price per ADS is estimated to be between $         and $        . We have applied to list our ADSs on the Nasdaq Global Select Market (Nasdaq) under the symbol ARM. </w:t>
      </w:r>
    </w:p>
    <w:p>
      <w:pPr>
        <w:pStyle w:val="TextBody"/>
        <w:bidi w:val="0"/>
        <w:spacing w:before="160" w:after="0"/>
        <w:jc w:val="left"/>
        <w:rPr>
          <w:rFonts w:ascii="Times New Roman" w:hAnsi="Times New Roman"/>
          <w:sz w:val="19"/>
        </w:rPr>
      </w:pPr>
      <w:r>
        <w:rPr>
          <w:rFonts w:ascii="Times New Roman" w:hAnsi="Times New Roman"/>
          <w:sz w:val="19"/>
        </w:rPr>
        <w:t xml:space="preserve">We are a foreign private issuer as defined under the U.S. federal securities laws and, as such, will be subject to reduced public company reporting and stock exchange governance requirements. See Management and Executive RemunerationForeign Private Issuer Exemption for additional information. </w:t>
      </w:r>
    </w:p>
    <w:p>
      <w:pPr>
        <w:pStyle w:val="TextBody"/>
        <w:bidi w:val="0"/>
        <w:spacing w:before="160" w:after="0"/>
        <w:jc w:val="left"/>
        <w:rPr>
          <w:rFonts w:ascii="Times New Roman" w:hAnsi="Times New Roman"/>
          <w:sz w:val="19"/>
        </w:rPr>
      </w:pPr>
      <w:r>
        <w:rPr>
          <w:rFonts w:ascii="Times New Roman" w:hAnsi="Times New Roman"/>
          <w:sz w:val="19"/>
        </w:rPr>
        <w:t xml:space="preserve">SoftBank Group Corp. (SoftBank Group) is expected to beneficially own approximately     % of our outstanding ordinary shares following the completion of this offering (or approximately     % if the underwriters exercise in full their option to purchase additional ADSs from the selling shareholder). As a result of SoftBank Groups ownership, after the completion of this offering, we will be a controlled company within the meaning of Nasdaq rules. See Management and Executive RemunerationControlled Company Status.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pPr>
      <w:r>
        <w:rPr>
          <w:rFonts w:ascii="Times New Roman" w:hAnsi="Times New Roman"/>
          <w:b/>
          <w:sz w:val="24"/>
        </w:rPr>
        <w:t>Investing in our ADSs involves a high degree of risk. Before buying any ADSs, you should carefully read the discussion of material risks of investing in our ADSs in </w:t>
      </w:r>
      <w:hyperlink w:anchor="rom393891_10">
        <w:r>
          <w:rPr>
            <w:rStyle w:val="InternetLink"/>
            <w:rFonts w:ascii="Times New Roman" w:hAnsi="Times New Roman"/>
            <w:b/>
            <w:sz w:val="24"/>
          </w:rPr>
          <w:t>Risk Factors</w:t>
        </w:r>
      </w:hyperlink>
      <w:r>
        <w:rPr>
          <w:rFonts w:ascii="Times New Roman" w:hAnsi="Times New Roman"/>
          <w:b/>
          <w:sz w:val="24"/>
        </w:rPr>
        <w:t xml:space="preserve"> beginning on page 21 of this 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9"/>
        <w:gridCol w:w="354"/>
        <w:gridCol w:w="213"/>
        <w:gridCol w:w="830"/>
        <w:gridCol w:w="60"/>
        <w:gridCol w:w="354"/>
        <w:gridCol w:w="170"/>
        <w:gridCol w:w="660"/>
        <w:gridCol w:w="65"/>
      </w:tblGrid>
      <w:tr>
        <w:trPr/>
        <w:tc>
          <w:tcPr>
            <w:tcW w:w="504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4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pPr>
            <w:r>
              <w:rPr/>
              <w:t>PER ADS</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65" w:type="dxa"/>
            <w:tcBorders/>
            <w:vAlign w:val="bottom"/>
          </w:tcPr>
          <w:p>
            <w:pPr>
              <w:pStyle w:val="TableContents"/>
              <w:bidi w:val="0"/>
              <w:spacing w:before="0" w:after="283"/>
              <w:jc w:val="left"/>
              <w:rPr/>
            </w:pPr>
            <w:r>
              <w:rPr/>
              <w:t> </w:t>
            </w:r>
          </w:p>
        </w:tc>
      </w:tr>
      <w:tr>
        <w:trPr/>
        <w:tc>
          <w:tcPr>
            <w:tcW w:w="504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Initial public offering price</w:t>
            </w:r>
          </w:p>
        </w:tc>
        <w:tc>
          <w:tcPr>
            <w:tcW w:w="3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049" w:type="dxa"/>
            <w:tcBorders/>
          </w:tcPr>
          <w:p>
            <w:pPr>
              <w:pStyle w:val="TableContents"/>
              <w:bidi w:val="0"/>
              <w:spacing w:before="0" w:after="0"/>
              <w:jc w:val="left"/>
              <w:rPr>
                <w:rFonts w:ascii="Times New Roman" w:hAnsi="Times New Roman"/>
                <w:sz w:val="19"/>
              </w:rPr>
            </w:pPr>
            <w:r>
              <w:rPr>
                <w:rFonts w:ascii="Times New Roman" w:hAnsi="Times New Roman"/>
                <w:sz w:val="19"/>
              </w:rPr>
              <w:t>Underwriting discounts and commissions</w:t>
            </w:r>
          </w:p>
        </w:tc>
        <w:tc>
          <w:tcPr>
            <w:tcW w:w="35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6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04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Proceeds, before expenses, to the selling shareholder</w:t>
            </w:r>
          </w:p>
        </w:tc>
        <w:tc>
          <w:tcPr>
            <w:tcW w:w="3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6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p>
      <w:pPr>
        <w:pStyle w:val="TextBody"/>
        <w:bidi w:val="0"/>
        <w:spacing w:before="160" w:after="0"/>
        <w:jc w:val="left"/>
        <w:rPr>
          <w:rFonts w:ascii="Times New Roman" w:hAnsi="Times New Roman"/>
          <w:sz w:val="19"/>
        </w:rPr>
      </w:pPr>
      <w:r>
        <w:rPr>
          <w:rFonts w:ascii="Times New Roman" w:hAnsi="Times New Roman"/>
          <w:sz w:val="19"/>
        </w:rPr>
        <w:t xml:space="preserve">The underwriters may also exercise their option to purchase up to an additional              ADSs from the selling shareholder at the initial public offering price, less the underwriting discounts and commissions, for 30 days after the date of the final prospectus. We will not receive any proceeds from the sale of such additional ADSs by the selling shareholder. </w:t>
      </w:r>
    </w:p>
    <w:p>
      <w:pPr>
        <w:pStyle w:val="TextBody"/>
        <w:bidi w:val="0"/>
        <w:spacing w:before="120" w:after="0"/>
        <w:jc w:val="left"/>
        <w:rPr>
          <w:rFonts w:ascii="Times New Roman" w:hAnsi="Times New Roman"/>
          <w:sz w:val="19"/>
        </w:rPr>
      </w:pPr>
      <w:r>
        <w:rPr>
          <w:rFonts w:ascii="Times New Roman" w:hAnsi="Times New Roman"/>
          <w:sz w:val="19"/>
        </w:rPr>
        <w:t xml:space="preserve">Raine Securities LLC is acting as our financial advisor in connection with this offering. </w:t>
      </w:r>
    </w:p>
    <w:p>
      <w:pPr>
        <w:pStyle w:val="TextBody"/>
        <w:bidi w:val="0"/>
        <w:spacing w:before="160" w:after="0"/>
        <w:jc w:val="left"/>
        <w:rPr>
          <w:rFonts w:ascii="Times New Roman" w:hAnsi="Times New Roman"/>
          <w:sz w:val="19"/>
        </w:rPr>
      </w:pPr>
      <w:r>
        <w:rPr>
          <w:rFonts w:ascii="Times New Roman" w:hAnsi="Times New Roman"/>
          <w:sz w:val="19"/>
        </w:rPr>
        <w:t xml:space="preserve">The underwriters expect to deliver the ADSs against payment in U.S. dollars to purchasers on or about                 , 2023. </w:t>
      </w:r>
    </w:p>
    <w:p>
      <w:pPr>
        <w:pStyle w:val="TextBody"/>
        <w:bidi w:val="0"/>
        <w:spacing w:before="160" w:after="0"/>
        <w:jc w:val="left"/>
        <w:rPr>
          <w:rFonts w:ascii="Times New Roman" w:hAnsi="Times New Roman"/>
          <w:b/>
          <w:sz w:val="19"/>
        </w:rPr>
      </w:pPr>
      <w:r>
        <w:rPr>
          <w:rFonts w:ascii="Times New Roman" w:hAnsi="Times New Roman"/>
          <w:b/>
          <w:sz w:val="19"/>
        </w:rPr>
        <w:t xml:space="preserve">Neither the Securities and Exchange Commission nor any U.S.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4"/>
        <w:gridCol w:w="101"/>
        <w:gridCol w:w="2889"/>
        <w:gridCol w:w="101"/>
        <w:gridCol w:w="2497"/>
        <w:gridCol w:w="101"/>
        <w:gridCol w:w="2292"/>
      </w:tblGrid>
      <w:tr>
        <w:trPr/>
        <w:tc>
          <w:tcPr>
            <w:tcW w:w="22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b/>
              </w:rPr>
            </w:pPr>
            <w:r>
              <w:rPr>
                <w:b/>
              </w:rPr>
              <w:t>Barclays</w:t>
            </w:r>
          </w:p>
        </w:tc>
        <w:tc>
          <w:tcPr>
            <w:tcW w:w="101" w:type="dxa"/>
            <w:tcBorders/>
            <w:vAlign w:val="bottom"/>
          </w:tcPr>
          <w:p>
            <w:pPr>
              <w:pStyle w:val="TableContents"/>
              <w:bidi w:val="0"/>
              <w:spacing w:before="0" w:after="283"/>
              <w:jc w:val="left"/>
              <w:rPr/>
            </w:pPr>
            <w:r>
              <w:rPr/>
              <w:t> </w:t>
            </w:r>
          </w:p>
        </w:tc>
        <w:tc>
          <w:tcPr>
            <w:tcW w:w="2889"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right"/>
              <w:rPr>
                <w:b/>
              </w:rPr>
            </w:pPr>
            <w:r>
              <w:rPr>
                <w:b/>
              </w:rPr>
              <w:t>J.P. Morgan</w:t>
            </w:r>
          </w:p>
        </w:tc>
        <w:tc>
          <w:tcPr>
            <w:tcW w:w="101" w:type="dxa"/>
            <w:tcBorders/>
            <w:vAlign w:val="bottom"/>
          </w:tcPr>
          <w:p>
            <w:pPr>
              <w:pStyle w:val="TableContents"/>
              <w:bidi w:val="0"/>
              <w:spacing w:before="0" w:after="283"/>
              <w:jc w:val="left"/>
              <w:rPr/>
            </w:pPr>
            <w:r>
              <w:rPr/>
              <w:t> </w:t>
            </w:r>
          </w:p>
        </w:tc>
        <w:tc>
          <w:tcPr>
            <w:tcW w:w="2292" w:type="dxa"/>
            <w:tcBorders/>
          </w:tcPr>
          <w:p>
            <w:pPr>
              <w:pStyle w:val="TableContents"/>
              <w:bidi w:val="0"/>
              <w:spacing w:before="0" w:after="283"/>
              <w:jc w:val="right"/>
              <w:rPr>
                <w:b/>
              </w:rPr>
            </w:pPr>
            <w:r>
              <w:rPr>
                <w:b/>
              </w:rPr>
              <w:t>Mizuho</w:t>
            </w:r>
          </w:p>
        </w:tc>
      </w:tr>
    </w:tbl>
    <w:p>
      <w:pPr>
        <w:pStyle w:val="TextBody"/>
        <w:bidi w:val="0"/>
        <w:spacing w:before="160" w:after="0"/>
        <w:jc w:val="center"/>
        <w:rPr>
          <w:rFonts w:ascii="Times New Roman" w:hAnsi="Times New Roman"/>
          <w:sz w:val="16"/>
        </w:rPr>
      </w:pPr>
      <w:r>
        <w:rPr>
          <w:rFonts w:ascii="Times New Roman" w:hAnsi="Times New Roman"/>
          <w:i/>
          <w:sz w:val="16"/>
        </w:rPr>
        <w:t>(in alphabetical order)</w:t>
      </w:r>
      <w:r>
        <w:rPr>
          <w:rFonts w:ascii="Times New Roman" w:hAnsi="Times New Roman"/>
          <w:sz w:val="16"/>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53"/>
        <w:gridCol w:w="101"/>
        <w:gridCol w:w="2524"/>
        <w:gridCol w:w="101"/>
        <w:gridCol w:w="2601"/>
        <w:gridCol w:w="101"/>
        <w:gridCol w:w="2424"/>
      </w:tblGrid>
      <w:tr>
        <w:trPr/>
        <w:tc>
          <w:tcPr>
            <w:tcW w:w="23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b/>
              </w:rPr>
            </w:pPr>
            <w:r>
              <w:rPr>
                <w:b/>
              </w:rPr>
              <w:t>BofA Securities</w:t>
            </w:r>
          </w:p>
        </w:tc>
        <w:tc>
          <w:tcPr>
            <w:tcW w:w="101" w:type="dxa"/>
            <w:tcBorders/>
            <w:vAlign w:val="bottom"/>
          </w:tcPr>
          <w:p>
            <w:pPr>
              <w:pStyle w:val="TableContents"/>
              <w:bidi w:val="0"/>
              <w:spacing w:before="0" w:after="283"/>
              <w:jc w:val="left"/>
              <w:rPr/>
            </w:pPr>
            <w:r>
              <w:rPr/>
              <w:t> </w:t>
            </w:r>
          </w:p>
        </w:tc>
        <w:tc>
          <w:tcPr>
            <w:tcW w:w="2524" w:type="dxa"/>
            <w:tcBorders/>
          </w:tcPr>
          <w:p>
            <w:pPr>
              <w:pStyle w:val="TableContents"/>
              <w:bidi w:val="0"/>
              <w:spacing w:before="0" w:after="283"/>
              <w:jc w:val="center"/>
              <w:rPr>
                <w:b/>
              </w:rPr>
            </w:pPr>
            <w:r>
              <w:rPr>
                <w:b/>
              </w:rPr>
              <w:t>Citigroup</w:t>
            </w:r>
          </w:p>
        </w:tc>
        <w:tc>
          <w:tcPr>
            <w:tcW w:w="101" w:type="dxa"/>
            <w:tcBorders/>
            <w:vAlign w:val="bottom"/>
          </w:tcPr>
          <w:p>
            <w:pPr>
              <w:pStyle w:val="TableContents"/>
              <w:bidi w:val="0"/>
              <w:spacing w:before="0" w:after="283"/>
              <w:jc w:val="left"/>
              <w:rPr/>
            </w:pPr>
            <w:r>
              <w:rPr/>
              <w:t> </w:t>
            </w:r>
          </w:p>
        </w:tc>
        <w:tc>
          <w:tcPr>
            <w:tcW w:w="2601" w:type="dxa"/>
            <w:tcBorders/>
          </w:tcPr>
          <w:p>
            <w:pPr>
              <w:pStyle w:val="TableContents"/>
              <w:bidi w:val="0"/>
              <w:spacing w:before="0" w:after="283"/>
              <w:jc w:val="center"/>
              <w:rPr>
                <w:b/>
              </w:rPr>
            </w:pPr>
            <w:r>
              <w:rPr>
                <w:b/>
              </w:rPr>
              <w:t>Deutsche Bank Securities</w:t>
            </w:r>
          </w:p>
        </w:tc>
        <w:tc>
          <w:tcPr>
            <w:tcW w:w="101" w:type="dxa"/>
            <w:tcBorders/>
            <w:vAlign w:val="bottom"/>
          </w:tcPr>
          <w:p>
            <w:pPr>
              <w:pStyle w:val="TableContents"/>
              <w:bidi w:val="0"/>
              <w:spacing w:before="0" w:after="283"/>
              <w:jc w:val="left"/>
              <w:rPr/>
            </w:pPr>
            <w:r>
              <w:rPr/>
              <w:t> </w:t>
            </w:r>
          </w:p>
        </w:tc>
        <w:tc>
          <w:tcPr>
            <w:tcW w:w="2424" w:type="dxa"/>
            <w:tcBorders/>
          </w:tcPr>
          <w:p>
            <w:pPr>
              <w:pStyle w:val="TableContents"/>
              <w:bidi w:val="0"/>
              <w:spacing w:before="0" w:after="283"/>
              <w:jc w:val="right"/>
              <w:rPr>
                <w:b/>
              </w:rPr>
            </w:pPr>
            <w:r>
              <w:rPr>
                <w:b/>
              </w:rPr>
              <w:t>Jefferies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51"/>
        <w:gridCol w:w="91"/>
        <w:gridCol w:w="2094"/>
        <w:gridCol w:w="91"/>
        <w:gridCol w:w="1268"/>
        <w:gridCol w:w="91"/>
        <w:gridCol w:w="1335"/>
        <w:gridCol w:w="91"/>
        <w:gridCol w:w="1535"/>
        <w:gridCol w:w="91"/>
        <w:gridCol w:w="1667"/>
      </w:tblGrid>
      <w:tr>
        <w:trPr/>
        <w:tc>
          <w:tcPr>
            <w:tcW w:w="185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r>
      <w:tr>
        <w:trPr/>
        <w:tc>
          <w:tcPr>
            <w:tcW w:w="1851" w:type="dxa"/>
            <w:tcBorders/>
          </w:tcPr>
          <w:p>
            <w:pPr>
              <w:pStyle w:val="TableContents"/>
              <w:bidi w:val="0"/>
              <w:spacing w:before="0" w:after="283"/>
              <w:jc w:val="left"/>
              <w:rPr>
                <w:b/>
              </w:rPr>
            </w:pPr>
            <w:r>
              <w:rPr>
                <w:b/>
              </w:rPr>
              <w:t>BNP PARIBAS</w:t>
            </w:r>
          </w:p>
        </w:tc>
        <w:tc>
          <w:tcPr>
            <w:tcW w:w="91" w:type="dxa"/>
            <w:tcBorders/>
            <w:vAlign w:val="bottom"/>
          </w:tcPr>
          <w:p>
            <w:pPr>
              <w:pStyle w:val="TableContents"/>
              <w:bidi w:val="0"/>
              <w:spacing w:before="0" w:after="283"/>
              <w:jc w:val="left"/>
              <w:rPr/>
            </w:pPr>
            <w:r>
              <w:rPr/>
              <w:t> </w:t>
            </w:r>
          </w:p>
        </w:tc>
        <w:tc>
          <w:tcPr>
            <w:tcW w:w="2094" w:type="dxa"/>
            <w:tcBorders/>
          </w:tcPr>
          <w:p>
            <w:pPr>
              <w:pStyle w:val="TableContents"/>
              <w:bidi w:val="0"/>
              <w:spacing w:before="0" w:after="283"/>
              <w:jc w:val="center"/>
              <w:rPr>
                <w:b/>
              </w:rPr>
            </w:pPr>
            <w:r>
              <w:rPr>
                <w:b/>
              </w:rPr>
              <w:t>Credit Agricole CIB</w:t>
            </w:r>
          </w:p>
        </w:tc>
        <w:tc>
          <w:tcPr>
            <w:tcW w:w="91" w:type="dxa"/>
            <w:tcBorders/>
            <w:vAlign w:val="bottom"/>
          </w:tcPr>
          <w:p>
            <w:pPr>
              <w:pStyle w:val="TableContents"/>
              <w:bidi w:val="0"/>
              <w:spacing w:before="0" w:after="283"/>
              <w:jc w:val="left"/>
              <w:rPr/>
            </w:pPr>
            <w:r>
              <w:rPr/>
              <w:t> </w:t>
            </w:r>
          </w:p>
        </w:tc>
        <w:tc>
          <w:tcPr>
            <w:tcW w:w="1268" w:type="dxa"/>
            <w:tcBorders/>
          </w:tcPr>
          <w:p>
            <w:pPr>
              <w:pStyle w:val="TableContents"/>
              <w:bidi w:val="0"/>
              <w:spacing w:before="0" w:after="20"/>
              <w:jc w:val="center"/>
              <w:rPr>
                <w:rFonts w:ascii="Times New Roman" w:hAnsi="Times New Roman"/>
                <w:b/>
                <w:sz w:val="20"/>
              </w:rPr>
            </w:pPr>
            <w:r>
              <w:rPr>
                <w:rFonts w:ascii="Times New Roman" w:hAnsi="Times New Roman"/>
                <w:b/>
                <w:sz w:val="20"/>
              </w:rPr>
              <w:t>MUFG</w:t>
            </w:r>
          </w:p>
        </w:tc>
        <w:tc>
          <w:tcPr>
            <w:tcW w:w="91" w:type="dxa"/>
            <w:tcBorders/>
            <w:vAlign w:val="bottom"/>
          </w:tcPr>
          <w:p>
            <w:pPr>
              <w:pStyle w:val="TableContents"/>
              <w:bidi w:val="0"/>
              <w:spacing w:before="0" w:after="283"/>
              <w:jc w:val="left"/>
              <w:rPr/>
            </w:pPr>
            <w:r>
              <w:rPr/>
              <w:t> </w:t>
            </w:r>
          </w:p>
        </w:tc>
        <w:tc>
          <w:tcPr>
            <w:tcW w:w="1335" w:type="dxa"/>
            <w:tcBorders/>
          </w:tcPr>
          <w:p>
            <w:pPr>
              <w:pStyle w:val="TableContents"/>
              <w:bidi w:val="0"/>
              <w:spacing w:before="0" w:after="283"/>
              <w:jc w:val="center"/>
              <w:rPr>
                <w:b/>
              </w:rPr>
            </w:pPr>
            <w:r>
              <w:rPr>
                <w:b/>
              </w:rPr>
              <w:t>Natixis</w:t>
            </w:r>
          </w:p>
        </w:tc>
        <w:tc>
          <w:tcPr>
            <w:tcW w:w="91" w:type="dxa"/>
            <w:tcBorders/>
            <w:vAlign w:val="bottom"/>
          </w:tcPr>
          <w:p>
            <w:pPr>
              <w:pStyle w:val="TableContents"/>
              <w:bidi w:val="0"/>
              <w:spacing w:before="0" w:after="283"/>
              <w:jc w:val="left"/>
              <w:rPr/>
            </w:pPr>
            <w:r>
              <w:rPr/>
              <w:t> </w:t>
            </w:r>
          </w:p>
        </w:tc>
        <w:tc>
          <w:tcPr>
            <w:tcW w:w="1535" w:type="dxa"/>
            <w:tcBorders/>
          </w:tcPr>
          <w:p>
            <w:pPr>
              <w:pStyle w:val="TableContents"/>
              <w:bidi w:val="0"/>
              <w:spacing w:before="0" w:after="283"/>
              <w:jc w:val="center"/>
              <w:rPr>
                <w:b/>
              </w:rPr>
            </w:pPr>
            <w:r>
              <w:rPr>
                <w:b/>
              </w:rPr>
              <w:t>Santander</w:t>
            </w:r>
          </w:p>
        </w:tc>
        <w:tc>
          <w:tcPr>
            <w:tcW w:w="91"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right"/>
              <w:rPr>
                <w:b/>
              </w:rPr>
            </w:pPr>
            <w:r>
              <w:rPr>
                <w:b/>
              </w:rPr>
              <w:t>SMBC Nikko</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1565"/>
        <w:gridCol w:w="60"/>
        <w:gridCol w:w="1925"/>
        <w:gridCol w:w="60"/>
        <w:gridCol w:w="1160"/>
        <w:gridCol w:w="60"/>
        <w:gridCol w:w="1385"/>
        <w:gridCol w:w="60"/>
        <w:gridCol w:w="1385"/>
        <w:gridCol w:w="60"/>
        <w:gridCol w:w="1340"/>
        <w:gridCol w:w="60"/>
        <w:gridCol w:w="1790"/>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b/>
                <w:sz w:val="14"/>
              </w:rPr>
            </w:pPr>
            <w:r>
              <w:rPr>
                <w:b/>
                <w:sz w:val="14"/>
              </w:rPr>
              <w:t>BMO Capital Markets</w:t>
            </w:r>
          </w:p>
        </w:tc>
        <w:tc>
          <w:tcPr>
            <w:tcW w:w="60"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0"/>
              <w:jc w:val="center"/>
              <w:rPr>
                <w:rFonts w:ascii="Times New Roman" w:hAnsi="Times New Roman"/>
                <w:b/>
                <w:sz w:val="14"/>
              </w:rPr>
            </w:pPr>
            <w:r>
              <w:rPr>
                <w:rFonts w:ascii="Times New Roman" w:hAnsi="Times New Roman"/>
                <w:b/>
                <w:sz w:val="14"/>
              </w:rPr>
              <w:t>Daiwa Capital Markets America</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0"/>
              <w:jc w:val="center"/>
              <w:rPr>
                <w:rFonts w:ascii="Times New Roman" w:hAnsi="Times New Roman"/>
                <w:b/>
                <w:sz w:val="14"/>
              </w:rPr>
            </w:pPr>
            <w:r>
              <w:rPr>
                <w:rFonts w:ascii="Times New Roman" w:hAnsi="Times New Roman"/>
                <w:b/>
                <w:sz w:val="14"/>
              </w:rPr>
              <w:t>Evercore ISI</w:t>
            </w:r>
          </w:p>
        </w:tc>
        <w:tc>
          <w:tcPr>
            <w:tcW w:w="60" w:type="dxa"/>
            <w:tcBorders/>
            <w:vAlign w:val="bottom"/>
          </w:tcPr>
          <w:p>
            <w:pPr>
              <w:pStyle w:val="TableContents"/>
              <w:bidi w:val="0"/>
              <w:spacing w:before="0" w:after="283"/>
              <w:jc w:val="left"/>
              <w:rPr/>
            </w:pPr>
            <w:r>
              <w:rPr/>
              <w:t> </w:t>
            </w:r>
          </w:p>
        </w:tc>
        <w:tc>
          <w:tcPr>
            <w:tcW w:w="1385" w:type="dxa"/>
            <w:tcBorders/>
          </w:tcPr>
          <w:p>
            <w:pPr>
              <w:pStyle w:val="TableContents"/>
              <w:bidi w:val="0"/>
              <w:spacing w:before="0" w:after="20"/>
              <w:jc w:val="center"/>
              <w:rPr>
                <w:rFonts w:ascii="Times New Roman" w:hAnsi="Times New Roman"/>
                <w:b/>
                <w:sz w:val="14"/>
              </w:rPr>
            </w:pPr>
            <w:r>
              <w:rPr>
                <w:rFonts w:ascii="Times New Roman" w:hAnsi="Times New Roman"/>
                <w:b/>
                <w:sz w:val="14"/>
              </w:rPr>
              <w:t>Guggenheim Securities</w:t>
            </w:r>
          </w:p>
        </w:tc>
        <w:tc>
          <w:tcPr>
            <w:tcW w:w="60" w:type="dxa"/>
            <w:tcBorders/>
            <w:vAlign w:val="bottom"/>
          </w:tcPr>
          <w:p>
            <w:pPr>
              <w:pStyle w:val="TableContents"/>
              <w:bidi w:val="0"/>
              <w:spacing w:before="0" w:after="283"/>
              <w:jc w:val="left"/>
              <w:rPr/>
            </w:pPr>
            <w:r>
              <w:rPr/>
              <w:t> </w:t>
            </w:r>
          </w:p>
        </w:tc>
        <w:tc>
          <w:tcPr>
            <w:tcW w:w="1385" w:type="dxa"/>
            <w:tcBorders/>
          </w:tcPr>
          <w:p>
            <w:pPr>
              <w:pStyle w:val="TableContents"/>
              <w:bidi w:val="0"/>
              <w:spacing w:before="0" w:after="20"/>
              <w:jc w:val="center"/>
              <w:rPr>
                <w:rFonts w:ascii="Times New Roman" w:hAnsi="Times New Roman"/>
                <w:b/>
                <w:sz w:val="14"/>
              </w:rPr>
            </w:pPr>
            <w:r>
              <w:rPr>
                <w:rFonts w:ascii="Times New Roman" w:hAnsi="Times New Roman"/>
                <w:b/>
                <w:sz w:val="14"/>
              </w:rPr>
              <w:t>HSBC</w:t>
            </w:r>
          </w:p>
        </w:tc>
        <w:tc>
          <w:tcPr>
            <w:tcW w:w="60"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0"/>
              <w:jc w:val="center"/>
              <w:rPr>
                <w:rFonts w:ascii="Times New Roman" w:hAnsi="Times New Roman"/>
                <w:b/>
                <w:sz w:val="14"/>
              </w:rPr>
            </w:pPr>
            <w:r>
              <w:rPr>
                <w:rFonts w:ascii="Times New Roman" w:hAnsi="Times New Roman"/>
                <w:b/>
                <w:sz w:val="14"/>
              </w:rPr>
              <w:t>IMI - Intesa Sanpaolo</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0"/>
              <w:jc w:val="right"/>
              <w:rPr>
                <w:rFonts w:ascii="Times New Roman" w:hAnsi="Times New Roman"/>
                <w:b/>
                <w:sz w:val="14"/>
              </w:rPr>
            </w:pPr>
            <w:r>
              <w:rPr>
                <w:rFonts w:ascii="Times New Roman" w:hAnsi="Times New Roman"/>
                <w:b/>
                <w:sz w:val="14"/>
              </w:rPr>
              <w:t>Independence Point Securities</w:t>
            </w:r>
          </w:p>
        </w:tc>
      </w:tr>
      <w:tr>
        <w:trPr/>
        <w:tc>
          <w:tcPr>
            <w:tcW w:w="1565" w:type="dxa"/>
            <w:tcBorders/>
          </w:tcPr>
          <w:p>
            <w:pPr>
              <w:pStyle w:val="TableContents"/>
              <w:bidi w:val="0"/>
              <w:spacing w:before="0" w:after="20"/>
              <w:jc w:val="center"/>
              <w:rPr>
                <w:rFonts w:ascii="Times New Roman" w:hAnsi="Times New Roman"/>
                <w:b/>
                <w:sz w:val="14"/>
              </w:rPr>
            </w:pPr>
            <w:r>
              <w:rPr>
                <w:rFonts w:ascii="Times New Roman" w:hAnsi="Times New Roman"/>
                <w:b/>
                <w:sz w:val="14"/>
              </w:rPr>
              <w:t>KeyBanc Capital Markets</w:t>
            </w:r>
          </w:p>
        </w:tc>
        <w:tc>
          <w:tcPr>
            <w:tcW w:w="60"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0"/>
              <w:jc w:val="center"/>
              <w:rPr>
                <w:rFonts w:ascii="Times New Roman" w:hAnsi="Times New Roman"/>
                <w:b/>
                <w:sz w:val="14"/>
              </w:rPr>
            </w:pPr>
            <w:r>
              <w:rPr>
                <w:rFonts w:ascii="Times New Roman" w:hAnsi="Times New Roman"/>
                <w:b/>
                <w:sz w:val="14"/>
              </w:rPr>
              <w:t>Loop Capital Markets</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0"/>
              <w:jc w:val="center"/>
              <w:rPr>
                <w:rFonts w:ascii="Times New Roman" w:hAnsi="Times New Roman"/>
                <w:b/>
                <w:sz w:val="14"/>
              </w:rPr>
            </w:pPr>
            <w:r>
              <w:rPr>
                <w:rFonts w:ascii="Times New Roman" w:hAnsi="Times New Roman"/>
                <w:b/>
                <w:sz w:val="14"/>
              </w:rPr>
              <w:t>Ramirez &amp; Co., Inc.</w:t>
            </w:r>
          </w:p>
        </w:tc>
        <w:tc>
          <w:tcPr>
            <w:tcW w:w="60" w:type="dxa"/>
            <w:tcBorders/>
            <w:vAlign w:val="bottom"/>
          </w:tcPr>
          <w:p>
            <w:pPr>
              <w:pStyle w:val="TableContents"/>
              <w:bidi w:val="0"/>
              <w:spacing w:before="0" w:after="283"/>
              <w:jc w:val="left"/>
              <w:rPr/>
            </w:pPr>
            <w:r>
              <w:rPr/>
              <w:t> </w:t>
            </w:r>
          </w:p>
        </w:tc>
        <w:tc>
          <w:tcPr>
            <w:tcW w:w="1385" w:type="dxa"/>
            <w:tcBorders/>
          </w:tcPr>
          <w:p>
            <w:pPr>
              <w:pStyle w:val="TableContents"/>
              <w:bidi w:val="0"/>
              <w:spacing w:before="0" w:after="20"/>
              <w:jc w:val="center"/>
              <w:rPr>
                <w:rFonts w:ascii="Times New Roman" w:hAnsi="Times New Roman"/>
                <w:b/>
                <w:sz w:val="14"/>
              </w:rPr>
            </w:pPr>
            <w:r>
              <w:rPr>
                <w:rFonts w:ascii="Times New Roman" w:hAnsi="Times New Roman"/>
                <w:b/>
                <w:sz w:val="14"/>
              </w:rPr>
              <w:t xml:space="preserve">Rosenblatt </w:t>
            </w:r>
          </w:p>
        </w:tc>
        <w:tc>
          <w:tcPr>
            <w:tcW w:w="60" w:type="dxa"/>
            <w:tcBorders/>
            <w:vAlign w:val="bottom"/>
          </w:tcPr>
          <w:p>
            <w:pPr>
              <w:pStyle w:val="TableContents"/>
              <w:bidi w:val="0"/>
              <w:spacing w:before="0" w:after="283"/>
              <w:jc w:val="left"/>
              <w:rPr/>
            </w:pPr>
            <w:r>
              <w:rPr/>
              <w:t> </w:t>
            </w:r>
          </w:p>
        </w:tc>
        <w:tc>
          <w:tcPr>
            <w:tcW w:w="1385" w:type="dxa"/>
            <w:tcBorders/>
          </w:tcPr>
          <w:p>
            <w:pPr>
              <w:pStyle w:val="TableContents"/>
              <w:bidi w:val="0"/>
              <w:spacing w:before="0" w:after="20"/>
              <w:jc w:val="right"/>
              <w:rPr>
                <w:rFonts w:ascii="Times New Roman" w:hAnsi="Times New Roman"/>
                <w:b/>
                <w:sz w:val="14"/>
              </w:rPr>
            </w:pPr>
            <w:r>
              <w:rPr>
                <w:rFonts w:ascii="Times New Roman" w:hAnsi="Times New Roman"/>
                <w:b/>
                <w:sz w:val="14"/>
              </w:rPr>
              <w:t>SOCIETE GENERALE</w:t>
            </w:r>
          </w:p>
        </w:tc>
        <w:tc>
          <w:tcPr>
            <w:tcW w:w="60"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0"/>
              <w:jc w:val="center"/>
              <w:rPr>
                <w:rFonts w:ascii="Times New Roman" w:hAnsi="Times New Roman"/>
                <w:b/>
                <w:sz w:val="14"/>
              </w:rPr>
            </w:pPr>
            <w:r>
              <w:rPr>
                <w:rFonts w:ascii="Times New Roman" w:hAnsi="Times New Roman"/>
                <w:b/>
                <w:sz w:val="14"/>
              </w:rPr>
              <w:t>TD Cowen</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0"/>
              <w:jc w:val="right"/>
              <w:rPr>
                <w:rFonts w:ascii="Times New Roman" w:hAnsi="Times New Roman"/>
                <w:b/>
                <w:sz w:val="14"/>
              </w:rPr>
            </w:pPr>
            <w:r>
              <w:rPr>
                <w:rFonts w:ascii="Times New Roman" w:hAnsi="Times New Roman"/>
                <w:b/>
                <w:sz w:val="14"/>
              </w:rPr>
              <w:t>Wolfe | Nomura Alliance</w:t>
            </w:r>
          </w:p>
        </w:tc>
      </w:tr>
    </w:tbl>
    <w:p>
      <w:pPr>
        <w:pStyle w:val="TextBody"/>
        <w:bidi w:val="0"/>
        <w:spacing w:before="240" w:after="0"/>
        <w:jc w:val="center"/>
        <w:rPr>
          <w:rFonts w:ascii="Times New Roman" w:hAnsi="Times New Roman"/>
          <w:sz w:val="19"/>
        </w:rPr>
      </w:pPr>
      <w:r>
        <w:rPr>
          <w:rFonts w:ascii="Times New Roman" w:hAnsi="Times New Roman"/>
          <w:sz w:val="19"/>
        </w:rPr>
        <w:t xml:space="preserve">The date of this prospectus is              ,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87705" cy="8959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7705" cy="89598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89610" cy="8959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9610" cy="89598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87705" cy="8959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7705" cy="89598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01"/>
        <w:gridCol w:w="245"/>
        <w:gridCol w:w="66"/>
        <w:gridCol w:w="430"/>
        <w:gridCol w:w="63"/>
      </w:tblGrid>
      <w:tr>
        <w:trPr/>
        <w:tc>
          <w:tcPr>
            <w:tcW w:w="9401"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0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01" w:type="dxa"/>
            <w:tcBorders/>
          </w:tcPr>
          <w:p>
            <w:pPr>
              <w:pStyle w:val="TableContents"/>
              <w:bidi w:val="0"/>
              <w:spacing w:before="0" w:after="0"/>
              <w:jc w:val="left"/>
              <w:rPr/>
            </w:pPr>
            <w:hyperlink w:anchor="rom393891_1">
              <w:r>
                <w:rPr>
                  <w:rStyle w:val="InternetLink"/>
                  <w:rFonts w:ascii="Times New Roman" w:hAnsi="Times New Roman"/>
                  <w:b/>
                  <w:sz w:val="20"/>
                </w:rPr>
                <w:t>ABOUT THIS PROSPECTUS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ii</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
              <w:r>
                <w:rPr>
                  <w:rStyle w:val="InternetLink"/>
                  <w:rFonts w:ascii="Times New Roman" w:hAnsi="Times New Roman"/>
                  <w:b/>
                  <w:sz w:val="20"/>
                </w:rPr>
                <w:t>NOTE REGARDING TRADEMARKS, TRADENAMES AND SERVICE MARKS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ii</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3">
              <w:r>
                <w:rPr>
                  <w:rStyle w:val="InternetLink"/>
                  <w:rFonts w:ascii="Times New Roman" w:hAnsi="Times New Roman"/>
                  <w:b/>
                  <w:sz w:val="20"/>
                </w:rPr>
                <w:t>PRESENTATION OF FINANCIAL AND OTHER INFORMATION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4">
              <w:r>
                <w:rPr>
                  <w:rStyle w:val="InternetLink"/>
                  <w:rFonts w:ascii="Times New Roman" w:hAnsi="Times New Roman"/>
                  <w:b/>
                  <w:sz w:val="20"/>
                </w:rPr>
                <w:t>NON-GAAP FINANCIAL MEASURES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5">
              <w:r>
                <w:rPr>
                  <w:rStyle w:val="InternetLink"/>
                  <w:rFonts w:ascii="Times New Roman" w:hAnsi="Times New Roman"/>
                  <w:b/>
                  <w:sz w:val="20"/>
                </w:rPr>
                <w:t>INDUSTRY AND MARKET DATA</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6">
              <w:r>
                <w:rPr>
                  <w:rStyle w:val="InternetLink"/>
                  <w:rFonts w:ascii="Times New Roman" w:hAnsi="Times New Roman"/>
                  <w:b/>
                  <w:sz w:val="20"/>
                </w:rPr>
                <w:t>GLOSSARY OF CERTAIN TERMS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7">
              <w:r>
                <w:rPr>
                  <w:rStyle w:val="InternetLink"/>
                  <w:rFonts w:ascii="Times New Roman" w:hAnsi="Times New Roman"/>
                  <w:b/>
                  <w:sz w:val="20"/>
                </w:rPr>
                <w:t>PROSPECTUS SUMMARY</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8">
              <w:r>
                <w:rPr>
                  <w:rStyle w:val="InternetLink"/>
                  <w:rFonts w:ascii="Times New Roman" w:hAnsi="Times New Roman"/>
                  <w:b/>
                  <w:sz w:val="20"/>
                </w:rPr>
                <w:t>THE OFFERING</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16</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9">
              <w:r>
                <w:rPr>
                  <w:rStyle w:val="InternetLink"/>
                  <w:rFonts w:ascii="Times New Roman" w:hAnsi="Times New Roman"/>
                  <w:b/>
                  <w:sz w:val="20"/>
                </w:rPr>
                <w:t>SUMMARY FINANCIAL DATA</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18</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0">
              <w:r>
                <w:rPr>
                  <w:rStyle w:val="InternetLink"/>
                  <w:rFonts w:ascii="Times New Roman" w:hAnsi="Times New Roman"/>
                  <w:b/>
                  <w:sz w:val="20"/>
                </w:rPr>
                <w:t>RISK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21</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1">
              <w:r>
                <w:rPr>
                  <w:rStyle w:val="InternetLink"/>
                  <w:rFonts w:ascii="Times New Roman" w:hAnsi="Times New Roman"/>
                  <w:b/>
                  <w:sz w:val="20"/>
                </w:rPr>
                <w:t>SPECIAL NOTE REGARDING FORWARD-LOOKING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78</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2">
              <w:r>
                <w:rPr>
                  <w:rStyle w:val="InternetLink"/>
                  <w:rFonts w:ascii="Times New Roman" w:hAnsi="Times New Roman"/>
                  <w:b/>
                  <w:sz w:val="20"/>
                </w:rPr>
                <w:t>USE OF PROCEEDS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80</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3">
              <w:r>
                <w:rPr>
                  <w:rStyle w:val="InternetLink"/>
                  <w:rFonts w:ascii="Times New Roman" w:hAnsi="Times New Roman"/>
                  <w:b/>
                  <w:sz w:val="20"/>
                </w:rPr>
                <w:t>DIVIDEND POLICY</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81</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4">
              <w:r>
                <w:rPr>
                  <w:rStyle w:val="InternetLink"/>
                  <w:rFonts w:ascii="Times New Roman" w:hAnsi="Times New Roman"/>
                  <w:b/>
                  <w:sz w:val="20"/>
                </w:rPr>
                <w:t>CORPORATE REORGANIZATION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82</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5">
              <w:r>
                <w:rPr>
                  <w:rStyle w:val="InternetLink"/>
                  <w:rFonts w:ascii="Times New Roman" w:hAnsi="Times New Roman"/>
                  <w:b/>
                  <w:sz w:val="20"/>
                </w:rPr>
                <w:t>CAPITALIZATION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84</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7">
              <w:r>
                <w:rPr>
                  <w:rStyle w:val="InternetLink"/>
                  <w:rFonts w:ascii="Times New Roman" w:hAnsi="Times New Roman"/>
                  <w:b/>
                  <w:sz w:val="20"/>
                </w:rPr>
                <w:t>MANAGEMENTS DISCUSSION AND ANALYSIS OF FINANCIAL CONDITION AND RESULTS OF OPERATIONS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85</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8">
              <w:r>
                <w:rPr>
                  <w:rStyle w:val="InternetLink"/>
                  <w:rFonts w:ascii="Times New Roman" w:hAnsi="Times New Roman"/>
                  <w:b/>
                  <w:sz w:val="20"/>
                </w:rPr>
                <w:t>BUSINESS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121</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19">
              <w:r>
                <w:rPr>
                  <w:rStyle w:val="InternetLink"/>
                  <w:rFonts w:ascii="Times New Roman" w:hAnsi="Times New Roman"/>
                  <w:b/>
                  <w:sz w:val="20"/>
                </w:rPr>
                <w:t>MANAGEMENT AND EXECUTIVE REMUNERATION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143</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0">
              <w:r>
                <w:rPr>
                  <w:rStyle w:val="InternetLink"/>
                  <w:rFonts w:ascii="Times New Roman" w:hAnsi="Times New Roman"/>
                  <w:b/>
                  <w:sz w:val="20"/>
                </w:rPr>
                <w:t>RELATED PARTY TRANSACTIONS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162</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1">
              <w:r>
                <w:rPr>
                  <w:rStyle w:val="InternetLink"/>
                  <w:rFonts w:ascii="Times New Roman" w:hAnsi="Times New Roman"/>
                  <w:b/>
                  <w:sz w:val="20"/>
                </w:rPr>
                <w:t>PRINCIPAL AND SELLING SHAREHOLDER</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169</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2">
              <w:r>
                <w:rPr>
                  <w:rStyle w:val="InternetLink"/>
                  <w:rFonts w:ascii="Times New Roman" w:hAnsi="Times New Roman"/>
                  <w:b/>
                  <w:sz w:val="20"/>
                </w:rPr>
                <w:t>DESCRIPTION OF SHARE CAPITAL AND ARTICLES OF ASSOCIATION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171</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3">
              <w:r>
                <w:rPr>
                  <w:rStyle w:val="InternetLink"/>
                  <w:rFonts w:ascii="Times New Roman" w:hAnsi="Times New Roman"/>
                  <w:b/>
                  <w:sz w:val="20"/>
                </w:rPr>
                <w:t>DESCRIPTION OF AMERICAN DEPOSITARY SHARES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192</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4">
              <w:r>
                <w:rPr>
                  <w:rStyle w:val="InternetLink"/>
                  <w:rFonts w:ascii="Times New Roman" w:hAnsi="Times New Roman"/>
                  <w:b/>
                  <w:sz w:val="20"/>
                </w:rPr>
                <w:t>ORDINARY SHARES AND ADSs ELIGIBLE FOR FUTURE SALE</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204</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5">
              <w:r>
                <w:rPr>
                  <w:rStyle w:val="InternetLink"/>
                  <w:rFonts w:ascii="Times New Roman" w:hAnsi="Times New Roman"/>
                  <w:b/>
                  <w:sz w:val="20"/>
                </w:rPr>
                <w:t>MATERIAL TAX CONSIDERATIONS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206</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6">
              <w:r>
                <w:rPr>
                  <w:rStyle w:val="InternetLink"/>
                  <w:rFonts w:ascii="Times New Roman" w:hAnsi="Times New Roman"/>
                  <w:b/>
                  <w:sz w:val="20"/>
                </w:rPr>
                <w:t xml:space="preserve">UNDERWRITING </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214</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7">
              <w:r>
                <w:rPr>
                  <w:rStyle w:val="InternetLink"/>
                  <w:rFonts w:ascii="Times New Roman" w:hAnsi="Times New Roman"/>
                  <w:b/>
                  <w:sz w:val="20"/>
                </w:rPr>
                <w:t>EXPENSES RELATED TO THE OFFERING</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226</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8">
              <w:r>
                <w:rPr>
                  <w:rStyle w:val="InternetLink"/>
                  <w:rFonts w:ascii="Times New Roman" w:hAnsi="Times New Roman"/>
                  <w:b/>
                  <w:sz w:val="20"/>
                </w:rPr>
                <w:t>LEGAL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227</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29">
              <w:r>
                <w:rPr>
                  <w:rStyle w:val="InternetLink"/>
                  <w:rFonts w:ascii="Times New Roman" w:hAnsi="Times New Roman"/>
                  <w:b/>
                  <w:sz w:val="20"/>
                </w:rPr>
                <w:t>EXPERTS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227</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30">
              <w:r>
                <w:rPr>
                  <w:rStyle w:val="InternetLink"/>
                  <w:rFonts w:ascii="Times New Roman" w:hAnsi="Times New Roman"/>
                  <w:b/>
                  <w:sz w:val="20"/>
                </w:rPr>
                <w:t>ENFORCEMENT OF CIVIL LIABILITIES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228</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31">
              <w:r>
                <w:rPr>
                  <w:rStyle w:val="InternetLink"/>
                  <w:rFonts w:ascii="Times New Roman" w:hAnsi="Times New Roman"/>
                  <w:b/>
                  <w:sz w:val="20"/>
                </w:rPr>
                <w:t>WHERE YOU CAN FIND ADDITIONAL INFORMATION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229</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tcBorders/>
          </w:tcPr>
          <w:p>
            <w:pPr>
              <w:pStyle w:val="TableContents"/>
              <w:bidi w:val="0"/>
              <w:spacing w:before="0" w:after="0"/>
              <w:jc w:val="left"/>
              <w:rPr/>
            </w:pPr>
            <w:hyperlink w:anchor="rom393891_32">
              <w:r>
                <w:rPr>
                  <w:rStyle w:val="InternetLink"/>
                  <w:rFonts w:ascii="Times New Roman" w:hAnsi="Times New Roman"/>
                  <w:b/>
                  <w:sz w:val="20"/>
                </w:rPr>
                <w:t>INDEX TO FINANCIAL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b/>
              </w:rPr>
            </w:pPr>
            <w:r>
              <w:rPr>
                <w:b/>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Neither we, the selling shareholder nor the underwriters have authorized anyone to provide you with information that is different from that contained in this prospectus or in any free writing prospectus we may authorize to be delivered or made available to you. Neither we, the selling shareholder nor the underwriters take any responsibility for, or provide any assurance as to the reliability of, any other information that others may give you. We, the selling shareholder and the underwriters are offering to sell ADSs and seeking offers to purchase ADSs only in the U.S. and certain other jurisdictions where offers and sales are permitted. The information contained in this prospectus is accurate only as of the date on the cover page of this prospectus, regardless of the time of delivery of this prospectus or any sale of ADSs.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U.S.: Neither we, the selling shareholder nor any of the underwriters have taken any action to permit this offering or possession or distribution of this prospectus in any jurisdiction where action for that purpose is required, other than in the U.S. You are required to inform yourselves about and to observe any restrictions relating to this offering and the distribution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incorporated under the laws of England and Wales and a majority of our outstanding securities is owned by non-U.S. residents. Under the rules of the U.S. Securities and Exchange Commission (the SEC), we are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 </w:t>
      </w:r>
    </w:p>
    <w:p>
      <w:pPr>
        <w:pStyle w:val="TextBody"/>
        <w:bidi w:val="0"/>
        <w:spacing w:before="480" w:after="0"/>
        <w:jc w:val="center"/>
        <w:rPr>
          <w:rFonts w:ascii="Times New Roman" w:hAnsi="Times New Roman"/>
          <w:b/>
          <w:sz w:val="20"/>
        </w:rPr>
      </w:pPr>
      <w:bookmarkStart w:id="3" w:name="rom39389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this offering, we underwent a corporate reorganization described under the section titled Corporate Reorganization, pursuant to which Arm Limited became a wholly owned subsidiary of Arm Holdings Limited, a holding company with nominal assets and no liabilities, contingencies or commitments, which has not conducted any operations prior to this offering other than acquiring the entire issued share capital of Arm Limited. Prior to the completion of this offering, we intend to re-register Arm Holdings Limited as a public limited company and to change its name from Arm Holdings Limited to Arm Holdings plc.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in this prospectus, Arm, the Company, we, us and our refer to (i) Arm Limited and its consolidated subsidiaries prior to the completion of our corporate reorganization, (ii) Arm Holdings Limited and its consolidated subsidiaries after the completion of our corporate reorganization and prior to the re-registration of Arm Holdings Limited as a public limited company and (iii) Arm Holdings plc and its consolidated subsidiaries after the re-registration of Arm Holdings Limited as a public limited company. See Corporate Reorganization and Description of Share Capital and Articles of Association. </w:t>
      </w:r>
    </w:p>
    <w:p>
      <w:pPr>
        <w:pStyle w:val="TextBody"/>
        <w:bidi w:val="0"/>
        <w:spacing w:before="480" w:after="0"/>
        <w:jc w:val="center"/>
        <w:rPr>
          <w:rFonts w:ascii="Times New Roman" w:hAnsi="Times New Roman"/>
          <w:b/>
          <w:sz w:val="20"/>
        </w:rPr>
      </w:pPr>
      <w:bookmarkStart w:id="4" w:name="rom393891_2"/>
      <w:bookmarkEnd w:id="4"/>
      <w:r>
        <w:rPr>
          <w:rFonts w:ascii="Times New Roman" w:hAnsi="Times New Roman"/>
          <w:b/>
          <w:sz w:val="20"/>
        </w:rPr>
        <w:t xml:space="preserve">NOTE REGARDING TRADEMARKS, TRADENAMES AND SERVICE MARKS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trademarks, tradenames and service marks, certain of which belong to us and others that are the property of other organizations. Solely for convenience, trademarks, tradenames and service marks referred to in this prospectus appear without the ®, TM and SM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tradenames or service marks to imply, and such use or display should not be construed to imply, a relationship with, or endorsement or sponsorship of us by, these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rom393891_3"/>
      <w:bookmarkEnd w:id="5"/>
      <w:r>
        <w:rPr>
          <w:rFonts w:ascii="Times New Roman" w:hAnsi="Times New Roman"/>
          <w:b/>
          <w:sz w:val="20"/>
        </w:rPr>
        <w:t xml:space="preserve">PRESENTATION OF FINANCIAL AND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fiscal year ends on March 31 of each year. We prepare our consolidated financial statements in accordance with generally accepted accounting principles in the U.S. (GAAP). We present our consolidated financial statements in U.S. dollars (USD). </w:t>
      </w:r>
    </w:p>
    <w:p>
      <w:pPr>
        <w:pStyle w:val="TextBody"/>
        <w:bidi w:val="0"/>
        <w:spacing w:before="240" w:after="0"/>
        <w:jc w:val="left"/>
        <w:rPr>
          <w:rFonts w:ascii="Times New Roman" w:hAnsi="Times New Roman"/>
          <w:sz w:val="20"/>
        </w:rPr>
      </w:pPr>
      <w:r>
        <w:rPr>
          <w:rFonts w:ascii="Times New Roman" w:hAnsi="Times New Roman"/>
          <w:sz w:val="20"/>
        </w:rPr>
        <w:t xml:space="preserve">We have historically conducted our business through Arm Limited, and therefore, our historical consolidated financial statements included in this prospectus present the consolidated results of operations of Arm Limited and its subsidiaries. The consolidated financial statements included in this prospectus do not give effect to our corporate reorganization described in the section titled Corporate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information contained in this prospectus does not amount to statutory accounts within the meaning of section 434(3) of the U.K. Companies Act 2006 (the Companies Act). </w:t>
      </w:r>
    </w:p>
    <w:p>
      <w:pPr>
        <w:pStyle w:val="TextBody"/>
        <w:bidi w:val="0"/>
        <w:spacing w:before="480" w:after="0"/>
        <w:jc w:val="center"/>
        <w:rPr>
          <w:rFonts w:ascii="Times New Roman" w:hAnsi="Times New Roman"/>
          <w:b/>
          <w:sz w:val="20"/>
        </w:rPr>
      </w:pPr>
      <w:bookmarkStart w:id="6" w:name="rom393891_4"/>
      <w:bookmarkEnd w:id="6"/>
      <w:r>
        <w:rPr>
          <w:rFonts w:ascii="Times New Roman" w:hAnsi="Times New Roman"/>
          <w:b/>
          <w:sz w:val="20"/>
        </w:rPr>
        <w:t xml:space="preserve">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certain financial measures that are not presented in accordance with GAAP, including Non-GAAP operating income, Non-GAAP net income from continuing operations and Non-GAAP free cash flow, that are not required by, or prepared in accordance with, GAAP. We refer to these measures as non-GAAP financial measures. See Managements Discussion and Analysis of Financial Condition and Results of OperationsKey Financial and Operating MetricsNon-GAAP Financial Measures for our definitions of these non-GAAP financial measures, information about how and why we use these non-GAAP financial measures and a reconciliation of each of these non-GAAP financial measures to its most directly comparable financial measure calculated in accordance with GAAP. </w:t>
      </w:r>
    </w:p>
    <w:p>
      <w:pPr>
        <w:pStyle w:val="TextBody"/>
        <w:bidi w:val="0"/>
        <w:spacing w:before="480" w:after="0"/>
        <w:jc w:val="center"/>
        <w:rPr>
          <w:rFonts w:ascii="Times New Roman" w:hAnsi="Times New Roman"/>
          <w:b/>
          <w:sz w:val="20"/>
        </w:rPr>
      </w:pPr>
      <w:bookmarkStart w:id="7" w:name="rom393891_5"/>
      <w:bookmarkEnd w:id="7"/>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estimates, projections and other information concerning our industry, our business and the markets for our products, including, but not limited to, our general expectations and market position, market opportunity and market size.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and general publications, government data and similar sources. While we are responsible for the accuracy of such information and believe our internal company research as to such matters is reliable and the market definitions are appropriate, neither such research nor these definitions have been verified by any independent source. </w:t>
      </w:r>
    </w:p>
    <w:p>
      <w:pPr>
        <w:pStyle w:val="TextBody"/>
        <w:bidi w:val="0"/>
        <w:spacing w:before="240" w:after="0"/>
        <w:jc w:val="left"/>
        <w:rPr>
          <w:rFonts w:ascii="Times New Roman" w:hAnsi="Times New Roman"/>
          <w:sz w:val="20"/>
        </w:rPr>
      </w:pPr>
      <w:r>
        <w:rPr>
          <w:rFonts w:ascii="Times New Roman" w:hAnsi="Times New Roman"/>
          <w:sz w:val="20"/>
        </w:rPr>
        <w:t xml:space="preserve">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See Special Note Regarding Forward-Looking Statements. </w:t>
      </w:r>
    </w:p>
    <w:p>
      <w:pPr>
        <w:pStyle w:val="TextBody"/>
        <w:bidi w:val="0"/>
        <w:spacing w:before="480" w:after="0"/>
        <w:jc w:val="center"/>
        <w:rPr>
          <w:rFonts w:ascii="Times New Roman" w:hAnsi="Times New Roman"/>
          <w:b/>
          <w:sz w:val="20"/>
        </w:rPr>
      </w:pPr>
      <w:bookmarkStart w:id="8" w:name="rom393891_6"/>
      <w:bookmarkEnd w:id="8"/>
      <w:r>
        <w:rPr>
          <w:rFonts w:ascii="Times New Roman" w:hAnsi="Times New Roman"/>
          <w:b/>
          <w:sz w:val="20"/>
        </w:rPr>
        <w:t xml:space="preserve">GLOSSARY OF CERTAIN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abbreviations, acronyms and definitions of certain terms used in this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ADAS means advanced driver assistance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AI means artificial intelligence.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China means Arm Technology (China) Co. Ltd, an entity that operates independently of us and is our single largest customer. Acetone Limited, an entity controlled by SoftBank Group and in which we own a 10% non-voting interest, owns approximately 48% of Arm China. Our 10% non-voting interest in Acetone Limited represents an approximate 4.8% indirect ownership interest in Arm China.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Armv9 means the ninth version of the Arm instruction set architecture.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Articles means our articles of association to be in place upon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ASP means average selling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 means consumer electronics.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Citibank means Citibank, N.A., which will serve as the depositary for the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CPU means a central processing unit, which executes the instructions of a computer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CSP means cloud service provider.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win means a customer has chosen to use Arm products in a certain future chip design, including future chip designs under existing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EDA means electronic design automation, a category of software tools for designing electronic systems such as integrated circuits and printed circuit boards.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embedded means embedded processors, which are processors used in embedded systems such as industrial automation, sensors, signage and transportation, and home appliances,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GPU means a graphics processing unit, which is used to accelerate the display of complex graphics onto a screen and can also be used for other mathematical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IC means integrated circuit.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IoT means Internet of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IP means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IPLA means our intellectual property license agreement with Arm China, pursuant to which, among other things, we granted Arm China certain exclusive rights to sublicense our IP to PRC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ISA means instruction set architecture, which specifies how software running on a CPU will behave.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IVI means in-vehicle-infotainment.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ML means machine learning.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NFC means near field communication.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NPU means a neural processing unit, which specializes in the acceleration of ML algorithms.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OEM means an original equipment manufacturer.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open-source means software or hardware design that is released under a license in which the copyright holder grants users the rights to use, study, modify or distribute the computer software or hardware design and its source code on the condition that other software using, incorporating, linking, integrating or bundling with such software be disclosed or distributed in source code form, licensed for the purpose of making derivative works or redistributable at no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Physical IP means the physical IP components used in the process of translating a design of complex SoC integrated circuits into a manufactured chip.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PRC means, for the purpose of this prospectus, the Peoples Republic of China, including the Hong Kong Special Administrative Region and the Macau Special Administrative Region, but excluding Taiwan.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RAND means reasonable and non-discriminatory, which typically is used to describe a voluntary licensing commitment that standards-setting organizations often request from the owner of an IP right that is, or may become, essential to practice a technical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RISC means reduced instruction set computer.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SmartNICs means smart network interface cards.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 IP means components used in an SoC design, other than the CPU, GPU, </w:t>
            </w:r>
            <w:r>
              <w:rPr>
                <w:rFonts w:ascii="Times New Roman" w:hAnsi="Times New Roman"/>
                <w:i/>
                <w:sz w:val="20"/>
              </w:rPr>
              <w:t>etc.</w:t>
            </w:r>
            <w:r>
              <w:rPr>
                <w:rFonts w:ascii="Times New Roman" w:hAnsi="Times New Roman"/>
                <w:sz w:val="20"/>
              </w:rPr>
              <w:t xml:space="preserve">, such as interfaces to external components and on-chip interconnects that bridge functional components within the SoC.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 on Chip or SoC means an integrated circuit that combines multiple functional blocks together in a single chip.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TLA means Technology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x86 means the x86 family of complex ISAs.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v</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9" w:name="rom393891_7"/>
      <w:bookmarkEnd w:id="9"/>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certain information contained elsewhere in this prospectus. This summary may not, and does not purport to, contain all the information that may be important to you, and we urge you to read this entire prospectus carefully, including the Risk Factors, Special Note Regarding Forward-Looking Statements, Business and Managements Discussion and Analysis of Financial Condition and Results of Operations sections and the consolidated financial statements of Arm Limited and the notes to those statements, included elsewhere in this prospectus, before deciding to invest in the ADSs.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North Star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Building the future of computing, on Arm. Together. For everyone.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 is defining the future of computing. Semiconductor technology has become one of the worlds most critical resources, as it enables all electronic devices today. At the heart of these devices is the CPU, and Arm is the industry leader of CPUs. We architect, develop, and license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 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We estimate that approximately 70% of the worlds population uses Arm-based products, and the scale of Arms reach continues to expand, with more than 30 billion Arm-based chips reported as shipped in the fiscal year ended March 31, 2023 alone, representing an approximately 70% increase since the fiscal year ended March 31, 2016.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Today, any company can make a modern computer chip through the unique combination of our energy-efficient CPU IP and related technologies and our unmatched ecosystem of technology partners, and do it cost effectively due to our flexible business model. Each CPU product can be licensed to multiple companies, leading to economies of scale that allow us to charge each licensee only a fraction of what it would cost them to develop internally, while minimizing their risk and time-to-market. With the complexity of CPU design increasing exponentially, over the past decade no company has successfully designed a modern CPU from scratch. We have been innovating at the forefront of compute technology for decades and have established important relationships with the companies driving the future of computing across multiple industries. More than 260 companies reported that they had shipped Arm-based chips in the fiscal year ended March 31, 2023, including the largest technology companies globally (such as Amazon.com, Inc. and Alphabet Inc.), major semiconductor chip vendors (such as Advanced Micro Devices, Inc., Intel Corporation, NVIDIA Corporation, Qualcomm Inc. and Samsung Electronics Co., Ltd.), automotive industry incumbents, leading auto suppliers, IoT innovators, and more.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exponential rise in smart devices in both consumer and enterprise markets has increased the demand for chips that provide more computational capability while optimizing energy efficiency. Thirty years ago, the PC was the only computer with which most people would interact at home, work, or school. Then, mobile phones became computers in our pockets and digital TVs became computers in our living rooms. Now, vehicles are effectively computers on wheels, and servers and networking equipment are the computers that connect all these devices and services together. Additionally, there are billions of tiny low-cost devicesfrom sensors to electric motor controllersthat are now functionally computers, as well. Each of these computers needs at least one CPU, and in many cases more than one. This trend has driven the dramatic growth of Arm-based chips over the past several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creation of the Arm CPU architecture, the worlds most widely used CPU architecture, has resulted in the proliferation and evolution of computers as people know them today, advancing a paradigm of increasing compute performance coupled with industry-leading power efficiency.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Energy efficiency is not only important for business, but it is also a critical component in achieving sustainability for our planet. This makes Arm CPU technology ideal for current and future computing applications as the demands for compute performance are growing exponentially while the need for low power remains critical.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Every CPU has an ISA, which defines the software instructions that can be executed by the CPU, essentially a common language for software developers to use. The ISA sets the foundation for a large library of compatible software which runs on those CPUs. As the Arm CPU is the most popular and pervasive CPU in history, the Arm ISA is also the most popular and pervasive ISA in history. This means that Arm-based chips have a global community of software developers familiar with how to program the CPU. Chip designers utilizing the Arm CPU can add desired functionality (Wi-Fi connectivity, image processing, video processing, </w:t>
      </w:r>
      <w:r>
        <w:rPr>
          <w:rFonts w:ascii="Times New Roman" w:hAnsi="Times New Roman"/>
          <w:i/>
          <w:sz w:val="20"/>
          <w:bdr w:val="single" w:sz="8" w:space="1" w:color="000000"/>
        </w:rPr>
        <w:t>etc.</w:t>
      </w:r>
      <w:r>
        <w:rPr>
          <w:rFonts w:ascii="Times New Roman" w:hAnsi="Times New Roman"/>
          <w:sz w:val="20"/>
          <w:bdr w:val="single" w:sz="8" w:space="1" w:color="000000"/>
        </w:rPr>
        <w:t xml:space="preserve">) to create an SoC to meet the needs of any end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and have created a virtuous cycle of adoption, which means that software developers write software for Arm-based devices because it offers the biggest market for their products, and chip designers choose Arm processors because they have the broadest support of software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combination of pervasiveness and ease of portability has resulted in our CPU designs having the worlds richest software ecosystem, built in partnership with the leading operating systems providers (including Google Android, Microsoft Windows and all major Linux distributions), software tools and game engine vendors (such as Electronic Arts Inc., Unity Software Inc. and Epic Games, Inc.), and application developers. We also support a flourishing ecosystem of third-party tool vendors for embedded software and a vibrant IoT ecosystem. Open-source software plays a vital role in the success of Arm-based chips, and we are committed to contributing to open-source software and tools to ensure our offerings are optimized for the latest technologies.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the world moves increasingly towards AI- and ML-enabled computing, Arm will be central to this transition. Arm CPUs already run AI and ML workloads in billions of devices, including smartphones, cameras, digital TVs, cars and cloud data centers. The CPU is vital in all AI systems, whether it is handling the AI workload entirely or in combination with a co-processor, such as a GPU or an NPU. In the emerging area of large language models, generative AI and autonomous driving, there will be a heightened emphasis on the low power acceleration of these algorithms. In our latest ISA, CPUs, and GPUs, we have added new functionality and instructions to accelerate future AI and ML algorithms. We are working with leading companies such as Alphabet, Cruise LLC, Mercedes-Benz, Meta and NVIDIA to deploy Arm technology to run AI workloads.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 had 5,963 full-time employees across North America, Europe and Asia as of March 31, 2023. We are an engineering-first company, with approximately 80% of our global employees, as of March 31, 2023, focused on research, design, and technical innovation, and we have global operations and research and development (R&amp;D) centers in the U.K., Europe, North America, India, and Asia-Pacific. Our headquarters are located in Cambridge, U.K.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fiscal year ended March 31, 2023, our total revenue was relatively flat at $2,679 million, as compared to $2,703 million in the fiscal year ended March 31, 2022. In the fiscal year ended March 31, 2023,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percentage of total revenue our gross profit margin was 96% and operating income margin was 25%. In the fiscal year ended March 31, 2023, we generated net income from continuing operations of $524 million (Non-GAAP net income from continuing operations of $657 million), compared to $676 million (Non-GAAP net income from continuing operations of $663 million) in the fiscal year ended March 31, 2022. For the fiscal year ended March 31, 2022, our total revenue grew by 33%, to $2,703 million, from $2,027 million in the fiscal year ended March 31, 2021. In the fiscal year ended March 31, 2022, as a percentage of total revenue our gross profit margin was 95% and operating income margin was 23% compared to 93% and 12%, respectively, in the fiscal year ended March 31, 2021. In the fiscal year ended March 31, 2022, we generated net income from continuing operations of $676 million (Non-GAAP net income from continuing operations of $663 million), compared to $544 million (Non-GAAP net income from continuing operations of $207 million) in the fiscal year ended March 31, 2021.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Journey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History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Established in 1990, Arm began as a joint venture between Acorn Computers, Apple Computer, and VLSI Technology. We were publicly listed on the London Stock Exchange and the Nasdaq Stock Market from 1998 until 2016, when we were taken private by SoftBank Group, our controlling shareholder.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original joint venture set out to develop a processor that was high performance, power efficient, easy to program, and readily scalablea goal that continues to define Arm today. Our CPUs initially gained significant traction in mobile phones in the mid-1990s because our energy-efficient processors provided an appropriate level of performance while consuming little power, which was critical for these smaller form factor devices. Over time, mobile phones, and the chips they used, became more advanced and ultimately evolved into the smartphones that are prevalent today. The Arm CPU proved to be critical in enabling the smartphone revolution.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the same revolution.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Strategic Evolution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becoming a private company in 2016, we have made significant investments to further develop and market our products to build on our success in powering the worlds smartphones and other consumer electronic devices. We have focused in recent years on making Arm the ubiquitous provider of compute technology in all market segments by expanding into new markets, including cloud computing, networking, automotive, and IoT, most of which have strong secular tailwinds. Our investments have resulted in a diversified business with more durable growth.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Key elements of our evolution included: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Creating a Market-Led Business with Products Optimized for Specific Verticals.</w:t>
            </w:r>
            <w:r>
              <w:rPr>
                <w:rFonts w:ascii="Times New Roman" w:hAnsi="Times New Roman"/>
                <w:sz w:val="20"/>
              </w:rPr>
              <w:t xml:space="preserve"> We have developed multiple product families, each optimized for markets such as smartphones, cloud computing, networking, automotive and IoT.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Building the New Armv9 Architecture.</w:t>
            </w:r>
            <w:r>
              <w:rPr>
                <w:rFonts w:ascii="Times New Roman" w:hAnsi="Times New Roman"/>
                <w:sz w:val="20"/>
              </w:rPr>
              <w:t xml:space="preserve"> Leveraging the progress made by previous generations of our products, we embarked on the development of the Armv9 architecture, the ninth version of the Arm ISA. Today, the Armv9 architecture powers CPUs that offer improved security and performance across various applications. Consequently, the Armv9 architecture has the potential to drive our royalty opportunity per device even higher.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Broadening our Compute Platforms.</w:t>
            </w:r>
            <w:r>
              <w:rPr>
                <w:rFonts w:ascii="Times New Roman" w:hAnsi="Times New Roman"/>
                <w:sz w:val="20"/>
              </w:rPr>
              <w:t xml:space="preserve"> We have curated, integrated, and optimized our CPU and system-design components together into foundational compute platforms to deliver best-in-class performance and energy efficiency for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Expanding our Value Proposition for Customers.</w:t>
            </w:r>
            <w:r>
              <w:rPr>
                <w:rFonts w:ascii="Times New Roman" w:hAnsi="Times New Roman"/>
                <w:sz w:val="20"/>
              </w:rPr>
              <w:t xml:space="preserve"> As building chips using the most advanced manufacturing processes became more complex and more costly, the opportunity to expand our product offerings to our customers increased. As a result, we have created more advanced and optimized CPU products that enable us to provide more value to our customers by giving their devices more functionality and more performance while using less power and at lower cost.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Introducing New Licensing Models with Increased Focus on Maximizing Royalty Opportunities.</w:t>
            </w:r>
            <w:r>
              <w:rPr>
                <w:rFonts w:ascii="Times New Roman" w:hAnsi="Times New Roman"/>
                <w:sz w:val="20"/>
              </w:rPr>
              <w:t xml:space="preserve"> By licensing a portfolio of Arm products (rather than licensing a single CPU product or other technology design), we have made it easier and more compelling for customers to access and utilize more Arm products, further broadening our potential customer base and end market penetration. Our licensing models provide greater flexibility to our customers and maximize our opportunities to secure more design wins for our products, which results in greater opportunities to increase our recurring royalty revenue.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Diversifying and Deepening our Relationships with Market Leaders</w:t>
            </w:r>
            <w:r>
              <w:rPr>
                <w:rFonts w:ascii="Times New Roman" w:hAnsi="Times New Roman"/>
                <w:sz w:val="20"/>
              </w:rPr>
              <w:t xml:space="preserve">. We have established close partnerships with leading companies across all of our target markets, including, among others, Guangdong OPPO Mobile Telecommunications Corp., Ltd., Samsung, vivo Mobile Communication Co., Ltd. and Xiaomi Communications Co., Ltd. in mobile computing, Amazon and Alibaba Group Holding Limited in cloud compute, Cruise and Mercedes-Benz in advanced automotive, and Raspberry Pi Ltd, Schneider Electric SE and Siemens AG in industrial IoT.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Industry Background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Semiconductors are indispensable to everyday life. In todays technology-driven world, semiconductors are the enablers of the devices and infrastructure that facilitate virtually everything people do, such as making a phone call, sending an email, storing files in the cloud, streaming videos, or traveling by car, train, or plane. Almost all of the products and services people use every day rely on semiconductors. Manufacturing, logistics, city infrastructure, and building management also increasingly build their processes and services around semiconductor-enabled devices. As consumers and enterprises continue to demand more from their devices, the pervasiveness of high-performance and energy-efficient semiconductors will continue to expand. We believe there are several key trends driving the growth and evolution of the semiconductor industry.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Proliferation of Smart, Connected Devices Supporting an Increasingly Digital World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world is becoming increasingly digital with the proliferation of smart, connected devices, such as smartphones, wearables, PCs, tablets, and other electronic devices. Even everyday products like washing machines, thermostats, and utility meters are becoming more advanced. According to Deloittes 2022 Connectivity and Mobile Trends Survey, the average U.S. household had 22 connected devices in 2022, doubling from 11 devices in 2019. The market trend to make nearly all products smart and connected is not just limited to consumer electronics, but is also driving a wave of innovation across a broad range of end markets and use cases.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Increased Need for High-Performance, Power-Efficient Compute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massive expansion of data, advanced software applications, and AI are driving the need for high-performance compute capabilities. To address increasingly complex workloads, a key approach has been to increase the speed of a CPU and expand the number of processor cores per chip. For instance, the number of cores per high end Arm-based chip has increased from 8 in 2016 to 192 in 2023. Solely running an existing chip faster may deliver more compute performance, but increasing performance results in higher energy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costs, which may cause thermal limits to be exceeded. Collectively, these considerations result in the need for innovation in chip design to address market demands for an optimal balance of performance, efficiency, size, and cost across end markets.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Increasing Complexity and Cost of Designing Leading-Edge Solutions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resources required to develop leading-edge products are significant and continue to increase exponentially as manufacturing process nodes shrink. According to the International Business Strategy, Inc. (IBS), IC design costs were approximately $249 million for a 7nm chip and approximately $725 million for a 2nm chip, representing approximately a three-times increase in design cost as compared to a 7nm chip. Design partners play an increasingly valuable role in the chip design process by providing specialized capabilities and expertise that enable semiconductor suppliers to focus on their core product differentiation, while keeping pace with market innovation. Design partners facilitate innovation and enhance customers competitive positioning by reducing the complexity, risk, and cost of a significant part of the development cycle. For example, to design a 2nm chip, IBS estimates that the software development, verification, and IP qualification is 71% of the overall cost. In addition, design partners, like Arm, that can demonstrate a deep understanding of their customers workloads are better positioned to integrate themselves into their customers workflows, further expanding their value proposition over time.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Growth of In-House Development and Custom Silicon Chips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Many OEMs today utilize off-the-shelf, or merchant, semiconductors when building their product offerings. However, this approach can introduce compromises. For example, an OEM may use a chip that includes features that are irrelevant for its use case, at the expense of performance and cost efficiency. Similarly, an OEM may need a chip that incorporates features not otherwise available from a merchant supplier. As a result, leading OEMs are increasingly looking to build custom chips in-house that deliver greater performance and greater efficiency at an equal or better price for a particular use case. The success of Arm-based products such as Amazons Graviton, deployed across Amazon data centers globally, have demonstrated the opportunity to create a sustainable competitive advantage through this approach. For example, Amazon claims that Graviton delivers up to 40% better price performance over comparable x86-based systems. This trend of increasing use of in-house developed solutions has significantly expanded the opportunity for Arm.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Solution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the most pervasive CPU architecture in the world. The key elements of our solution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Arm CPUs. </w:t>
            </w:r>
            <w:r>
              <w:rPr>
                <w:rFonts w:ascii="Times New Roman" w:hAnsi="Times New Roman"/>
                <w:sz w:val="20"/>
              </w:rPr>
              <w:t xml:space="preserve">The foundation of our product offerings is our market-leading CPU products. Our CPU products leverage our common scalable ISA and address the widest range of performance, power, and cost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Design Offerings</w:t>
            </w:r>
            <w:r>
              <w:rPr>
                <w:rFonts w:ascii="Times New Roman" w:hAnsi="Times New Roman"/>
                <w:b/>
                <w:sz w:val="20"/>
              </w:rPr>
              <w:t xml:space="preserve">. </w:t>
            </w:r>
            <w:r>
              <w:rPr>
                <w:rFonts w:ascii="Times New Roman" w:hAnsi="Times New Roman"/>
                <w:sz w:val="20"/>
              </w:rPr>
              <w:t xml:space="preserve">We have a portfolio of products that are deployed alongside our CPUs,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Graphics Processing Units.</w:t>
            </w:r>
            <w:r>
              <w:rPr>
                <w:rFonts w:ascii="Times New Roman" w:hAnsi="Times New Roman"/>
                <w:sz w:val="20"/>
              </w:rPr>
              <w:t xml:space="preserve"> We offer a family of GPU products providing an optimal visual experience across a wide range of devices.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System IP. </w:t>
            </w:r>
            <w:r>
              <w:rPr>
                <w:rFonts w:ascii="Times New Roman" w:hAnsi="Times New Roman"/>
                <w:sz w:val="20"/>
              </w:rPr>
              <w:t xml:space="preserve">Complementary design components that enable designers to create high performance, power-efficient, reliable, and secure chips.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Compute Platform Products.</w:t>
            </w:r>
            <w:r>
              <w:rPr>
                <w:rFonts w:ascii="Times New Roman" w:hAnsi="Times New Roman"/>
                <w:sz w:val="20"/>
              </w:rPr>
              <w:t xml:space="preserve"> Arms CPU, GPU, and System IP products integrate into a foundational compute platform optimized for a specific end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Development Tools and Software.</w:t>
            </w:r>
            <w:r>
              <w:rPr>
                <w:rFonts w:ascii="Times New Roman" w:hAnsi="Times New Roman"/>
                <w:sz w:val="20"/>
              </w:rPr>
              <w:t xml:space="preserve"> Our tools and software support the development and deployment of our offerings.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continue to expand the scope of our product offerings, investing in more holistic, end-market optimized designs, expanding beyond individual design IP to providing subsystem designs. Given the complexities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developing chips using the most advanced manufacturing processes, we are making significant investments to better support the increasing number of OEMs looking to develop their own customized chips.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we have cultivated a broad ecosystem of third-party hardware and software partners to support our customers. Our partners include leading semiconductor technology suppliers, including foundries (such as GlobalFoundries Inc., Intels Foundry Services business, Taiwan Semiconductor Manufacturing Company Limited and United Microelectronics Corporation) and EDA vendors (such as Cadence Design Systems, Inc., Synopsys, Inc. and Siemens). We also invest in our software ecosystem and work closely with firmware and operating system vendors (such as Amazon Linux, Canonical Ltd., Google LLC, Microsoft, Red Hat, Inc., VMware, Inc. and Wind River Systems, Inc.), game engine vendors (such as Unity and Epic Games), software tool providers (such as Green Hills Software LLC, IAR Systems AB and Lauterbach GmbH), and application software developers (such as Adobe Inc., EA, King.com Ltd. and Microsoft).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the primary customer benefits of our solution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Ability to Optimize for Performance, Power and Area</w:t>
            </w:r>
            <w:r>
              <w:rPr>
                <w:rFonts w:ascii="Times New Roman" w:hAnsi="Times New Roman"/>
                <w:i/>
                <w:sz w:val="20"/>
              </w:rPr>
              <w:t xml:space="preserve">. </w:t>
            </w:r>
            <w:r>
              <w:rPr>
                <w:rFonts w:ascii="Times New Roman" w:hAnsi="Times New Roman"/>
                <w:sz w:val="20"/>
              </w:rPr>
              <w:t xml:space="preserve">Arms flexible and modular design IP enables customers to build chips optimized 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Alignment with the Semiconductor Industrys Technology Roadmap</w:t>
            </w:r>
            <w:r>
              <w:rPr>
                <w:rFonts w:ascii="Times New Roman" w:hAnsi="Times New Roman"/>
                <w:i/>
                <w:sz w:val="20"/>
              </w:rPr>
              <w:t>.</w:t>
            </w:r>
            <w:r>
              <w:rPr>
                <w:rFonts w:ascii="Times New Roman" w:hAnsi="Times New Roman"/>
                <w:sz w:val="20"/>
              </w:rPr>
              <w:t xml:space="preserve"> As leading-edge manufacturing processes continue to progress towards 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to provide processor products that not only optimize for power and performance, but also accelerate time to market for our customers. In addition, through our deep customer and partner relationships, we have unique visibility into the future requirements of end markets as far as 10 years out, which informs the development of our products to ensure that our products meet or exceed future market needs.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Reduced Design Risk and Cost.</w:t>
            </w:r>
            <w:r>
              <w:rPr>
                <w:rFonts w:ascii="Times New Roman" w:hAnsi="Times New Roman"/>
                <w:sz w:val="20"/>
              </w:rPr>
              <w:t xml:space="preserve"> Our solution allows customers to build optimized chips, while reducing their design execution risk and their internal development costs. We generally expect to license our products to multiple customers, enabling us to completely cover the cost of developing new Arm products by charging each licensee only a portion of the total development costs. We invest significant time, resources and effort in the design and verification of each processor and work closely with our partners to ensure a standard of excellence in the processor products we deliver to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Incorporation of AI and ML Acceleration in Every Processor We Design.</w:t>
            </w:r>
            <w:r>
              <w:rPr>
                <w:rFonts w:ascii="Times New Roman" w:hAnsi="Times New Roman"/>
                <w:sz w:val="20"/>
              </w:rPr>
              <w:t xml:space="preserve"> Using an AI or ML algorithm is just another way of programming the software needed to run a chip, and we expect that AI and ML algorithms will complement the software used by most chips in the future, from high-end super computers to tiny, remote sensors. Arm processors run AI and ML workloads, and every smartphone currently in the market efficiently runs AI inference applications, such as voice recognition and applying filters to digital images. To ensure that software developers can efficiently run the AI and ML workloads, each generation of our processors is designed to accelerate key parts of algorithms that will be used in future applications.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Market Opportunity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define our total addressable market (TAM) to include all chips that can contain a processor and, therefore, our TAM includes the main controller chips in smartphones, PCs, digital TVs, servers, vehicles and networking equipment. Our TAM excludes chips that are unlikely to contain a processor, such as memory and analog chips.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calendar year ended December 31, 2022, we estimate that our TAM was approximately $202.5 billion and we forecast that our TAM will grow at a 6.8% compound annual growth rate (CAGR) to approximately $246.6 billion by the end of the calendar year ending December 31, 2025. We estimate that the aggregate value of chips containing Arm technology was approximately $98.9 billion in the calendar year ended December 31, 2022, representing an approximate 48.9% market share as compared to an approximate 42.3% market share as of December 31, 2020. We estimate that our royalty revenue as of December 31, 2022 represented approximately 1.7% of the industry TAM containing Arm-based chips. We expect that the cost and complexity of chip design will continue to increase, and that we will be able to contribute a greater proportion of the technology included in each chip, resulting in our royalties comprising a greater proportion of each chips total value. Our calculation of TAM is based on a combination of third-party sources, customer reports and our own internal assessments and judgment.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Mobile Applications Processor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 expect the mobile applications processor market to grow from approximately $29.9 billion in the calendar year ended December 31, 2022 to approximately $36.0 billion in the calendar year ending December 31, 2025, representing a CAGR of 6.4% over that period. We have maintained market share in the mobile applications processor market of greater than 99% for many years, by virtue of all key mobile operating systems depending on Arm processors.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expect the value of the market for mobile applications processors to continue to grow, particularly in light of several smartphone usage trends that are increasing the need for high-performance processing capabilities, including the shift to 5G, growth in mobile gaming, and emergence of AI and ML workloads.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Other Mobile Chips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Mobile phones contain many chips beyond the main applications processor, including the modem, Wi-Fi, Bluetooth and NFC connectivity chips, GPS chips, touchscreen controllers, power management chips, camera chips, audio chips and more, which we refer to collectively as the other mobile chips market. We expect the other mobile chips market to remain relatively flat at approximately $17.6 billion in the calendar year ended December 31, 2022 and approximately $17.5 billion in the calendar year ending December 31, 2025, representing a CAGR of (0.2)% over that period.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Consumer Electronics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 includes products found in the home, such as digital TVs, tablets, laptops, extended reality (XR) headsets and wearables. The market share of Arm-based chips in consumer electronics is increasing as new product categories, such as smart speakers, XR headsets and laptops, adopt Arm products to achieve high performance without sacrificing efficiency. We expect the CE chip market to grow from approximately $46.9 billion in the calendar year ended December 31, 2022 to approximately $53.2 billion in the calendar year ending December 31, 2025, representing a CAGR of 4.3% over that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Industrial IoT and Embedded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industrial IoT and embedded semiconductor TAM includes chips used by a wide range of goods, including washing machines, thermostats, digital cameras, drones, sensors, surveillance cameras, manufacturing equipment, robotics, electric motor controllers and city infrastructure and building management equipment. We expect the industrial IoT and embedded chip market to grow from approximately $41.5 billion in the calendar year ended December 31, 2022 to $50.5 billion in the calendar year ending December 31, 2025, representing a CAGR of 6.7% over that period. Our market share in the IoT and embedded chip market has grown from 58.4% as of December 31, 2020 to 64.5% as of December 31, 2022.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Networking Equipment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networking equipment TAM includes chips deployed into wireless networking such as base-station equipment, enterprise Wi-Fi, and wired networking equipment such as routers and switches. The market is growing as more wired and wireless infrastructure is deployed, as much of the data consumed in the cloud is created at the edge and needs to be transmitted over networks to the data center for processing. We expect the networking equipment chip market to grow from approximately $17.2 billion in the calendar year ended December 31, 2022 to approximately $18.2 billion in the calendar year ending December 31, 2025, representing a CAGR of 1.8% over that period. Our market share in the networking equipment market has increased from 18.8% as of December 31, 2020 to 25.5% as of December 31, 2022. Arm is poised to accelerate market-share gains resulting from the deployment of 5G networks, as infrastructure scales from fewer large cell towers covering a wide area to a large number of small cells providing high-speed coverage, with a single architecture across both large and small cells to allow for flexible deployment of software and workloads.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Cloud Compute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cloud compute market includes the main server chips, data processing units (DPUs), and smart network interface cards (SmartNICs) used by CSPs to run their operations. The increase in cloud computing has been driven by the rapid increase in data traffic generated by consumers and enterprises globally and by the migration of enterprise workloads to the cloud. We expect the cloud compute market to grow from approximately $17.9 billion in the calendar year ended December 31, 2022 to approximately $28.4 billion in the calendar year ending December 31, 2025, representing a CAGR of 16.6% over that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Arm-based chips have been gaining market share as CSPs have started to deploy Arm products in their own in-house designed chips used in their data centers, and as other CSPs start to deploy chips designed by Arm licensees. As a result, we expect our market share of cloud compute to grow significantly faster than the overall cloud compute market. Our market share in the cloud compute market has grown from 7.2% as of December 31, 2020 to 10.1% as of December 31, 2022.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Other Infrastructure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Other Infrastructure refers to the technological components and systems that support various aspects of computing, networking, and data processing and include chips deployed into high-performance computing (HPC) systems, enterprise servers, and edge networking equipment. We expect the other infrastructure market to grow from approximately $12.7 billion in the calendar year ended December 31, 2022 to approximately $13.7 billion in the calendar year ending December 31, 2025, representing a CAGR of 2.7% over that period. Our market share in the other infrastructure market has grown from 9.1% as of December 31, 2020 to 16.2% as of December 31, 2022.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Automotive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automotive TAM includes all chips with processors within vehicles. This includes chips used for IVI, ADAS, engine management, and body and chassis control. The automotive TAM is expected to increase as ADAS, electrification, IVI, and eventually autonomous driving, accelerate requirements for higher compute performance in newly manufactured vehicles. We expect the automotive chip market to grow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approximately $18.8 billion in the calendar year ended December 31, 2022 to approximately $29.1 billion in the calendar year ending December 31, 2025, representing a CAGR of 15.7% over that period. Today, our market share in the automotive market is highest in more technologically advanced functional areas such as IVI and ADAS. Our market share in the automotive market has grown from 33.0% as of December 31, 2020 to 40.8% as of December 31, 2022. As automotive electronics continue to transition from hardware-defined to software-defined architecture and compute, a trend that mirrors evolution of the smartphone, we believe we are well-positioned to outpace the growth of the overall automotive market.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Business Model and Customers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open and flexible business model provides access to high-quality CPU products for a wide range of potential customer types and end markets. We license our products to semiconductor companies, OEMs, and other organizations to design their chips. Our customers license our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Competitive Strengths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enjoyed success for more than 30 years by providing market-leading technology, adapting our solution to changing market needs and building a software developer ecosystem unlike any other in history. Our competitive strengths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Technology Leadership with Proven Capabilities Across Markets</w:t>
            </w:r>
            <w:r>
              <w:rPr>
                <w:rFonts w:ascii="Times New Roman" w:hAnsi="Times New Roman"/>
                <w:b/>
                <w:sz w:val="20"/>
              </w:rPr>
              <w:t xml:space="preserve">. </w:t>
            </w:r>
            <w:r>
              <w:rPr>
                <w:rFonts w:ascii="Times New Roman" w:hAnsi="Times New Roman"/>
                <w:sz w:val="20"/>
              </w:rPr>
              <w:t xml:space="preserve">Arms CPU technology has been an industry leader for many years and continues to be the most widely deployed architecture globally. We estimate that Arm had an approximate 48.9% market share by value in the calendar year ended December 31, 2022, up from approximately 39.7% in the calendar year ended December 31, 2014. Our products are used in virtually all smartphones, a majority of tablets and digital TVs, and a significant proportion of all chips with embedded processors. We have an established presence in the cloud market, working with many of the largest hyperscalers, and in the automotive market, we work with leading OEMs and suppliers.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Worlds Most Extensive Ecosystem of Third-Party Software and Hardware Partners</w:t>
            </w:r>
            <w:r>
              <w:rPr>
                <w:rFonts w:ascii="Times New Roman" w:hAnsi="Times New Roman"/>
                <w:b/>
                <w:sz w:val="20"/>
              </w:rPr>
              <w:t xml:space="preserve">. </w:t>
            </w:r>
            <w:r>
              <w:rPr>
                <w:rFonts w:ascii="Times New Roman" w:hAnsi="Times New Roman"/>
                <w:sz w:val="20"/>
              </w:rPr>
              <w:t xml:space="preserve">Arm has the worlds largest ecosystem of third-party software and hardware partners, including chip design and verification tools vendors, advanced fabrication, operating system and application vendors, software tools providers, and training and support services companies. As of March 31, 2023, more than 1,000 partner companies were invested in developing products that complement Arms technology and there were more than 8 million apps running on Arm-based devices built by more than 15 million developers designing software for Arm-based systems. We estimate that, Arms engineers invested more than 10 million hours in creating the base software and tools for chips containing Armv8 processors, and that the developers have then spent another 1.5 billion hours creating their apps and software. We also estimate that Arm will be investing more than 30 million hours creating the base software and tools for Armv9 processors, which will enable the next generation of apps and software for Arm-based chips.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Deep Integration with Customers and Ecosystem Partners</w:t>
            </w:r>
            <w:r>
              <w:rPr>
                <w:rFonts w:ascii="Times New Roman" w:hAnsi="Times New Roman"/>
                <w:b/>
                <w:sz w:val="20"/>
              </w:rPr>
              <w:t xml:space="preserve">. </w:t>
            </w:r>
            <w:r>
              <w:rPr>
                <w:rFonts w:ascii="Times New Roman" w:hAnsi="Times New Roman"/>
                <w:sz w:val="20"/>
              </w:rPr>
              <w:t xml:space="preserve">We work closely with our customers and ecosystem partners to understand future industry trends and the evolution of end markets. We have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worked in partnership with our top 10 customers by royalty revenue, for the fiscal year ended March 31, 2023, for an average of over 20 years. When a major semiconductor company licenses Arm products to deploy in their product roadmap, they are committing to use Arm products in multiple generations of their future chips. This requires us to not only work closely with our direct customers, but also with other elements of the ecosystem to understand and align product plans. Our collaborative relationships with partners in our extensive ecosystem, including companies that contribute design tools, manufacturing capabilities, software and other components, provide us with unique insights across the entire semiconductor industry, enabling us to invest in developing new products years, and sometimes up to a decade, before the products are deployed to end-users.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Efficient Model and Long-Term Visibility Enables Investment in Future Products.</w:t>
            </w:r>
            <w:r>
              <w:rPr>
                <w:rFonts w:ascii="Times New Roman" w:hAnsi="Times New Roman"/>
                <w:sz w:val="20"/>
              </w:rPr>
              <w:t xml:space="preserve"> Our business model provides significant flexibility to fund long-term investments in future products. We have a capital-light and people-focused model, with most of our investments directed at hiring and retaining engineers undertaking advanced research and development. In the fiscal year ended March 31, 2023, we generated $2,573 million gross profit, allowing us to fund extensive investments in research and development for products that will be licensed in the future, with royalty fees to follow for years, and often decades,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Some products continue to generate royalty revenue even after 25 years following their initial 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We Satisfy our Customers Processor Design Needs in a Mutually Beneficial Way.</w:t>
            </w:r>
            <w:r>
              <w:rPr>
                <w:rFonts w:ascii="Times New Roman" w:hAnsi="Times New Roman"/>
                <w:sz w:val="20"/>
              </w:rPr>
              <w:t xml:space="preserve"> We invest extensively in creating leading products that can be used across 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 house.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World-Class R&amp;D Team with a Proven Track Record of Innovation. </w:t>
            </w:r>
            <w:r>
              <w:rPr>
                <w:rFonts w:ascii="Times New Roman" w:hAnsi="Times New Roman"/>
                <w:sz w:val="20"/>
              </w:rPr>
              <w:t xml:space="preserve">We are an engineering-first company, with 4,753 of our employees, or approximately 80% of our global employees, as of March 31, 2023, focused on research, design, and technical innovation. Our customers rely on us to deliver advanced technology, leveraging our extensive capabilities and scale across our CPU, GPU, systems, and platform products. Our culture encourages cross collaboration between teams and individuals, and we highly value collective effort. As a result of our unique reach and impact, we are able to attract and retain some of the brightest semiconductor engineers in the world. Our research and development team is prolific at developing new inventions, for which we seek patents to the greatest extent possible. As of March 31, 2023, we owned or co-owned a portfolio of approximately 6,800 issued patents and had approximately 2,700 patent applications pending worldwide, many of which are relevant to the key technologies used in many of the chips manufactured today.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Growth Strategies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assess our investments through the lens of sustainable growth. Our research and development and new business initiatives are often tied to revenue streams five to ten years in the future, while our historical investments drive revenue and enable profitability and cash flow generation today. Key levers of our growth strategy are: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Gain or Maintain Share in Long-Term Growth Markets. </w:t>
            </w:r>
            <w:r>
              <w:rPr>
                <w:rFonts w:ascii="Times New Roman" w:hAnsi="Times New Roman"/>
                <w:sz w:val="20"/>
              </w:rPr>
              <w:t xml:space="preserve">We already have significant market share in some high-value markets, such as mobile applications processors, which enables us to invest in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growth opportunities. As of December 31, 2022, our market share in growth markets, including cloud computing, networking equipment, automotive and consumer electronics, was 10.1%, 25.5%, 40.8% and 32.3%, respectively. We believe that the increasing need for high-powered and energy-efficient computing, as well as our continued investments, will enable us to grow our market share in these segments.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Increase the Value of Arm Processors in Every Smart Device</w:t>
            </w:r>
            <w:r>
              <w:rPr>
                <w:rFonts w:ascii="Times New Roman" w:hAnsi="Times New Roman"/>
                <w:sz w:val="20"/>
              </w:rPr>
              <w:t xml:space="preserve">. As chip designs become more advanced and complex, we believe that our investments in additional functionality, higher performance, higher efficiency, and more specialized designs will allow us to deliver more value to our customers. These innovations enable us to license more advanced Arm products, and for our customers to implement Arm-based chips with multiple CPUs and more cores, all of which allow us to capture more value per chip.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Expand our System IP and SoC Offerings</w:t>
            </w:r>
            <w:r>
              <w:rPr>
                <w:rFonts w:ascii="Times New Roman" w:hAnsi="Times New Roman"/>
                <w:i/>
                <w:sz w:val="20"/>
              </w:rPr>
              <w:t xml:space="preserve">. </w:t>
            </w:r>
            <w:r>
              <w:rPr>
                <w:rFonts w:ascii="Times New Roman" w:hAnsi="Times New Roman"/>
                <w:sz w:val="20"/>
              </w:rPr>
              <w:t xml:space="preserve">To enable further improvements in performance and efficiency, we continue to develop a broader set of configurable systems IP offerings, including proven on-chip interconnect, security IP, memory controllers, and other design IP to be used with our processors, including the integration of multiple IP technologies into a subsystem and additional information to assist in fabrication. More recently, we have invested in a holistic, solution-focused approach to design, expanding beyond individual design IP elements to providing a more complete system. By delivering SoC solutions optimized for specific use cases, we can ensure that the entire system works together seamlessly to provide maximum performance and efficiency. At the same time, by designing an increasingly greater portion of the overall chip design, we are further reducing incremental development investment and risk borne by our customers while also enabling us to capture more value per device.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Invest in Next-Generation Technologies. </w:t>
            </w:r>
            <w:r>
              <w:rPr>
                <w:rFonts w:ascii="Times New Roman" w:hAnsi="Times New Roman"/>
                <w:sz w:val="20"/>
              </w:rPr>
              <w:t xml:space="preserve">We continuously evaluate emerging markets and technologies that may enable us to create more advanced products that bring more value to our customers and ecosystem. For example, we are leading the way in integrating AI and ML capabilities across all devices through our highly scalable architecture. All modern smartphones are AI and ML capable by virtue of their Arm processors, and we are increasingly working with companies in other markets, such as consumer electronics and automotive, to deploy AI-based solutions. For the networking, cloud and data center markets, we continue to add AI-specific features to our CPUs to enable market-leading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Benefit from the Flexibility of Arm Products</w:t>
            </w:r>
            <w:r>
              <w:rPr>
                <w:rFonts w:ascii="Times New Roman" w:hAnsi="Times New Roman"/>
                <w:i/>
                <w:sz w:val="20"/>
              </w:rPr>
              <w:t xml:space="preserve">. </w:t>
            </w:r>
            <w:r>
              <w:rPr>
                <w:rFonts w:ascii="Times New Roman" w:hAnsi="Times New Roman"/>
                <w:sz w:val="20"/>
              </w:rPr>
              <w:t xml:space="preserve">Each Arm processor provides a certain compute capability within a power budget and, as such, can be used in multiple different devices that have similar compute requirements. An Arm customer who may have designed a processor for one application may, in the future, find additional applications that can utilize this technology. Consequently, Arm products may be used in new products for new end markets for many years or, in some cases, decades. For example, a processor originally licensed to go into a chip for a smartphone can also be used in a chip for a tablet, digital TV, or smart speaker. We expect this trend to continue with the growing proliferation of devices and use cases.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Expand Access to Arm Products Through our Flexible Business Model.</w:t>
            </w:r>
            <w:r>
              <w:rPr>
                <w:rFonts w:ascii="Times New Roman" w:hAnsi="Times New Roman"/>
                <w:sz w:val="20"/>
              </w:rPr>
              <w:t xml:space="preserve"> We are focused on making Arm products as easy as possible to access and to integrate into a chip design. We continuously assess ways to expand our flexible engagement model to provide all companies with easy access to Arm products, including low- and no-cost offerings for startups. In recent years and with a growing portfolio of new products, we have started to move customers onto product portfolio licenses, where each customer will gain access to a broad portfolio of Arm products. Our business model makes licensing our products much easier by allowing our customers to quickly gain access to Arm products. We believe our business model will encourage customer experimentation and result in a broader range of Arm features being used. Our business model is also designed to provide better alignment between pricing and the value delivered by us across low- and high-end devices.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 Holdings plc was incorporated as a private limited company with the legal name Arm Holdings Limited under the laws of England and Wales on April 9, 2018, with the company number 11299879. Arm Holdings Limited re-registered as a public limited company under the laws of England and Wales on             , 2023 and changed its name to Arm Holdings plc.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(at which time it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Group. On March 19, 2018, as a part of a reorganization, Arm Holdings plc with the company number 02548782 re-registered as a private limited company and was renamed SVF HoldCo (UK) Limited, which became a subsidiary of SoftBank Vision Fund L.P. (SoftBank Vision Fund), which retained an approximate 25% interest in our company with the remainder beneficially held by SoftBank Group. In August 2023, a subsidiary of SoftBank Group acquired substantially all of SoftBank Vision Funds interest in Arm Limited at a purchase price of approximately $16.1 billion, with the associated payments to be made in installments over a two-year period. The purchase price was established by reference to the terms of a prior contractual arrangement between the parties. Accordingly, prior to this offering, SoftBank Group beneficially owns substantially all of our outstanding shares. Our registered office is 110 Fulbourn Road, Cambridge, Cambridgeshire, CB1 9NJ, U.K., and the telephone number at that office is +44 (1223) 400 400.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office for Arm Inc., our U.S. subsidiary, is located at 120 Rose Orchard Way, San Jose, CA 95134, and our telephone number at that office is +1 (408) 576-1500.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www.arm.com. We have included our website address in this prospectus solely as an inactive textual reference. Information contained on, or that can be accessed through, our website is not incorporated by reference into this prospectus, and you should not consider information on our website to be part of this prospectus. Our agent for service of process in the United States is Arm,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Reorganization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completion of this offering, we undertook a corporate reorganization pursuant to which Arm Holdings Limited acquired all the issued ordinary shares of Arm Limited. In connection with the corporate reorganization, the shareholders of Arm Limited exchanged each of the ordinary shares held by them in Arm Limited for newly issued ordinary shares of Arm Holdings Limited of the same class and in the same proportions as their previous shareholdings in Arm Limited. As a result, Arm Limited became a wholly-owned subsidiary of Arm Holdings Limited. On             , 2023, Arm Holdings Limited re-registered as a public limited company under the laws of England and Wales and changed its name from Arm Holdings Limited to Arm Holdings plc. The consolidated financial statements included in this prospectus do not show the effect of the corporate reorganization. See Corporate Reorganization for more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ADSs. Among these important risks are the following: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Our Business and Industry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our products and services primarily depends on trends in the semiconductor and electronics industries and the demand for the products of our customers and our customers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our products and services depends on their acceptance by semiconductor and systems companies and their compatibility with, and the costs of, the design and manufacturing processes of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intense competition and could lose market share to our competitors.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attract new customers and sell additional products to our existing customers, our business, results of operations, financial condition and prospects may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 parties to market and sell products incorporating our products and to enhance the value of our licensed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particularly our licensing and royalty revenues, can vary significantly between periods and may be unpredictable.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may decide to license our architecture and develop their own processors based on our architecture, rather than utilize our processor products pursuant to an implementation license.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total revenue comes from a limited number of customers, which exposes us to greater risks than if our customer base were more diversified.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Consolidation in the semiconductor and electronics industries could have a material adverse effect on our business, results of operations, financial condition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revenues predominantly come from a limited number of end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develop new products in response to, or in anticipation of, rapid technological changes in our industry or the industries we serve, our business may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new products requires us to expend significant resources without assurances that we will generate revenue in the amounts we anticipate, on the expected timeline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our commercial relationship with Arm China to access the PRC market. If that commercial relationship no longer existed or deteriorates, our ability to compete in the PRC market could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we nor SoftBank Group control the operations of Arm China, which operates independently of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future operating results may be materially and adversely affected by global economic conditions and other events outside of our control.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products do not conform to, or are not compatible with, existing or emerging industry standards, demand for our products may decrease.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sued by third parties for alleged infringement, misappropriation or other violation of their IP rights or proprietary rights and our defense against these claims can be costly.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Errors, defects, bugs or security vulnerabilities in or associated with our products could expose us to liability and damage our brand and reputation, which could harm our competitive position and result in a loss of market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Government Regulation and Legal Compliance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international operations expose us to risks in international jurisdictions and we may be negatively impacted by export restrictions and trade barriers.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Our Status as a Controlled Company and Foreign Private Issuer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a controlled company within the meaning of the Nasdaq corporate governance rules and, as a result, be eligible to rely on exemptions from certain corporate governance requirements that provide protection to stockholders of companies that are not controlled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long as SoftBank Group controls us, other holders of our ordinary shares and ADSs will have limited ability to influence matters requiring stockholder approval or the composition of our Board of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SoftBank Groups interests may conflict with our own interests and those of holders of our ADSs.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we are a foreign private issuer, we may opt out of certain Nasdaq corporate governance rules applicable to public companies organized in the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our foreign private issuer status, which would then require us to comply with the Exchange Acts domestic reporting regime and cause us to incur significant legal, accounting and other expenses.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status as a foreign private issuer exempts us from compliance with certain laws and rules of the SEC and certain regulations of Nasdaq. Consequently, we are not subject to all the disclosure requirements applicable to U.S. public companies. For example, we are exempt from certain rules under the Exchange Act that regulate disclosure obligations and procedural requirements related to the solicitation of proxies, consents or authorizations applicable to a security registered under the Exchange Act. In addition, our executive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us than there is for U.S. public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Regulation FD (Fair Disclosure), which is aimed at preventing issuers from making selective disclosures of material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such time as we no longer qualify as a foreign private issuer. In order to maintain our current status as a foreign private issuer, either a majority of our outstanding voting securities must be directly or indirectly held of record by non-residents of the U.S., or, if a majority of our outstanding voting securities are directly or indirectly held of record by U.S. residents, a majority of our executive officers or directors may not be U.S. citizens or residents, more than 50% of our assets cannot be located in the U.S. and our business must be administered principally outside the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taken advantage of certain of these reduced reporting and other requirements in this prospectus. Accordingly, the information contained herein may be different from the information you receive from other public companies in which you hold equity securities. In addition, as a foreign private issuer we intend to rely on and comply with certain home country governance requirements and exemptions thereunder rather than complying with Nasdaq corporate governance standards.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Risk FactorsRisks Relating to Our Status as a Controlled Company and Foreign Private Issuer and Management and Executive RemunerationForeign Private Issuer Exemption.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Controlled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SoftBank Group is expected to beneficially own approximately     % of our outstanding ordinary shares following the completion of this offering (or approximately     % if the underwriters exercise in full their option to purchase additional ADSs from the selling shareholder). As a result of SoftBank Groups ownership, we will be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applicable to most Nasdaq-listed companies. As a controlled company, we have elected not to comply with certain corporate governance requirements applicable to most Nasdaq-listed companies. Accordingly, you will not have the same protections afforded to shareholders of companies that are subject to all of these corporate governance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Risk FactorsRisks Relating to Our Status as a Controlled Company and Foreign Private Issuer and Management and Executive RemunerationControlled Company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0" w:name="rom393891_8"/>
      <w:bookmarkEnd w:id="10"/>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ADSs offered by the selling shareholder</w:t>
            </w:r>
            <w:r>
              <w:rPr>
                <w:rFonts w:ascii="Times New Roman" w:hAnsi="Times New Roman"/>
                <w:sz w:val="20"/>
              </w:rPr>
              <w:t xml:space="preserve"> </w:t>
            </w:r>
          </w:p>
        </w:tc>
        <w:tc>
          <w:tcPr>
            <w:tcW w:w="6329" w:type="dxa"/>
            <w:tcBorders/>
          </w:tcPr>
          <w:p>
            <w:pPr>
              <w:pStyle w:val="TableContents"/>
              <w:bidi w:val="0"/>
              <w:spacing w:before="0" w:after="283"/>
              <w:jc w:val="left"/>
              <w:rPr/>
            </w:pPr>
            <w:r>
              <w:rPr/>
              <w:t>                    </w:t>
            </w:r>
            <w:r>
              <w:rPr/>
              <w:t xml:space="preserve">, with each ADS representing one ordinary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Ordinary shares to be outstanding upon completion of this</w:t>
            </w:r>
            <w:r>
              <w:rPr>
                <w:rFonts w:ascii="Times New Roman" w:hAnsi="Times New Roman"/>
                <w:sz w:val="20"/>
              </w:rPr>
              <w:t xml:space="preserve"> </w:t>
            </w:r>
            <w:r>
              <w:rPr>
                <w:rFonts w:ascii="Times New Roman" w:hAnsi="Times New Roman"/>
                <w:b/>
                <w:sz w:val="20"/>
              </w:rPr>
              <w:t>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                 </w:t>
            </w:r>
            <w:r>
              <w:rPr/>
              <w:t xml:space="preserve">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American depositary shares </w:t>
            </w:r>
          </w:p>
        </w:tc>
        <w:tc>
          <w:tcPr>
            <w:tcW w:w="6327" w:type="dxa"/>
            <w:tcBorders/>
          </w:tcPr>
          <w:p>
            <w:pPr>
              <w:pStyle w:val="TableContents"/>
              <w:bidi w:val="0"/>
              <w:spacing w:before="0" w:after="283"/>
              <w:jc w:val="left"/>
              <w:rPr/>
            </w:pPr>
            <w:r>
              <w:rPr/>
              <w:t xml:space="preserve">Each ADS represents one ordinary share, nominal value £0.001 per ordinary share, of Arm Holdings plc. As a holder of ADSs, you will not be treated as one of our shareholders and you will not have shareholder rights. Rather, you will have the rights of an ADS holder or beneficial owner of ADSs (as applicable) as provided in the deposit agreement among us, the depositary and holders and beneficial owners of ADSs from time to time. To better understand the terms of our ADSs, see Description of American Depositary Shares elsewhere in this prospectus. We also encourage you to read the deposit agreement, the form of which is filed as an exhibit to the registration statement of which this prospectus forms a part.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Depositary </w:t>
            </w:r>
          </w:p>
        </w:tc>
        <w:tc>
          <w:tcPr>
            <w:tcW w:w="6329" w:type="dxa"/>
            <w:tcBorders/>
          </w:tcPr>
          <w:p>
            <w:pPr>
              <w:pStyle w:val="TableContents"/>
              <w:bidi w:val="0"/>
              <w:spacing w:before="0" w:after="283"/>
              <w:jc w:val="left"/>
              <w:rPr/>
            </w:pPr>
            <w:r>
              <w:rPr/>
              <w:t xml:space="preserve">Citibank,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We will not receive any of the proceeds from the sale of ADSs by the selling shareholder in this offering (including any proceeds from any sale of ADSs pursuant to the underwriters option to purchase additional ADSs). All net proceeds from the sale of ADSs in this offering will go to the selling shareholder.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Controlled company </w:t>
            </w:r>
          </w:p>
        </w:tc>
        <w:tc>
          <w:tcPr>
            <w:tcW w:w="6329" w:type="dxa"/>
            <w:tcBorders/>
          </w:tcPr>
          <w:p>
            <w:pPr>
              <w:pStyle w:val="TableContents"/>
              <w:bidi w:val="0"/>
              <w:spacing w:before="0" w:after="283"/>
              <w:jc w:val="left"/>
              <w:rPr/>
            </w:pPr>
            <w:r>
              <w:rPr/>
              <w:t xml:space="preserve">SoftBank Group will beneficially own approximately     % of our outstanding ordinary shares following the completion of this offering (or approximately     % if the underwriters exercise in full their option to purchase additional ADSs from the selling shareholder). As a result of SoftBank Groups ownership, after the completion of this offering, we will be a controlled company within the meaning of Nasdaq rules and, therefore, will qualify for exemptions from certain corporate governance requirements of Nasdaq. In the event that we elect to use the controlled company exemptions, holders of our ADSs will not have the same protections afforded to stockholders of companies that are subject to these corporate governance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long as SoftBank Group beneficially owns a majority of the voting power of our outstanding ordinary shares, SoftBank Group will generally be able to control the outcome of matters submitted to our shareholders for approval, including the election of directors, without the approval of our other shareholders. See Risk FactorsRisks Relating to Our Status as a Controlled Company and Foreign Private IssuerAs long as SoftBank Group controls us, other holders of our ordinary shares and ADSs will have limited ability to influence matters requiring stockholder approval or the composition of our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Dividend policy </w:t>
            </w:r>
          </w:p>
        </w:tc>
        <w:tc>
          <w:tcPr>
            <w:tcW w:w="6327" w:type="dxa"/>
            <w:tcBorders/>
          </w:tcPr>
          <w:p>
            <w:pPr>
              <w:pStyle w:val="TableContents"/>
              <w:bidi w:val="0"/>
              <w:spacing w:before="0" w:after="283"/>
              <w:jc w:val="left"/>
              <w:rPr/>
            </w:pPr>
            <w:r>
              <w:rPr/>
              <w:t xml:space="preserve">We currently do not intend to pay dividends on our ordinary shares or ADSs. See the section titled Dividend Policy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6" w:type="dxa"/>
            <w:tcBorders/>
          </w:tcPr>
          <w:p>
            <w:pPr>
              <w:pStyle w:val="TableContents"/>
              <w:bidi w:val="0"/>
              <w:spacing w:before="0" w:after="283"/>
              <w:jc w:val="left"/>
              <w:rPr/>
            </w:pPr>
            <w:r>
              <w:rPr/>
              <w:t xml:space="preserve">See Risk Factors and the other information included in this prospectus for a discussion of factors you should carefully consider before deciding to invest in our ADSs.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Proposed Nasdaq symbol</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ARM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ordinary shares, including ordinary shares represented by ADSs, that will be outstanding upon completion of this offering is based on                  ordinary shares outstanding as of             , 2023, and (i) gives effect to our corporate reorganization described under the section titled Corporate Reorganization and (ii) includes                 ordinary shares issuable upon the completion of this offering, assuming an initial public offering price of $         per ADS, which is the midpoint of the price range set forth on the cover page of this prospectus, in connection with the vesting of restricted share unit (RSU) awards and Executive Awards (as described under Management and Executive RemunerationEquity Incentive Plans2022 RSU Plan),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shares issuable upon the vesting of RSU awards issued under The Arm Limited All-Employee Plan 2019 (the 2019 AEP), which will vest on the first trading day that is more than 180 days following the date on which our ADSs are admitted to trading on Nasdaq, subject to earlier vesting in certain circumstances;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shares issuable upon the vesting of the RSU awards and the Executive Awards that were issued under The Arm Limited RSU Award Plan (the 2022 RSU Plan), to the extent that they have not vested as of the date of this prospectus and will not vest upon the completion of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shares issuable upon the vesting of the RSU awards that were issued under The Arm Non-Executive Directors RSU Award Plan (the NED Plan), to the extent that they have not vested as of the date of this prospectus,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which collectively will increase by a number equal to     % of our total ordinary shares outstanding after the completion of this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information in this prospectus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transactions described in the section titled Corporate Reorganization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the Articles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initial public offering price of $         per ADS, which is the midpoint of the price range set forth on the cover page of this prospectus;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option to purchase up to an additional              ADSs from the selling shareholder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1" w:name="rom393891_9"/>
      <w:bookmarkEnd w:id="11"/>
      <w:r>
        <w:rPr>
          <w:rFonts w:ascii="Times New Roman" w:hAnsi="Times New Roman"/>
          <w:b/>
          <w:sz w:val="20"/>
          <w:bdr w:val="single" w:sz="8" w:space="1" w:color="000000"/>
        </w:rPr>
        <w:t xml:space="preserve">SUMMARY FINANCIAL DATA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for the fiscal years ended March 31, 2023, 2022 and 2021 have been derived from our audited financial statements included elsewhere in this prospectus. The following summary financial data for the fiscal quarters ended June 30, 2023 and 2022 have been derived from our unaudited consolidated interim condensed financial statements included elsewhere in this prospectus. In the opinion of management, the unaudited condensed consolidated financial statements reflect all adjustments, consisting of normal recurring adjustments, which are necessary for the fair statement of the condensed consolidated balance sheets, income statements and cash flows for these interim periods. Our historical results are not necessarily indicative of the results that may be expected in the future.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should read the following summary financial data in conjunction with Managements Discussion and Analysis of Financial Condition and Results of Operations and our consolidated financial statements and related notes included elsewhere in this prospectus. </w:t>
      </w:r>
    </w:p>
    <w:p>
      <w:pPr>
        <w:pStyle w:val="TextBody"/>
        <w:bidi w:val="0"/>
        <w:spacing w:before="0" w:after="0"/>
        <w:jc w:val="left"/>
        <w:rPr>
          <w:bdr w:val="single" w:sz="8" w:space="1" w:color="000000"/>
        </w:rPr>
      </w:pPr>
      <w:r>
        <w:rPr>
          <w:bdr w:val="single" w:sz="8" w:space="1" w:color="000000"/>
        </w:rPr>
        <w:t> </w:t>
      </w:r>
    </w:p>
    <w:tbl>
      <w:tblPr>
        <w:tblW w:w="10630" w:type="dxa"/>
        <w:jc w:val="center"/>
        <w:tblInd w:w="0" w:type="dxa"/>
        <w:tblLayout w:type="fixed"/>
        <w:tblCellMar>
          <w:top w:w="0" w:type="dxa"/>
          <w:left w:w="0" w:type="dxa"/>
          <w:bottom w:w="0" w:type="dxa"/>
          <w:right w:w="0" w:type="dxa"/>
        </w:tblCellMar>
      </w:tblPr>
      <w:tblGrid>
        <w:gridCol w:w="2330"/>
        <w:gridCol w:w="60"/>
        <w:gridCol w:w="140"/>
        <w:gridCol w:w="1400"/>
        <w:gridCol w:w="60"/>
        <w:gridCol w:w="60"/>
        <w:gridCol w:w="140"/>
        <w:gridCol w:w="1400"/>
        <w:gridCol w:w="60"/>
        <w:gridCol w:w="60"/>
        <w:gridCol w:w="140"/>
        <w:gridCol w:w="1400"/>
        <w:gridCol w:w="60"/>
        <w:gridCol w:w="60"/>
        <w:gridCol w:w="140"/>
        <w:gridCol w:w="1400"/>
        <w:gridCol w:w="60"/>
        <w:gridCol w:w="60"/>
        <w:gridCol w:w="140"/>
        <w:gridCol w:w="1400"/>
        <w:gridCol w:w="60"/>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3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60"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Fiscal Year Ended</w:t>
            </w:r>
            <w:r>
              <w:rPr/>
              <w:br/>
            </w:r>
            <w:r>
              <w:rPr>
                <w:b/>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0" w:type="dxa"/>
            <w:gridSpan w:val="6"/>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60" w:type="dxa"/>
            <w:tcBorders/>
            <w:vAlign w:val="bottom"/>
          </w:tcPr>
          <w:p>
            <w:pPr>
              <w:pStyle w:val="TableContents"/>
              <w:bidi w:val="0"/>
              <w:spacing w:before="0" w:after="283"/>
              <w:jc w:val="left"/>
              <w:rPr/>
            </w:pPr>
            <w:r>
              <w:rPr/>
              <w:t> </w:t>
            </w:r>
          </w:p>
        </w:tc>
      </w:tr>
      <w:tr>
        <w:trPr/>
        <w:tc>
          <w:tcPr>
            <w:tcW w:w="233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share and per</w:t>
              <w:br/>
              <w:t>share amounts)</w:t>
            </w:r>
          </w:p>
        </w:tc>
        <w:tc>
          <w:tcPr>
            <w:tcW w:w="6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r>
      <w:tr>
        <w:trPr/>
        <w:tc>
          <w:tcPr>
            <w:tcW w:w="23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Income Statements Data: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2,679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2,703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692</w:t>
            </w:r>
          </w:p>
        </w:tc>
        <w:tc>
          <w:tcPr>
            <w:tcW w:w="60" w:type="dxa"/>
            <w:tcBorders/>
            <w:vAlign w:val="bottom"/>
          </w:tcPr>
          <w:p>
            <w:pPr>
              <w:pStyle w:val="TableContents"/>
              <w:bidi w:val="0"/>
              <w:spacing w:before="0" w:after="283"/>
              <w:jc w:val="left"/>
              <w:rPr/>
            </w:pPr>
            <w:r>
              <w:rPr/>
              <w:t> </w:t>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2,572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1,882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667</w:t>
            </w:r>
          </w:p>
        </w:tc>
        <w:tc>
          <w:tcPr>
            <w:tcW w:w="60" w:type="dxa"/>
            <w:tcBorders/>
            <w:shd w:fill="CCEEFF" w:val="clear"/>
            <w:vAlign w:val="bottom"/>
          </w:tcPr>
          <w:p>
            <w:pPr>
              <w:pStyle w:val="TableContents"/>
              <w:bidi w:val="0"/>
              <w:spacing w:before="0" w:after="283"/>
              <w:jc w:val="left"/>
              <w:rPr/>
            </w:pPr>
            <w:r>
              <w:rPr/>
              <w:t> </w:t>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294</w:t>
            </w:r>
          </w:p>
        </w:tc>
        <w:tc>
          <w:tcPr>
            <w:tcW w:w="60" w:type="dxa"/>
            <w:tcBorders/>
            <w:vAlign w:val="bottom"/>
          </w:tcPr>
          <w:p>
            <w:pPr>
              <w:pStyle w:val="TableContents"/>
              <w:bidi w:val="0"/>
              <w:spacing w:before="0" w:after="283"/>
              <w:jc w:val="left"/>
              <w:rPr/>
            </w:pPr>
            <w:r>
              <w:rPr/>
              <w:t> </w:t>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 attributable to ordinary shareholders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0.22</w:t>
            </w:r>
          </w:p>
        </w:tc>
        <w:tc>
          <w:tcPr>
            <w:tcW w:w="60" w:type="dxa"/>
            <w:tcBorders/>
            <w:shd w:fill="CCEEFF" w:val="clear"/>
            <w:vAlign w:val="bottom"/>
          </w:tcPr>
          <w:p>
            <w:pPr>
              <w:pStyle w:val="TableContents"/>
              <w:bidi w:val="0"/>
              <w:spacing w:before="0" w:after="283"/>
              <w:jc w:val="left"/>
              <w:rPr/>
            </w:pPr>
            <w:r>
              <w:rPr/>
              <w:t> </w:t>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0.22</w:t>
            </w:r>
          </w:p>
        </w:tc>
        <w:tc>
          <w:tcPr>
            <w:tcW w:w="60" w:type="dxa"/>
            <w:tcBorders/>
            <w:vAlign w:val="bottom"/>
          </w:tcPr>
          <w:p>
            <w:pPr>
              <w:pStyle w:val="TableContents"/>
              <w:bidi w:val="0"/>
              <w:spacing w:before="0" w:after="283"/>
              <w:jc w:val="left"/>
              <w:rPr/>
            </w:pPr>
            <w:r>
              <w:rPr/>
              <w:t> </w:t>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 outstanding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1,025,234,000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1,025,234,000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1,025,234,000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1,025,234,000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1,025,234,000</w:t>
            </w:r>
          </w:p>
        </w:tc>
        <w:tc>
          <w:tcPr>
            <w:tcW w:w="60" w:type="dxa"/>
            <w:tcBorders/>
            <w:vAlign w:val="bottom"/>
          </w:tcPr>
          <w:p>
            <w:pPr>
              <w:pStyle w:val="TableContents"/>
              <w:bidi w:val="0"/>
              <w:spacing w:before="0" w:after="283"/>
              <w:jc w:val="left"/>
              <w:rPr/>
            </w:pPr>
            <w:r>
              <w:rPr/>
              <w:t> </w:t>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1,027,505,008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1,025,234,000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1,025,234,000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1,028,618,467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1,025,902,205</w:t>
            </w:r>
          </w:p>
        </w:tc>
        <w:tc>
          <w:tcPr>
            <w:tcW w:w="60" w:type="dxa"/>
            <w:tcBorders/>
            <w:shd w:fill="CCEEFF" w:val="clear"/>
            <w:vAlign w:val="bottom"/>
          </w:tcPr>
          <w:p>
            <w:pPr>
              <w:pStyle w:val="TableContents"/>
              <w:bidi w:val="0"/>
              <w:spacing w:before="0" w:after="283"/>
              <w:jc w:val="left"/>
              <w:rPr/>
            </w:pPr>
            <w:r>
              <w:rPr/>
              <w:t> </w:t>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net loss per share attributable to ordinary shareholders (1)(2)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Weighted-average shares used to compute pro forma net loss per share attributable to ordinary shareholders (1)(2)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Sheets Data: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short-term investments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2,215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1,635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2,049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1,354</w:t>
            </w:r>
          </w:p>
        </w:tc>
        <w:tc>
          <w:tcPr>
            <w:tcW w:w="60" w:type="dxa"/>
            <w:tcBorders/>
            <w:shd w:fill="CCEEFF" w:val="clear"/>
            <w:vAlign w:val="bottom"/>
          </w:tcPr>
          <w:p>
            <w:pPr>
              <w:pStyle w:val="TableContents"/>
              <w:bidi w:val="0"/>
              <w:spacing w:before="0" w:after="283"/>
              <w:jc w:val="left"/>
              <w:rPr/>
            </w:pPr>
            <w:r>
              <w:rPr/>
              <w:t> </w:t>
            </w:r>
          </w:p>
        </w:tc>
      </w:tr>
      <w:tr>
        <w:trPr/>
        <w:tc>
          <w:tcPr>
            <w:tcW w:w="233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6,510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6,213</w:t>
            </w:r>
          </w:p>
        </w:tc>
        <w:tc>
          <w:tcPr>
            <w:tcW w:w="60" w:type="dxa"/>
            <w:tcBorders/>
            <w:vAlign w:val="bottom"/>
          </w:tcPr>
          <w:p>
            <w:pPr>
              <w:pStyle w:val="TableContents"/>
              <w:bidi w:val="0"/>
              <w:spacing w:before="0" w:after="283"/>
              <w:jc w:val="left"/>
              <w:rPr/>
            </w:pPr>
            <w:r>
              <w:rPr/>
              <w:t> </w:t>
            </w:r>
          </w:p>
        </w:tc>
      </w:tr>
      <w:tr>
        <w:trPr/>
        <w:tc>
          <w:tcPr>
            <w:tcW w:w="2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4,051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3,548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3,748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200" w:type="pct"/>
        <w:jc w:val="center"/>
        <w:tblInd w:w="0" w:type="dxa"/>
        <w:tblLayout w:type="fixed"/>
        <w:tblCellMar>
          <w:top w:w="0" w:type="dxa"/>
          <w:left w:w="0" w:type="dxa"/>
          <w:bottom w:w="0" w:type="dxa"/>
          <w:right w:w="0" w:type="dxa"/>
        </w:tblCellMar>
      </w:tblPr>
      <w:tblGrid>
        <w:gridCol w:w="3755"/>
        <w:gridCol w:w="449"/>
        <w:gridCol w:w="113"/>
        <w:gridCol w:w="1081"/>
        <w:gridCol w:w="60"/>
        <w:gridCol w:w="449"/>
        <w:gridCol w:w="116"/>
        <w:gridCol w:w="670"/>
        <w:gridCol w:w="62"/>
        <w:gridCol w:w="453"/>
        <w:gridCol w:w="624"/>
        <w:gridCol w:w="675"/>
        <w:gridCol w:w="65"/>
      </w:tblGrid>
      <w:tr>
        <w:trPr/>
        <w:tc>
          <w:tcPr>
            <w:tcW w:w="375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49"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br/>
              <w:t>Fiscal Year</w:t>
            </w:r>
            <w:r>
              <w:rPr/>
              <w:br/>
            </w:r>
            <w:r>
              <w:rPr>
                <w:b/>
              </w:rPr>
              <w:t>Ended</w:t>
            </w:r>
            <w:r>
              <w:rPr/>
              <w:br/>
            </w:r>
            <w:r>
              <w:rPr>
                <w:b/>
              </w:rPr>
              <w:t>March 31,</w:t>
              <w:br/>
              <w:t>2023</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bottom"/>
          </w:tcPr>
          <w:p>
            <w:pPr>
              <w:pStyle w:val="TableContents"/>
              <w:bidi w:val="0"/>
              <w:spacing w:before="0" w:after="283"/>
              <w:jc w:val="center"/>
              <w:rPr/>
            </w:pPr>
            <w:r>
              <w:rPr>
                <w:b/>
              </w:rPr>
              <w:t>For the</w:t>
              <w:br/>
              <w:t>Fiscal Quarter Ended</w:t>
            </w:r>
            <w:r>
              <w:rPr/>
              <w:br/>
            </w:r>
            <w:r>
              <w:rPr>
                <w:b/>
              </w:rPr>
              <w:t>June 30, 2023</w:t>
            </w:r>
          </w:p>
        </w:tc>
        <w:tc>
          <w:tcPr>
            <w:tcW w:w="65"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2"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b/>
              </w:rPr>
              <w:t>Pro</w:t>
            </w:r>
            <w:r>
              <w:rPr/>
              <w:br/>
            </w:r>
            <w:r>
              <w:rPr>
                <w:b/>
              </w:rPr>
              <w:t>Forma (1) (3)</w:t>
            </w:r>
          </w:p>
        </w:tc>
        <w:tc>
          <w:tcPr>
            <w:tcW w:w="65"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Sheets Data:</w:t>
            </w:r>
          </w:p>
        </w:tc>
        <w:tc>
          <w:tcPr>
            <w:tcW w:w="449"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short-term investments</w:t>
            </w:r>
          </w:p>
        </w:tc>
        <w:tc>
          <w:tcPr>
            <w:tcW w:w="449"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2,215</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2,049</w:t>
            </w:r>
          </w:p>
        </w:tc>
        <w:tc>
          <w:tcPr>
            <w:tcW w:w="62"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49"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6,866</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6,700</w:t>
            </w:r>
          </w:p>
        </w:tc>
        <w:tc>
          <w:tcPr>
            <w:tcW w:w="62"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49"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2,815</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2,479</w:t>
            </w:r>
          </w:p>
        </w:tc>
        <w:tc>
          <w:tcPr>
            <w:tcW w:w="62"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449"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4,051</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4,221</w:t>
            </w:r>
          </w:p>
        </w:tc>
        <w:tc>
          <w:tcPr>
            <w:tcW w:w="62"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information considers the anticipated corporate reorganization as described in the section titled Corporate Reorganization, which is expected to result in the issuance of ordinary shares of Arm Holdings Limited to shareholders in the same class and number as their previous shareholding in Arm Limited. Therefore, the corporate reorganization will neither result in a material change in outstanding shares nor affect the pro forma earnings per share or balance sheet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earnings per share presented above reflects the effect of (a) executive awards of approximately $55 million that will partially vest upon the occurrence of an initial public offering (including this offering) and are expected to be settled in ordinary shares of Arm Holdings Limited, (b) the estimated fair value of the special cash award to our Chief Executive Officer that will vest upon completion of this offering and (c) the accelerated vesting and settlement of liability classified awards granted to employees and executives of Arm Limited under the 2019 AEP, Executive IPO Plan 2019 (2019 EIP), and 2022 RSU Plan, which will be settled in ordinary shares of Arm Holdings Limited. Estimates of the fair value of the share-based compensation charges and the number of ordinary shares of Arm Limited to be issued in connection with the settlement of these awards assume an initial public offering price of                per share, which is the midpoint of the price range set forth on the cover of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computation of the Companys unaudited pro forma, as adjusted, basic and diluted net profit/(loss) per share (in millions, except per share data) for the year ended March 31, 2023 and fiscal quarter ended June 30, 2023: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312"/>
        <w:gridCol w:w="836"/>
        <w:gridCol w:w="805"/>
        <w:gridCol w:w="805"/>
        <w:gridCol w:w="60"/>
        <w:gridCol w:w="836"/>
        <w:gridCol w:w="745"/>
        <w:gridCol w:w="745"/>
        <w:gridCol w:w="61"/>
      </w:tblGrid>
      <w:tr>
        <w:trPr/>
        <w:tc>
          <w:tcPr>
            <w:tcW w:w="5312" w:type="dxa"/>
            <w:tcBorders/>
            <w:vAlign w:val="center"/>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31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Fiscal Year</w:t>
              <w:br/>
              <w:t>Ended</w:t>
              <w:br/>
              <w:t>March 31, 2023</w:t>
            </w:r>
          </w:p>
        </w:tc>
        <w:tc>
          <w:tcPr>
            <w:tcW w:w="60"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Fiscal Quarter</w:t>
              <w:br/>
              <w:t>Ended</w:t>
              <w:br/>
              <w:t>June 30, 2023</w:t>
            </w:r>
          </w:p>
        </w:tc>
        <w:tc>
          <w:tcPr>
            <w:tcW w:w="61" w:type="dxa"/>
            <w:tcBorders/>
            <w:vAlign w:val="bottom"/>
          </w:tcPr>
          <w:p>
            <w:pPr>
              <w:pStyle w:val="TableContents"/>
              <w:bidi w:val="0"/>
              <w:spacing w:before="0" w:after="283"/>
              <w:jc w:val="left"/>
              <w:rPr/>
            </w:pPr>
            <w:r>
              <w:rPr/>
              <w:t> </w:t>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ordinary shareholders</w:t>
            </w:r>
          </w:p>
        </w:tc>
        <w:tc>
          <w:tcPr>
            <w:tcW w:w="836"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Estimated accelerated expense related to vesting and settlement of executive awards under the 2019 EIP and 2022 RSU Plan</w:t>
            </w:r>
          </w:p>
        </w:tc>
        <w:tc>
          <w:tcPr>
            <w:tcW w:w="836"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accelerated expense related to special cash award to our Chief</w:t>
            </w:r>
          </w:p>
        </w:tc>
        <w:tc>
          <w:tcPr>
            <w:tcW w:w="836"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Executive Officer</w:t>
            </w:r>
          </w:p>
        </w:tc>
        <w:tc>
          <w:tcPr>
            <w:tcW w:w="836"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incremental expense related to accelerated vesting under the 2019</w:t>
            </w:r>
          </w:p>
        </w:tc>
        <w:tc>
          <w:tcPr>
            <w:tcW w:w="836"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AEP, 2019 EIP, and 2022 RSU Plan</w:t>
            </w:r>
          </w:p>
        </w:tc>
        <w:tc>
          <w:tcPr>
            <w:tcW w:w="836"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 loss attributable to ordinary shares</w:t>
            </w:r>
          </w:p>
        </w:tc>
        <w:tc>
          <w:tcPr>
            <w:tcW w:w="836"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 outstandingbasic</w:t>
            </w:r>
          </w:p>
        </w:tc>
        <w:tc>
          <w:tcPr>
            <w:tcW w:w="836"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 outstandingdiluted</w:t>
            </w:r>
          </w:p>
        </w:tc>
        <w:tc>
          <w:tcPr>
            <w:tcW w:w="836"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Estimated ordinary shares to be issued in connection with settlement of executive awards and settlement of liability classified awards pursuant to the 2019 AEP, 2019 EIP, and 2022 RSU Plan</w:t>
            </w:r>
          </w:p>
        </w:tc>
        <w:tc>
          <w:tcPr>
            <w:tcW w:w="836"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ordinary shares outstanding  basic</w:t>
            </w:r>
          </w:p>
        </w:tc>
        <w:tc>
          <w:tcPr>
            <w:tcW w:w="836"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ordinary shares outstanding  diluted</w:t>
            </w:r>
          </w:p>
        </w:tc>
        <w:tc>
          <w:tcPr>
            <w:tcW w:w="836"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balance sheet presented above reflects the effect of the settlement of liability classified awards with the expected issuance of ordinary shares of Arm Holdings Limited in connection with the closing of this offering. The pro forma adjustments reflect the elimination of $         of liabilities as of June 30, 2023, the effect on ordinary shares and additional paid in capital of $         based on their estimated fair value at closing of this offering offset by the estimated reduction of $         to retained earnings related to the incremental share-based compensation expenses described in Note (2)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rom393891_10"/>
      <w:bookmarkEnd w:id="12"/>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ADSs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ADSs. The occurrence of any of the events or developments described below could materially harm our business, financial condition, results of operations and prospects. In such an event, the market price of our ADSs could decline and you may lose all or part of your investment. Additional risks and uncertainties not presently known to us or that we currently deem immaterial also may materially impair our business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Demand for our products and services primarily depends on trends in the semiconductor and electronics industries and the demand for the products of our customers and our customers customers. </w:t>
      </w:r>
    </w:p>
    <w:p>
      <w:pPr>
        <w:pStyle w:val="TextBody"/>
        <w:bidi w:val="0"/>
        <w:spacing w:before="240" w:after="0"/>
        <w:jc w:val="left"/>
        <w:rPr>
          <w:rFonts w:ascii="Times New Roman" w:hAnsi="Times New Roman"/>
          <w:sz w:val="20"/>
        </w:rPr>
      </w:pPr>
      <w:r>
        <w:rPr>
          <w:rFonts w:ascii="Times New Roman" w:hAnsi="Times New Roman"/>
          <w:sz w:val="20"/>
        </w:rPr>
        <w:t xml:space="preserve">Demand for our products and services is largely dependent on the semiconductor and electronics industries, which are volatile, intensely competitive and generally characterized by declining ASPs over the life of a generation of chips. The effect of these price decreases is compounded by the fact that our royalty rates generally decrease as the volume of sales increases, subject to an agreed minimum royalty per chip. Additionally, demand for our products and services could decrease if growth in the semiconductor or electronics industries slows or declines. </w:t>
      </w:r>
    </w:p>
    <w:p>
      <w:pPr>
        <w:pStyle w:val="TextBody"/>
        <w:bidi w:val="0"/>
        <w:spacing w:before="240" w:after="0"/>
        <w:jc w:val="left"/>
        <w:rPr>
          <w:rFonts w:ascii="Times New Roman" w:hAnsi="Times New Roman"/>
          <w:sz w:val="20"/>
        </w:rPr>
      </w:pPr>
      <w:r>
        <w:rPr>
          <w:rFonts w:ascii="Times New Roman" w:hAnsi="Times New Roman"/>
          <w:sz w:val="20"/>
        </w:rPr>
        <w:t xml:space="preserve">The revenue we generate from licensing activities is also largely dependent on the rate at which systems companies develop and adopt new product generations, which, in turn, is affected by the level of demand for their ICs and other products. Decreasing demand from systems companies for chips based on our products would directly and adversely affect the amount of royalties we receive. As a result of our dependence on demand from systems companies, we are subject to several risks affecting these systems companies, any one of which may influence the success or failure of a particular systems company. These risks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faced by the systems company in its particular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engineering and marketing capabilities of the systems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the systems companys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in the economic and political conditions of the region(s) in which the systems company operates, particularly to the extent that such developments create an unfavorable business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supply constraints and inventory correction affecting the systems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technical challenges unrelated to our products faced by the systems company in developing its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and other resources of the systems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risks and others which are outside of our control could adversely affect any number of systems companies upon which our success depends, which could, in turn,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for our products and services depends substantially on their acceptance by semiconductor and systems companies and their compatibility with, and the costs of, the design and manufacturing processes of our customers.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substantially on the acceptance of our products and services by semiconductor and systems companies, particularly those that develop and market chips for high-volume electronic devices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automotive, embedded and IoT, enterprise electronics, and mobile and consumer electronics markets. There are competing microprocessor architectures in the market and there is no certainty that the market will continue to accept our products to the same or greater extent than it does today. </w:t>
      </w:r>
    </w:p>
    <w:p>
      <w:pPr>
        <w:pStyle w:val="TextBody"/>
        <w:bidi w:val="0"/>
        <w:spacing w:before="240" w:after="0"/>
        <w:jc w:val="left"/>
        <w:rPr>
          <w:rFonts w:ascii="Times New Roman" w:hAnsi="Times New Roman"/>
          <w:sz w:val="20"/>
        </w:rPr>
      </w:pPr>
      <w:r>
        <w:rPr>
          <w:rFonts w:ascii="Times New Roman" w:hAnsi="Times New Roman"/>
          <w:sz w:val="20"/>
        </w:rPr>
        <w:t xml:space="preserve">Demand from large, global systems companies, including OEMs, drive much of the development of silicon chips and computer systems. Accordingly, acceptance of our products by these companies as well as semiconductor and other companies for use in a variety of end-market applications is critical for our continued success. </w:t>
      </w:r>
    </w:p>
    <w:p>
      <w:pPr>
        <w:pStyle w:val="TextBody"/>
        <w:bidi w:val="0"/>
        <w:spacing w:before="240" w:after="0"/>
        <w:jc w:val="left"/>
        <w:rPr>
          <w:rFonts w:ascii="Times New Roman" w:hAnsi="Times New Roman"/>
          <w:sz w:val="20"/>
        </w:rPr>
      </w:pPr>
      <w:r>
        <w:rPr>
          <w:rFonts w:ascii="Times New Roman" w:hAnsi="Times New Roman"/>
          <w:sz w:val="20"/>
        </w:rPr>
        <w:t xml:space="preserve">The semiconductor and electronics industries have also become increasingly complex and subject to increasing design and manufacturing costs. Many of our customers utilize third-party vendors for EDA tools and also outsource the manufacture of their semiconductor designs to foundries. We work closely with major EDA vendors and foundries to ensure that our products are compatible with their design tools and manufacturing processes. However, if we fail to optimize our products for use with major EDA vendors tools and foundries manufacturing processes, or if our access to such tools and processes is hampered, then our products may become less desirable to our customers. Similarly, for customers that do not outsource design and manufacturing processes, if our products are unsuitable for the customers internal processes, then our products may not be acceptable to those customers.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there are risks inherent in the manufacturing of next-generation process technologies, including production timing delays, lower-than-anticipated manufacturing yields, and product defects and errata. If foundries are unable to successfully or efficiently manufacture future generations of chips based on our products, demand for our products could be materially adversely affected along with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intense competition and could lose market share to our competitors.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our products is intensely competitive and characterized by rapid changes in design and manufacturing technologies, end-user requirements, industry standards, and frequent new product introductions and improvements. We anticipate continued challenges from current and new competitors, including established technologies such as the x86 architecture, as well as by free, open-source technologies, including the RISC-V architecture. Many of our customers are also major supporters of the RISC-V architecture and related technologies. If RISC-V-related technology continues to be developed and market support for RISC-V increases, our customers may choose to utilize this free, open-source architecture instead of our products. Additionally, many of our direct and indirect competitors, including some of our semiconductor customers, are major corporations with substantially greater technical, financial and marketing resources and name recognition than we have. Some of these competitors have a much larger application software base and a much larger installed customer base than we do, and there can be no assurance that we will have the financial resources, technical expertise, and marketing, distribution and support capabilities to compete successfully with them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markets where we are established already and new markets we have entered or intend to enter, our primary competitors may have greater financial, technical, marketing, distribution, support or other resources and capabilities, greater brand recognition, lower labor and development costs, different regulatory restrictions or a larger customer base than we do. In these markets, we may have to invest substantial resources into developing an ecosystem of software and tools to create a competitive ecosystem that allows us to compete with alternative architectures such as x86 and RISC-V, which have business models that are different from ours and may be more attractive to some of our customers. Our competitors may devote greater resources to the development, promotion and sale of products and services, they may offer lower pricing and different customer engagement models, and their performance, features and product quality may be more desirable than those of our company. Our current and potential competitors may also establish cooperative relationships among themselves or with third parties that may further enhance their resources or strengthen their positions within these markets, or may be subject to more favorable regulatory regimes. For example, in August 2023, a group of our customers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competitors announced a joint venture aimed at accelerating the adoption of RISC-V. Although the development of alternative architectures and technology is a time-intensive process, if our competitors establish cooperative relationships or consolidate with each other or third parties, such as the recently announced joint venture focused on RISC-V, they may have additional resources that would allow them to more quickly develop architectures and other technology that directly compete with our products. Such cooperative relationships or consolidations may also allow competitors to anticipate or respond more quickly and effectively than we can to new or changing opportunities, technologies, standards or customer requirements. If we are unable to anticipate or react to these competitive challenges, our competitive position could weaken and we could experience a decline in revenue and profitability. </w:t>
      </w:r>
    </w:p>
    <w:p>
      <w:pPr>
        <w:pStyle w:val="TextBody"/>
        <w:bidi w:val="0"/>
        <w:spacing w:before="240" w:after="0"/>
        <w:jc w:val="left"/>
        <w:rPr>
          <w:rFonts w:ascii="Times New Roman" w:hAnsi="Times New Roman"/>
          <w:sz w:val="20"/>
        </w:rPr>
      </w:pPr>
      <w:r>
        <w:rPr>
          <w:rFonts w:ascii="Times New Roman" w:hAnsi="Times New Roman"/>
          <w:sz w:val="20"/>
        </w:rPr>
        <w:t xml:space="preserve">Some semiconductor companies have developed their own proprietary architecture for specific markets or applications. These companies may utilize their proprietary architecture to penetrate markets where we are currently the architecture of choice, or where our products may be utilized, making it more difficult for us to penetrate such markets in the future. Some semiconductor companies have proprietary architectures in applications, including, but not limited to, automotive, data center equipment, networking equipment, electronic storage, microcontrollers, smart sensors, servers and wireless communications. These companies may be significantly entrenched in their markets. If these companies are successful in displacing our products, or if we are unable to penetrate or grow our market share in these areas, licensing opportunities and potential royalties could be harmed, negatively affecting our business, results of operations, financial condition and prospects. Our development systems tools business also faces significant competition from both the open-source community and third-party tools and software suppliers. </w:t>
      </w:r>
    </w:p>
    <w:p>
      <w:pPr>
        <w:pStyle w:val="TextBody"/>
        <w:bidi w:val="0"/>
        <w:spacing w:before="240" w:after="0"/>
        <w:jc w:val="left"/>
        <w:rPr>
          <w:rFonts w:ascii="Times New Roman" w:hAnsi="Times New Roman"/>
          <w:sz w:val="20"/>
        </w:rPr>
      </w:pPr>
      <w:r>
        <w:rPr>
          <w:rFonts w:ascii="Times New Roman" w:hAnsi="Times New Roman"/>
          <w:sz w:val="20"/>
        </w:rPr>
        <w:t xml:space="preserve">While our customers likely would incur significant costs in switching to competitors architecture, our competitors (including new market entrants) may offer greater incentives to customers through rebates, marketing funds, similar programs and other commercial arrangements to induce them to use their architecture in lieu of our products. Additionally, our competitors with multiple products or services may bundle their architecture, products and services to offer a broader product portfolio (which may include products or services we do not offer), which may make it difficult for us to gain or maintain market share. </w:t>
      </w:r>
    </w:p>
    <w:p>
      <w:pPr>
        <w:pStyle w:val="TextBody"/>
        <w:bidi w:val="0"/>
        <w:spacing w:before="240" w:after="0"/>
        <w:jc w:val="left"/>
        <w:rPr>
          <w:rFonts w:ascii="Times New Roman" w:hAnsi="Times New Roman"/>
          <w:sz w:val="20"/>
        </w:rPr>
      </w:pPr>
      <w:r>
        <w:rPr>
          <w:rFonts w:ascii="Times New Roman" w:hAnsi="Times New Roman"/>
          <w:sz w:val="20"/>
        </w:rPr>
        <w:t xml:space="preserve">Our Physical IP business also faces significant competition from third parties, including the internal design groups of IC manufacturers that have expanded their internal design capabilities and portfolio of Physical IP components. Physical IP components developed internally by our customers may be designed specifically to utilize the unique qualities of their own manufacturing processes, and may benefit from capacity, informational, cost and technical advantages relative to our Physical IP components, and we may be unable to compete effectively with such internal design groups.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attract new customers and sell additional products to our existing customers, our business, results of operations, financial condition and prospects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Adding new customers while maintaining our existing customers, selling additional products to our existing customers and increasing the price we charge to existing customers represent our principal opportunities to increase revenue (particularly licensing revenue). We generate a significant portion of our revenues from customers who incorporate our products into chips used in smartphones, consumer electronics and other embedded chips. If growth in these markets declines (including in the smartphone market, in which growth has declined in recent years), our business, financial condition, results of operations and cash flows could be negatively affected, and we would become more dependent on new growth areas to increase revenue and improve our financial condition. We are currently focused on growing our business in key areas such as infrastructure, automotive, IoT, AI and 5G. Numerous factors, however, may impede our ability to grow our business in these key areas, add new customers and sell additional products to our existing customers. Those factors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develop new products that are attractive to current and prospective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slow adoption of our new products in key areas such as infrastructure, automotive, IoT, AI and 5G;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develop or expand relationships with channel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develop new distribution channels appropriate for such new technology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provide quality technical support once deployed;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retain new customers and failure to ensure the effectiveness of our marketing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prospective customers do not perceive our products to be of sufficiently high value and quality or they do not believe the costs of our products relative to competing technology can be passed along to their customers, we may not be able to effectively attract new customers, which would materially and adversely affect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market and sell chips incorporating our products and to enhance the value of our licensed products. </w:t>
      </w:r>
    </w:p>
    <w:p>
      <w:pPr>
        <w:pStyle w:val="TextBody"/>
        <w:bidi w:val="0"/>
        <w:spacing w:before="120" w:after="0"/>
        <w:jc w:val="left"/>
        <w:rPr>
          <w:rFonts w:ascii="Times New Roman" w:hAnsi="Times New Roman"/>
          <w:sz w:val="20"/>
        </w:rPr>
      </w:pPr>
      <w:r>
        <w:rPr>
          <w:rFonts w:ascii="Times New Roman" w:hAnsi="Times New Roman"/>
          <w:sz w:val="20"/>
        </w:rPr>
        <w:t xml:space="preserve">We rely on our customers to design, manufacture and sell chips incorporating our products in order to generate royalty revenue. A substantial portion of our revenue depends upon the commencement of new design projects by semiconductor companies and their ability to provide complete chips based on our products to meet the specific application needs of their customers. However, our customers are not contractually obligated to design, manufacture or sell chips using our products on an exclusive basis or at all. Some of our existing customers design, manufacture and sell chips based on competing technology, including their own, and other existing or potential customers may do so in the future. To the extent that our customers elect to license technology from competitors, our competitive position could be adversely affected and we could lose market share. Furthermore, under many of our arrangements with customers, there is generally no minimum purchase obligation or guaranteed revenue stream. </w:t>
      </w:r>
    </w:p>
    <w:p>
      <w:pPr>
        <w:pStyle w:val="TextBody"/>
        <w:bidi w:val="0"/>
        <w:spacing w:before="240" w:after="0"/>
        <w:jc w:val="left"/>
        <w:rPr>
          <w:rFonts w:ascii="Times New Roman" w:hAnsi="Times New Roman"/>
          <w:sz w:val="20"/>
        </w:rPr>
      </w:pPr>
      <w:r>
        <w:rPr>
          <w:rFonts w:ascii="Times New Roman" w:hAnsi="Times New Roman"/>
          <w:sz w:val="20"/>
        </w:rPr>
        <w:t xml:space="preserve">We are also subject to risks related to the competition faced by our customers in their particular industries, the engineering and marketing capabilities of our customers, the technical challenges unrelated to our products faced by our customers in developing their chips, and the financial and other resources of our customers. We cannot assure you that our customers and other partners will dedicate the resources necessary to promote and further develop chips incorporating our products, that they will manufacture chips containing our products in quantities sufficient to meet demand, that we will be successful in developing, expanding or maintaining our relationships with current or prospective customers or other partners, or that such customers will effectively and successfully promote and sell chips using our products. In addition, if their chips that incorporate our products are faulty, we may suffer reputational harm whether or not any fault results from our products. See Errors, defects, bugs or security vulnerabilities in or associated with our products could expose us to liability and damage our brand and reputation, which could harm our competitive position and result in a loss of market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results of operations, particularly our licensing and royalty revenues, can vary significantly between periods and may be unpredictable. </w:t>
      </w:r>
    </w:p>
    <w:p>
      <w:pPr>
        <w:pStyle w:val="TextBody"/>
        <w:bidi w:val="0"/>
        <w:spacing w:before="120" w:after="0"/>
        <w:jc w:val="left"/>
        <w:rPr>
          <w:rFonts w:ascii="Times New Roman" w:hAnsi="Times New Roman"/>
          <w:sz w:val="20"/>
        </w:rPr>
      </w:pPr>
      <w:r>
        <w:rPr>
          <w:rFonts w:ascii="Times New Roman" w:hAnsi="Times New Roman"/>
          <w:sz w:val="20"/>
        </w:rPr>
        <w:t xml:space="preserve">We have experienced, and may in the future experience, significant fluctuations in our period-to-period results of operations. Our results may fluctuate and be unpredictable because of a variety of factors,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entry into high-value agreements of which we historically have signed only a limited number each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mixture of license fees, royalties, and fees for software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correctly accrue royalty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terms and delivery and revenue recognition schedules of our agreements with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license renewals and license extensions;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chips and end products that incorporate our products or expected future demand for such chips and end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 effects on demand for end products that incorporate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and sales cycles;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new technology by us, our customers or our competitors, or other actions taken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orders from, and shipments to, technology companies of chips based on our products from our semiconductor partners and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results of Arm China and its ability to make payments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litigation or developments in current litigation, including, but not limited to, a lawsuit with Qualcomm and Nuvia (each as defined below), as described under We are currently involved in pending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new employees joining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bonuses and other remuneration to employees, including for retention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strategic investments, acquisitions or divestitures that we might undertake, and the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supply chain constraints and inventory correction in or affecting the semiconductor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cyclical fluctuations in the semiconductor market and the markets of our customers end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sudden technological or other changes in the semiconductor industry, including consolidation among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global economy (such as inflation, rising interest rates or a recession), disruptions in the global supply chain (including shortages of critical semiconductor components and chips) or regulatory changes that impact the semiconductor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political, regulatory, legal or economic conditions or geopolitical turmoil (including PRC-Taiwan relations), including terrorism, war (including the war in Ukraine) or political or military coups, state-sponsored or politically motivated cyberattacks, or foreign and domestic civil disturbances or political instability;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accounting policies and accounting standards applicable to us, and changes to key accounting estimates and judgments applied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Accurate prediction of the timing of inception of new licenses and renewals of existing licenses is difficult because the development of a business relationship with a potential customer may frequently span a year or more. The fiscal quarter in which a new or renewed license agreement will be entered into, if at all, is difficult to predict, as are the financial terms of any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Our license and royalty revenues are also affected by market conditions in the industries in which our customers operate, particularly in the semiconductor industry, which is cyclical by nature and impacted by broad economic factors, such as worldwide gross domestic product and consumer spending. The semiconductor industry has experienced significant and sometimes sudden and prolonged downturns in the past, including in recent years as a result of supply chain constraints.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factors and others, many of which are outside of our control, it may be difficult for us to provide accurate forecasts of our revenues and results of operations for future periods, and such factors and others could have a material adverse effect on our business, competitive position, results of operations,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Customers may decide to license our architecture and develop their own processors based on our architecture, rather than utilize our processor products pursuant to an implementation license. </w:t>
      </w:r>
    </w:p>
    <w:p>
      <w:pPr>
        <w:pStyle w:val="TextBody"/>
        <w:bidi w:val="0"/>
        <w:spacing w:before="120" w:after="0"/>
        <w:jc w:val="left"/>
        <w:rPr>
          <w:rFonts w:ascii="Times New Roman" w:hAnsi="Times New Roman"/>
          <w:sz w:val="20"/>
        </w:rPr>
      </w:pPr>
      <w:r>
        <w:rPr>
          <w:rFonts w:ascii="Times New Roman" w:hAnsi="Times New Roman"/>
          <w:sz w:val="20"/>
        </w:rPr>
        <w:t xml:space="preserve">Our customers may decide to license our ISA and develop their own processors based on our ISA, rather than utilize our predeveloped products through an implementation license, resulting in less fees paid to us. Customers may choose to develop their own processors if they believe they can do so more effectively than us or if supply and capacity constraints within the semiconductor industry further incentivize vertical integration in an effort to secure additional control over their supply chains. Some of these customers may have greater name recognition and substantially greater financial, management, marketing, service, support, technical, distribution and other resources than we do. If our customers, and particularly one or more key customers from whom we generate a significant portion of our total revenues, elect to develop their own processors based on our ISA, the market for our developed processor portfolio would decline, which could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total revenue comes from a limited number of customers, which exposes us to greater risks than if our customer base were more diversified.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our total revenue is generated from a limited number of key customers. In particular, our top five customers (including Arm China) collectively accounted for approximately 57% and 56% of our total revenue for the fiscal years ended March 31, 2023 and 2022, respectively, and our largest customer individually, Arm China, accounted for approximately 24% and 18% of our total revenue, respectively, during those fiscal years. As a result of this customer concentration, we are particularly susceptible to adverse developments affecting our key customers and their respective businesses, including industry downturns, decreased demand for their products, increased competition, changes in trade protection and other government policies, financial hardship and changes in their business model, purchasing behavior and strategic priorities, among other factors, many of which are beyond our control. In particular, developments in our key customers respective businesses that adversely affect their ability to satisfy their payment obligations to us or result in their determination not to continue or expand their use of our products would have a material adverse impact on our revenue and results of operations to a greater extent than if our customer base were more diversified. Our customer concentration also has afforded certain customers significant bargaining power, which has, in some cases, resulted in pricing or other contractual terms that are less favorable to us. For example, subject to certain limitations, certain of our contracts with key customers contain provisions allowing such customers to obtain licenses to our latest products as soon as they are made available to any other customer. If we were to lose one or more of our key customers or if our business with one or more key customers were to decrease significantly, whether as a result of external impacts on the business of those customers, or, for example, as a result of disputes with such customers with respect to pricing models, there are no assurances that we would be successful in identifying and contracting with one or more customers to replace any lost revenue, which would materially and adversely affect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in the semiconductor and electronics industries could have a material adverse effect on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A number of business combinations, including mergers, asset acquisitions and strategic partnerships, have been consummated among our customers in the semiconductor and electronics industries, and more could occur in the future. Consolidation among our customers could lead to a loss of customers, increased customer bargaining power, or reduced customer spending on our products, each of which could have a material adverse effect on our business, results of operations, financial condition and prospects. For example, in the past, some of our larger customers who have negotiated lower pricing models have acquired customers with higher pricing models. In some cases, we have been, and in the future may be, required to renegotiate the pricing model with the acquired company or to honor the lower pricing model applicable for the acquiring customer while providing the same products prior to the acquisition by the larger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revenues predominantly come from a limited number of end markets. </w:t>
      </w:r>
    </w:p>
    <w:p>
      <w:pPr>
        <w:pStyle w:val="TextBody"/>
        <w:bidi w:val="0"/>
        <w:spacing w:before="120" w:after="0"/>
        <w:jc w:val="left"/>
        <w:rPr>
          <w:rFonts w:ascii="Times New Roman" w:hAnsi="Times New Roman"/>
          <w:sz w:val="20"/>
        </w:rPr>
      </w:pPr>
      <w:r>
        <w:rPr>
          <w:rFonts w:ascii="Times New Roman" w:hAnsi="Times New Roman"/>
          <w:sz w:val="20"/>
        </w:rPr>
        <w:t xml:space="preserve">Royalties from smartphones and consumer electronics comprised greater than 50% of our royalty revenue for the fiscal year ended March 31, 2023. In these end markets, our substantial existing market share may limit opportunities for future growth. Additionally, demand in these markets may be adversely impacted if consumers reduce their purchases of smartphones and consumer electronics as a result of changes in consumer behavior. If these end markets do not expand, we may be unable to continue to grow our revenues significantly from these markets, if at all. Additionally, circumstances outside of our control, such as the invention of new technologies, could adversely affect the smartphone and consumer electronics markets as a whole, which would have a material adverse impact on our revenue, profitability, and ability to attract new customers. </w:t>
      </w:r>
    </w:p>
    <w:p>
      <w:pPr>
        <w:pStyle w:val="TextBody"/>
        <w:bidi w:val="0"/>
        <w:spacing w:before="240" w:after="0"/>
        <w:jc w:val="left"/>
        <w:rPr>
          <w:rFonts w:ascii="Times New Roman" w:hAnsi="Times New Roman"/>
          <w:sz w:val="20"/>
        </w:rPr>
      </w:pPr>
      <w:r>
        <w:rPr>
          <w:rFonts w:ascii="Times New Roman" w:hAnsi="Times New Roman"/>
          <w:sz w:val="20"/>
        </w:rPr>
        <w:t xml:space="preserve">Our products are extensible and have been licensed and used in various other target end markets. While these new target markets represent a meaningful opportunity for us, they may not grow or develop as quickly as we expect them to. Furthermore, it could take years to reach a market share similar to our position in smartphones and consumer electronics. </w:t>
      </w:r>
    </w:p>
    <w:p>
      <w:pPr>
        <w:pStyle w:val="TextBody"/>
        <w:bidi w:val="0"/>
        <w:spacing w:before="240" w:after="0"/>
        <w:jc w:val="left"/>
        <w:rPr>
          <w:rFonts w:ascii="Times New Roman" w:hAnsi="Times New Roman"/>
          <w:sz w:val="20"/>
        </w:rPr>
      </w:pPr>
      <w:r>
        <w:rPr>
          <w:rFonts w:ascii="Times New Roman" w:hAnsi="Times New Roman"/>
          <w:sz w:val="20"/>
        </w:rPr>
        <w:t xml:space="preserve">Other microprocessor architectures such as x86 and RISC-V may already exist across all of these markets, or may be developed for applications within these markets. For applications in markets such as computing, data centers, networking and servers, competing microprocessor architectures, such as x86, already have a large, well-established customer base and are supported by a broad base of related software and development tools. These markets represent a significant portion of our revenue growth opportunity, and they also introduce new sources of competition, including, in some cases, incumbent competitors with established technologies, ecosystems, and customer bases, lower prices or costs, and greater brand recognition. These new markets may not grow as projected or at all, and we may not realize an adequate return on our investments. Due to the interdependence of various components in the products in which our architecture and our competitors architectures are used, customers are unlikely to change to another product, once adopted, until the next generation of a technology. As a result, even if our products are superior to alternative offerings, it may be difficult for our products to displace alternative technologies as a result of high switching costs to change to our products, including the need for potential customers to make significant investments in additional training and development tools and to convert software for existing devices. Additionally, to the extent our competitors have done business with prospective customers for a long period of time and have established relationships, our competitors may have information regarding future trends and requirements of such prospective customers that may not be available to us. If any of these markets do not develop as we currently anticipate or we fail to establish ourselves in these new markets, we could suffer a material adverse effect on our competitive position and business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Fragmentation of the global semiconductor market could have a material adverse effect on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We sell our products across the semiconductor industry globally and rely on various markets across the world to generate revenue. The global market for our products, both where we are already established and new markets we intend to enter, may be impacted by geopolitical factors. A shift towards geopolitical rivalry could lead to the fragmentation of the global semiconductor market, as certain countries want more end-to-end control over architecture, leading to increased architectural fragmentation and a reduced role for a global architecture. Countries may take political decisions to enforce the use of an alternative architecture, or locally generated implementations for certain use cases, to make their country more resilient in the case of trade barriers or for national security reasons. For us, this could lead to increased costs to support region specific products, reduced revenue as a result of lost investment in territories that no longer use our products and potential market loss and loss of future licensing opportunities, all of which could have a material adverse effect on our business, results of operations,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develop new products in response to, or in anticipation of, rapid technological changes in our industry or the industries we serve, our business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our products is characterized by rapidly changing technology and end-user needs. For example, improvements are rapidly being made in AI, cloud computing, data centers, image sensors, ML and the metaverse, among other technologies. Furthermore, the once-rapid improvements in semiconductor transistor density, with consequent reductions in cost and power consumption, are decelerating, and further innovation will become incrementally more difficult and expensive to achieve. As a result of these rapid technological changes and others currently unknown, the future market for our products is difficult to predict. These risks are further exacerbated by the fact that our products often use a common architecture for multiple end markets and our new architecture products often are based on legacy products. Therefore, if our architecture were rendered uncompetitive, obsolete, or otherwise unmarketable it may impact multiple products and may cause us to expend significant resources and incur significant expenses to develop a new architecture. </w:t>
      </w:r>
    </w:p>
    <w:p>
      <w:pPr>
        <w:pStyle w:val="TextBody"/>
        <w:bidi w:val="0"/>
        <w:spacing w:before="240" w:after="0"/>
        <w:jc w:val="left"/>
        <w:rPr>
          <w:rFonts w:ascii="Times New Roman" w:hAnsi="Times New Roman"/>
          <w:sz w:val="20"/>
        </w:rPr>
      </w:pPr>
      <w:r>
        <w:rPr>
          <w:rFonts w:ascii="Times New Roman" w:hAnsi="Times New Roman"/>
          <w:sz w:val="20"/>
        </w:rPr>
        <w:t xml:space="preserve">Our business, reputation and relationships with our third-party partners could be adversely affected if we cannot develop technological improvements or adapt our products to technological changes on a timely basis. Whether we will be able to compete in the future will substantially depend on our ability to advance our products to meet these changing market and end-user needs and to anticipate successfully or respond to technological changes in hardware, software and architecture standards on a cost-effective and timely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Developing new products requires us to expend significant resources without assurances that we will generate revenue in the amounts we anticipate, on the expected timeline or at all. </w:t>
      </w:r>
    </w:p>
    <w:p>
      <w:pPr>
        <w:pStyle w:val="TextBody"/>
        <w:bidi w:val="0"/>
        <w:spacing w:before="120" w:after="0"/>
        <w:jc w:val="left"/>
        <w:rPr>
          <w:rFonts w:ascii="Times New Roman" w:hAnsi="Times New Roman"/>
          <w:sz w:val="20"/>
        </w:rPr>
      </w:pPr>
      <w:r>
        <w:rPr>
          <w:rFonts w:ascii="Times New Roman" w:hAnsi="Times New Roman"/>
          <w:sz w:val="20"/>
        </w:rPr>
        <w:t xml:space="preserve">We will have to make significant expenditures to continue developing our semiconductor products and other products. The long development time of generally five or more years from the initial design of our semiconductor products until its incorporation into new end-user applications can place significant strain on our financial resources and personnel. Despite these investments, there can be no assurances that we will realize the financial benefits of our development efforts in the amounts we anticipate, on the expected timeline or at all. For instance, in the past we have experienced delays in the development of certain of our products, which then delayed product deployment and the associated revenues. </w:t>
      </w:r>
    </w:p>
    <w:p>
      <w:pPr>
        <w:pStyle w:val="TextBody"/>
        <w:bidi w:val="0"/>
        <w:spacing w:before="240" w:after="0"/>
        <w:jc w:val="left"/>
        <w:rPr>
          <w:rFonts w:ascii="Times New Roman" w:hAnsi="Times New Roman"/>
          <w:sz w:val="20"/>
        </w:rPr>
      </w:pPr>
      <w:r>
        <w:rPr>
          <w:rFonts w:ascii="Times New Roman" w:hAnsi="Times New Roman"/>
          <w:sz w:val="20"/>
        </w:rPr>
        <w:t xml:space="preserve">We may be unable to predict the timing or development of trends in our target markets with any accuracy. If we fail to accurately predict market requirements or market demand for our products in our target markets, our business will suffer. A market shift towards an industry standard that we do not currently support and for which we are not currently developing new products could significantly decrease the demand for our products. Despite these uncertainties, we devote substantial financial and other resources, including design, engineering, sales, marketing, and management efforts, to developing and marketing our products in anticipation of incorporation into new end-user applications. Additionally, our competitors may have a competitive advantage if their assessments relating to market adoption of new technologies prove to be more accurate than our assessments. Our failure to anticipate or timely develop new or enhanced products in response to changing market demand could result in the loss of customers and decreased revenue and have a material and adverse effect on our business, cash flows,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As we develop and introduce new products, we face the risk that customers may not value or be willing to bear the cost of incorporating these newer products into their chips, including increases in royalty rates for such new products (as compared to existing products), particularly if they believe their customers are satisfied with the current products or unwilling to pay for improved products. Regardless of the improved features or superior performance of the newer products we develop, customers may be unwilling to adopt our new products for a variety of reasons, including design or pricing constraints. Moreover, the complexity and expense associated with our products generally requires a lengthy customer education, evaluation and approval process. Further, economic conditions, including economic downturns and rising rates of inflation, may adversely impact our ability to license products by making it difficult for our customers to plan future business activities, which could cause customers to limit spending or delay decision-making.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not be successful in developing and licensing new products and may experience difficulties or delays that would prevent the successful development, introduction and marketing of new products, and any new products that we may introduce may not achieve market acceptance and generate royalties and profits in the amounts we anticipate, on the expected timeline or at all, which could materially and adversely affect our business, cash flows, results of operations and prospects. These risks are further exacerbated by our focus on developing and marketing high-value products, which naturally require more resources to develop.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years ended March 31, 2023, 2022 and 2021, revenues from the PRC accounted for approximately 25%, 18% and 20% of our total revenue, respectively, including both direct revenues and revenues derived from our relationship with Arm China. Our revenues in the PRC are derived from PRC semiconductor companies and OEMs, and from non-PRC semiconductor companies and OEMs that utilize our products in chips and end products they sell into the PRC, which, by country, has the largest number of smartphone users in the world. Our failure to maintain PRC-sourced revenues, access new and existing markets in the PRC or gain traction for new business areas in the PRC, or our loss of market share to competition in the PRC, could materially and adversely affect our results of operations and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In the past decade, the PRC has been a significant source of semiconductor industry revenues and growth. However, the near-term growth prospects of the PRC semiconductor industry and related industries are unclear due to the uncertain effects of ongoing economic stress caused by policies to contain the COVID-19 pandemic, trade and national security policies, and the elevated levels of private and public indebtedness. For the fiscal year ended March 31, 2023, although our total revenues derived from the PRC increased as compared to the prior fiscal year, the growth in our royalty revenues derived from the PRC slowed for the same period primarily as a result of economic issues in the PRC and factors related to export control and national security matters. Furthermore, in light of these issues, we expect to continue to see declining royalty revenues, and we could see a decline in licensing revenues, derived from the PRC. A prolonged downturn in the PRC semiconductor industry or the PRC economy generally could materially and adversely affect our results of operations and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Political actions, including trade and national security policies of the U.S. and PRC governments, such as tariffs, placing companies on restricted lists, export controls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Given our revenue concentration in the PRC, if, due to actual, threatened or potential U.S., U.K. or PRC government actions or policies: Arm China is further limited in, or prohibited from, licensing our products to PRC semiconductor companies and OEMs; our non-PRC semiconductor companies and OEM customers were limited in, or prohibited from, selling devices into the PRC that incorporate our products; PRC semiconductor companies and OEMs develop and use their own technology or use our competitors technology in some or all of their devices; or our PRC customers delay or cease making payments of license fees owed, our business, revenues, results of operations, cash flows and financial condition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U.S. and U.K. have trade and national security policies regarding exports to the PRC of technology with potential military uses that would require us to obtain export licenses for certain processors, which can be difficult to obtain. For example, the highest performance processor in our Neoverse series of processors meets or exceeds performance thresholds under U.S. and U.K. export control regimes and thereby triggers U.S. and U.K. export license requirements prior to export and delivery to customers in the PRC. Given that national security concerns are higher for HPC technologies destined for the PRC and government response timelines are not defined, it can be challenging and unpredictable to obtain such export licenses. Combined with customer need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certainty, we have been able to address customer demand by licensing other CPU cores that do not exceed the HPC performance export control thresholds but yet still present a compelling solution. Although our inability to sell such Neoverse processor into the PRC has not had a material impact on our business to date, future restrictions on sales of our products into the PRC could have a material adverse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On August 9, 2023, President Biden issued an executive order addressing investments by U.S. persons in companies located in the PRC that engage with certain categories of sensitive technology and products, including semiconductors and microelectronics, quantum information technologies and artificial intelligence. The executive order requires regulations that would implement limits on such investments and was accompanied by an advance notice of proposed rulemaking that outlines proposed regulations; however, the proposed regulations do not have immediate effect, are subject to public comment and a further rulemaking process and will not become effective until the rulemaking process is complete at some time in the future. While we believe it is possible that such regulations may impact our PRC customers, our suppliers, Arm China, or our business with respect to China, given the uncertainties with respect to the timing and ultimate requirements of these regulations, we are unable to assess the extent of any such impact. </w:t>
      </w:r>
    </w:p>
    <w:p>
      <w:pPr>
        <w:pStyle w:val="TextBody"/>
        <w:bidi w:val="0"/>
        <w:spacing w:before="240" w:after="0"/>
        <w:jc w:val="left"/>
        <w:rPr>
          <w:rFonts w:ascii="Times New Roman" w:hAnsi="Times New Roman"/>
          <w:sz w:val="20"/>
        </w:rPr>
      </w:pPr>
      <w:r>
        <w:rPr>
          <w:rFonts w:ascii="Times New Roman" w:hAnsi="Times New Roman"/>
          <w:sz w:val="20"/>
        </w:rPr>
        <w:t xml:space="preserve">Finally, government policies in the PRC that regulate the amount and timing of funds that may flow out of the country have impacted and may continue to impact the timing and/or ability to receive funds generated from PRC-related revenues, which may negatively affect our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our commercial relationship with Arm China to access the PRC market. If that commercial relationship no longer existed or deteriorates, our ability to compete in the PRC market could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Substantially all of our PRC-related revenue is earned through the IPLA, pursuant to which, among other things, we granted Arm China certain exclusive rights to sublicense our IP to PRC customers. We expect that our licensing relationship with Arm China will continue to account for substantially all of our total revenues from the PRC and represent a significant portion of our revenues for the foreseeable future. It would be difficult for us to replace any lost PRC-sourced revenue in the event that our commercial relationship with Arm China were to terminate or deteriorate. Accordingly, we expect that Arm China will continue to provide our primary access to the PRC market for the foreseeable future. If we fail to maintain our commercial relationship with Arm China, our access to the PRC market could be materially diminished and our business, results of operations, financial condition and prospects for growth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Neither we nor SoftBank Group control the operations of Arm China, which operates independently of us. </w:t>
      </w:r>
    </w:p>
    <w:p>
      <w:pPr>
        <w:pStyle w:val="TextBody"/>
        <w:bidi w:val="0"/>
        <w:spacing w:before="120" w:after="0"/>
        <w:jc w:val="left"/>
        <w:rPr>
          <w:rFonts w:ascii="Times New Roman" w:hAnsi="Times New Roman"/>
          <w:sz w:val="20"/>
        </w:rPr>
      </w:pPr>
      <w:r>
        <w:rPr>
          <w:rFonts w:ascii="Times New Roman" w:hAnsi="Times New Roman"/>
          <w:sz w:val="20"/>
        </w:rPr>
        <w:t xml:space="preserve">Despite our significant reliance on Arm China through our commercial relationship with them, both as a source of revenue and as a conduit to the important PRC market, Arm China operates independently of us. On March 28, 2022, we transferred our entire equity interest in Arm China to a subsidiary of SoftBank Group. As of the date of this prospectus,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do not have any direct management rights with respect to Arm China, such as a right to representation on Arm Chinas board of directors, although Mr. Haas continues to serve on the board as an appointee of the SoftBank Group affiliate holding Arms former equity interest in Arm China. Following the transfer of our interest in Arm China to a subsidiary of SoftBank Group, under the terms of the Arm China arrangement, the SoftBank Group affiliate holding Arms former equity interest in Arm China is entitled to appoint a minority of the directors of the board of Arm China, and SoftBank Groups appointees are unable to unilaterally implement certain measures that require action by all of or a supermajority of the directors of Arm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fact that Arm China operates independently of us exposes us to significant risks. Arm Chinas value to us as a customer is dependent on Arm Chinas business results, which are, in turn, subject to substantial risks that are outside of our control. For example, Arm China may not commit the necessary resources to market and sell our products to PRC end-users of our semiconductor IP products. Arm China also may fail to comply with the laws and regulatory requirements applicable to its business, which could limit its ability to market or sell our products in the PRC. In addition, Arm China may fail to attract, train, retain and motivate highly skilled managerial and technical personnel necessary for its business. Arm China may also have difficulties accessing funding or enforcing contractual relationships. The realization of these or other risks related to Arm Chinas business may have a material adverse effect on Arm Chinas business, results of operations, financial condition and prospects and, by extension, our own. Since Arm China operates independently of us and we do not control Arm China, our ability to take measures to address the various risks facing Arm China is limited. If any of such risks related to Arm Chinas business are realized, our revenue could materially decline and our results of operations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Under the IPLA with Arm China, Arm Chinas payments due to us are determined based on the financial information that Arm China provides to us. Accordingly, similar to our other royalty customers, we are dependent on Arm China providing us with reliable and timely information. We perform various procedures to assess the reasonableness of Arm Chinas data, and the IPLA includes rights for us to audit Arm Chinas activities to ensure compliance with the IPLA. In the past, we have had issues obtaining timely and accurate information from Arm China. We believe the underlying problems causing our past inability to obtain such information have been resolved, but we can provide no assurances that our access to Arm Chinas records will not be inhibited again in the future. If Arm China does not provide us with timely and accurate information, our revenue could materially decline and our results of operations could be materially adversely affected. We are also dependent on Arm China paying us the amounts that it owes us in a timely manner and in full. In the past, we have received late payments from Arm China and have had to expend company resources to obtain payments from Arm China. Although these historical issues did not have a material impact on our operations, any future failure to pay us the amounts we are owed under the IPLA could have a material adverse effect on our business, results of operations, cash flows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Arm China has possession of or access to certain material IP and customer data pursuant to the IPLA and other commercial arrangements with us. Although Arm China is contractually obligated to protect this IP and data, we are limited in our ability to monitor or influence the manner in which Arm China protects our IP and data from theft, loss or misuse. Arm China operates its own separate information technology infrastructure. Aside from customary audit rights and protections under the IPLA, we are therefore unable to independently assure the adequacy of protections that Arm China implements with respect to its possession and/or access to our IP and data.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IPLA with Arm China, we are contractually obligated to indemnify both Arm China and its PRC customers that sublicense our IP in the event that either Arm China or such customers incur damages or costs in lawsuits, administrative proceedings or similar actions based upon a claim that our IP infringes the IP of a third party. The liability that we incur to Arm China or its PRC customers under such provisions could be significant and have a material adverse effect on our results of operations and liquidity. </w:t>
      </w:r>
    </w:p>
    <w:p>
      <w:pPr>
        <w:pStyle w:val="TextBody"/>
        <w:bidi w:val="0"/>
        <w:spacing w:before="240" w:after="0"/>
        <w:jc w:val="left"/>
        <w:rPr>
          <w:rFonts w:ascii="Times New Roman" w:hAnsi="Times New Roman"/>
          <w:sz w:val="20"/>
        </w:rPr>
      </w:pPr>
      <w:r>
        <w:rPr>
          <w:rFonts w:ascii="Times New Roman" w:hAnsi="Times New Roman"/>
          <w:sz w:val="20"/>
        </w:rPr>
        <w:t xml:space="preserve">Additionally, since April 2022, Allen Wu, the former chief executive officer of Arm China, and certain entities under his effective control, have initiated several lawsuits in the courts of the PRC seeking to challenge certain aspects of Arm Chinas corporate governance and the actions of Arm Chinas board of directors. To date, all cases that have been resolved at the trial court level have been resolved favorably to Arm China but are subject to appeal. In the event that certain of these cases were to be decided adversely to Arm China, it could result in further changes to Arm Chinas corporate governance and management structure, which could reduce SoftBank Groups ability to conduct effective oversight of Arm China and result in a material adverse effect on our business, results of operations,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face increasing competition with PRC companies that develop their own IP. </w:t>
      </w:r>
    </w:p>
    <w:p>
      <w:pPr>
        <w:pStyle w:val="TextBody"/>
        <w:bidi w:val="0"/>
        <w:spacing w:before="120" w:after="0"/>
        <w:jc w:val="left"/>
        <w:rPr>
          <w:rFonts w:ascii="Times New Roman" w:hAnsi="Times New Roman"/>
          <w:sz w:val="20"/>
        </w:rPr>
      </w:pPr>
      <w:r>
        <w:rPr>
          <w:rFonts w:ascii="Times New Roman" w:hAnsi="Times New Roman"/>
          <w:sz w:val="20"/>
        </w:rPr>
        <w:t xml:space="preserve">Due to various factors, including pressure, encouragement or incentives from, as well as the policies of, the PRC government (whose Made in China 2025 campaign targets 70% semiconductor self-sufficiency by 2025), concerns over actual, threatened or potential U.S., U.K. or PRC government actions or policies, including trade or national security policies, or other reasons, PRC semiconductor companies and OEMs may increasingly develop their own technology and use such technology in their devices, or use our competitors technology in their devices. Specifically, the PRC governments 14th Five-Year Plan and related initiatives have identified the development of globally competitive PRC companies in core technologies such as semiconductors as a key policy focus. As part of a government-wide effort to encourage investment and development of domestic semiconductor capabilities, the PRC government could encourage financing opportunities to our competitors in the PRC on favorable terms, or influence major PRC customers to favor adoption of IP of our competitors in the PRC over our own IP.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Arm China, although the terms of the IPLA with Arm China prohibit Arm China from developing microprocessor cores and only allow Arm China to develop derivative products using Arm IP with our consent, Arm China may independently develop competitive products other than microprocessor cores and could divert customer interest from our products to increase its market share to our detriment. The realization of any such risks could materially harm our business, results of operations, cash flows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future operating results may be materially and adversely affected by global economic conditions and other events outside of our control. </w:t>
      </w:r>
    </w:p>
    <w:p>
      <w:pPr>
        <w:pStyle w:val="TextBody"/>
        <w:bidi w:val="0"/>
        <w:spacing w:before="120" w:after="0"/>
        <w:jc w:val="left"/>
        <w:rPr>
          <w:rFonts w:ascii="Times New Roman" w:hAnsi="Times New Roman"/>
          <w:sz w:val="20"/>
        </w:rPr>
      </w:pPr>
      <w:r>
        <w:rPr>
          <w:rFonts w:ascii="Times New Roman" w:hAnsi="Times New Roman"/>
          <w:sz w:val="20"/>
        </w:rPr>
        <w:t xml:space="preserve">In early 2023, the World Bank warned that the global economy is close to a recession with global growth sharply declining due to, among other things, high inflation, deteriorating financial conditions, and rising geopolitical tensions. We are subject to risks arising from adverse changes in global economic conditions. In particular, due to economic uncertainties in many of our key markets, our customers and their customers may delay, suspend or reduce technology purchases and investments and/or delay their payments to us. </w:t>
      </w:r>
    </w:p>
    <w:p>
      <w:pPr>
        <w:pStyle w:val="TextBody"/>
        <w:bidi w:val="0"/>
        <w:spacing w:before="240" w:after="0"/>
        <w:jc w:val="left"/>
        <w:rPr>
          <w:rFonts w:ascii="Times New Roman" w:hAnsi="Times New Roman"/>
          <w:sz w:val="20"/>
        </w:rPr>
      </w:pPr>
      <w:r>
        <w:rPr>
          <w:rFonts w:ascii="Times New Roman" w:hAnsi="Times New Roman"/>
          <w:sz w:val="20"/>
        </w:rPr>
        <w:t xml:space="preserve">Economic conditions could continue to deteriorate in the future, and, in particular, the semiconductor and electronics industries could fail to grow, including as a result of the effects of, among other things, rising inflation and interest rates, a sustained global semiconductor shortage, supply chain disruptions, the COVID-19 pandemic and any disruption of international trade relationships such as tariffs, export licenses or other government trade restrictions. In addition, adverse economic conditions affect demand for devices that our products help create, such as smartphones, automobiles and servers. Longer-term reduced demand for these or other devices could result in reduced demand for our products and significant decreases in our licensing fees and royalties over time. In addition, if our customers or distributors build elevated inventory levels, we could experience a decrease in short-term and/or long-term demand for our products. If any of these events or disruptions were to occur, the demand for our products could be materially adversely affected along with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Our business and operating results are also vulnerable to interruption by other events outside of our control, such as earthquakes, fire, extreme weather events, power loss, telecommunications failures, political instability, geopolitical turmoil, such as the war in Ukraine and any sanctions, export controls or restrictions on doing business with Russia and Belarus, as well as any resulting disruption, instability or volatility in the global markets and industries resulting from such conflict, pandemics, military conflict and uncertainties arising out of terrorist attacks, including a global economic slowdown, the economic consequences of a resurgence and escalation of the trade war between the U.S. and the PRC, the potential for conflict in Taiwan and the associated disruptions to, or effects on, the semiconductor industry, uncertainties resulting from the U.K.s withdrawal from the European Union, commonly referred to as Brexit, military action or terrorist activities and associated political instability. Economic or political instability may undermine consumer confidence and/or cause current or </w:t>
      </w:r>
    </w:p>
    <w:p>
      <w:pPr>
        <w:pStyle w:val="TextBody"/>
        <w:bidi w:val="0"/>
        <w:spacing w:before="0" w:after="0"/>
        <w:jc w:val="left"/>
        <w:rPr>
          <w:rFonts w:ascii="Times New Roman" w:hAnsi="Times New Roman"/>
          <w:sz w:val="20"/>
        </w:rPr>
      </w:pPr>
      <w:r>
        <w:rPr>
          <w:rFonts w:ascii="Times New Roman" w:hAnsi="Times New Roman"/>
          <w:sz w:val="20"/>
        </w:rPr>
        <w:t xml:space="preserve">potential customers, including the end customers of our customers or potential customers, to reduce or delay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purchases and investments. Such events could also materially adversely affect our ability to operate and supply our products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Brexit has caused, and may continue to cause, uncertainty with respect to the future of the U.K.s economic and political relationship with the European Union, which could increase taxes and costs of business and cause heightened volatility in currency exchange rates and interest rates. Continued uncertainty and events related to Brexit could have a negative impact on consumer confidence and wages, leading to a decrease in the gross domestic product of the U.K. Brexit could also adversely affect the political, regulatory, economic or market conditions in the U.K., the European Union and worldwide, and could contribute to instability in political institutions, regulatory agencies and financial markets. </w:t>
      </w:r>
    </w:p>
    <w:p>
      <w:pPr>
        <w:pStyle w:val="TextBody"/>
        <w:bidi w:val="0"/>
        <w:spacing w:before="240" w:after="0"/>
        <w:jc w:val="left"/>
        <w:rPr>
          <w:rFonts w:ascii="Times New Roman" w:hAnsi="Times New Roman"/>
          <w:sz w:val="20"/>
        </w:rPr>
      </w:pPr>
      <w:r>
        <w:rPr>
          <w:rFonts w:ascii="Times New Roman" w:hAnsi="Times New Roman"/>
          <w:sz w:val="20"/>
        </w:rPr>
        <w:t xml:space="preserve">We regularly maintain cash balances at third-party financial institutions in excess of government-insured limits. The U.S. Federal Deposit Insurance Corporation took control and was appointed receiver of Silicon Valley Bank, New York Signature Bank and First Republic Bank on March 10, 2023, March 12, 2023 and May 1, 2023, respectively. We do not have any direct exposure to Silicon Valley Bank, New York Signature Bank or First Republic Bank. However, if other banks and financial institutions, including financial institutions at which we maintain deposits, enter receivership or become insolvent in the future in response to financial conditions affecting the banking system and financial markets or otherwise, our ability and our customers ability to access cash, cash equivalents and investments may be threatened. </w:t>
      </w:r>
    </w:p>
    <w:p>
      <w:pPr>
        <w:pStyle w:val="TextBody"/>
        <w:bidi w:val="0"/>
        <w:spacing w:before="240" w:after="0"/>
        <w:jc w:val="left"/>
        <w:rPr>
          <w:rFonts w:ascii="Times New Roman" w:hAnsi="Times New Roman"/>
          <w:sz w:val="20"/>
        </w:rPr>
      </w:pPr>
      <w:r>
        <w:rPr>
          <w:rFonts w:ascii="Times New Roman" w:hAnsi="Times New Roman"/>
          <w:sz w:val="20"/>
        </w:rPr>
        <w:t xml:space="preserve">These factors could cause customers to delay, decrease or cancel the licensing of our products and could expose us to increased credit risk on customer obligations owed to us, each of which could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operating results and revenue could be adversely affected by customer payment delays, customer bankruptcies and defaults or modifications of contractual commitments.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customers have and may continue to, and others in the future may, face challenging financial or operating conditions, including due to macroeconomic conditions or catastrophic events or other factors,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certain of our customers have in the past sought, and customers may in the future seek, to renegotiate pre-existing contractual commitments. Payment defaults by our customers or significant reductions in existing contractual commitments could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Sustained inflation could have a material adverse effect on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Inflation rates in the markets in which we operate have increased and may continue to rise. Sustained or increasing inflation could increase our operating expenses, including labor costs and research and development expenditures, or result in employee attrition to the extent our remuneration does not keep pace with inflation, particularly if our competitors remuneration does. Further, inflationary pressures may increase costs for our customers and reduce demand for our products or our customers products due to increased prices. In addition, some of our long-term licenses include an annual increase in license fees. However, these annual increases may fall below the then-current rate of inflation, which could make maintaining these licenses less profitable than we had anticipated when we originally signed the license. To the extent inflation results in rising interest rates and has other adverse effects on the market, it may further adversely affect our business, results of operations,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 epidemic, pandemic or other health crisis could materially and adversely affect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Public health crises, including the COVID-19 pandemic and the emergence and spread of COVID-19 variants, have previously resulted in significant economic uncertainty, significant volatility in business and consumer confidence and global consumer demand, and a global economic slowdown. Government policies and other preventive and precautionary measures that governments and businesses have implemented in the past to limit the spread of an epidemic, pandemic or other health crisis, including, but not limited to, travel bans and restrictions, quarantines, shelter-in-place and social distancing orders, declarations of states of emergency and shutdowns, have exacerbated these issues. </w:t>
      </w:r>
    </w:p>
    <w:p>
      <w:pPr>
        <w:pStyle w:val="TextBody"/>
        <w:bidi w:val="0"/>
        <w:spacing w:before="240" w:after="0"/>
        <w:jc w:val="left"/>
        <w:rPr>
          <w:rFonts w:ascii="Times New Roman" w:hAnsi="Times New Roman"/>
          <w:sz w:val="20"/>
        </w:rPr>
      </w:pPr>
      <w:r>
        <w:rPr>
          <w:rFonts w:ascii="Times New Roman" w:hAnsi="Times New Roman"/>
          <w:sz w:val="20"/>
        </w:rPr>
        <w:t xml:space="preserve">Although restrictions may from time to time ease in certain jurisdictions, there is continued uncertainty regarding the duration, scope and severity of the COVID-19 pandemic, particularly with the emergence of new variants of COVID-19 and periodic spikes in COVID-19 cases in various geographic regions. In particular, the recent resurgence of the pandemic in the PRC, one of our most significant markets, after the government abandoned its zero-tolerance policy for COVID-19, may cause the reinstatement of restrictions across various jurisdictions and could adversely affect many industries in the PRC and globally. The pandemic in the PRC has resulted from time to time in widespread lockdowns in various areas of the country and has had, and may continue to have, a significant adverse effect on the PRC economy and, in turn, demand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 COVID-19 pandemic has also contributed to volatility in the financial markets and may increase the possibility of an extended global economic downturn and extended periods of high inflation, which could continue to affect demand for our products, demand for end products that incorporate our products and our ability to collect payments from our customers. </w:t>
      </w:r>
    </w:p>
    <w:p>
      <w:pPr>
        <w:pStyle w:val="TextBody"/>
        <w:bidi w:val="0"/>
        <w:spacing w:before="240" w:after="0"/>
        <w:jc w:val="left"/>
        <w:rPr>
          <w:rFonts w:ascii="Times New Roman" w:hAnsi="Times New Roman"/>
          <w:sz w:val="20"/>
        </w:rPr>
      </w:pPr>
      <w:r>
        <w:rPr>
          <w:rFonts w:ascii="Times New Roman" w:hAnsi="Times New Roman"/>
          <w:sz w:val="20"/>
        </w:rPr>
        <w:t xml:space="preserve">We are unable to accurately predict the impact that COVID-19 will continue to have on our business, results of operations, financial condition and prospects due to uncertainties, including the existence, severity and duration of future outbreaks and additional actions that may be taken by businesses and governmental authorities. Nevertheless, to the extent the COVID-19 pandemic or an unrelated epidemic, pandemic or other health crisis adversely affects our business, it may also have the effect of heightening many of the other risks described in these risk factors relating to our business and industry, such as those relating to demand for end products incorporating our products. The cumulative effects of these developments could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adequately fund our research and development efforts may materially impair our ability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To remain competitive, we must continue to develop new products, applications and enhancements to our existing products and services, particularly as next-generation technology is adopted by market participants. Allocating and maintaining adequate research and development resources, such as the appropriate personnel and development technology, to meet the evolving demands of the market is essential to our continued success, but our allocations may be inadequate or we may pursue research and development initiatives based on assumptions about future demand that prove to be incorrect. Our competitors may expend considerably greater resources to support their respective research and development programs than we do, which may give our competitors a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fund research and development expenditures depends on generating sufficient revenue and cash flow from operations and the availability of external financing, if necessary. Our research and development expenditures, together with other ongoing operating expenses, is a substantial drain on cash flow and may decrease cash balances, which may limit our ability to pursue other potentially attractive initiatives. On the other hand, if we allocate our resources to such other potentially attractive initiatives or pay dividends to our shareholders, our research and development efforts may be harmed or we may need to seek external financing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to fund our efforts. If new competitors, technological advances by existing competitors, other competitive factors or market changes require us to invest significantly greater resources than anticipated in research and development efforts, total operating expenses would increase. If we are required to invest significantly greater resources than anticipated in research and development efforts without an associated increase in revenue, our operating results could decline.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processors often run software created by independent software vendors or through open-source communities. Each end market has its own ecosystem of software and tools providers, including from open-source communities. These ecosystems need to be supported by our engineers and resources, and by our customers, including, from time to time, through direct monetary investment. In some circumstances, we may also need to subsidize or fund our customers research and development efforts. Insufficient investment may result in the ecosystems and/or customers providing better support for end products not based on our products leading to systems companies not choosing chips based on our products, which would result in a reduction in our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relies on a limited number of companies to manufacture chips and related products. The chip manufacturing operations of these companies are concentrated in certain geographic regions, including Taiwan and other parts of East Asia, which makes us susceptible to adverse developments in these regions economic and political conditions, particularly to the extent that such developments create an unfavorable business environment that significantly affects our and our customers operations. These manufacturers or the geographic regions in which they operate may be impacted by events outside of our or their control, including, among other things, company-specific operational issues, trade conflicts and military action or terrorist activities and associated political instability, any of which could have a material adverse effect on our business, results of operations, financial condition and prospects. Although the governments of certain countries, including the U.S., have taken actions to make their countries more attractive for chip manufacturing operations, there can be no assurances that the current geographic concentration of chip manufacturing will be meaningfully changed in the near term or at all. </w:t>
      </w:r>
    </w:p>
    <w:p>
      <w:pPr>
        <w:pStyle w:val="TextBody"/>
        <w:bidi w:val="0"/>
        <w:spacing w:before="240" w:after="0"/>
        <w:jc w:val="left"/>
        <w:rPr>
          <w:rFonts w:ascii="Times New Roman" w:hAnsi="Times New Roman"/>
          <w:sz w:val="20"/>
        </w:rPr>
      </w:pPr>
      <w:r>
        <w:rPr>
          <w:rFonts w:ascii="Times New Roman" w:hAnsi="Times New Roman"/>
          <w:sz w:val="20"/>
        </w:rPr>
        <w:t xml:space="preserve">Any escalation in geopolitical tensions in Asia, particularly between the PRC and Taiwan, could significantly disrupt semiconductor chip manufacturing and interrupt the global semiconductor chip supply chain. A significant portion of the worlds semiconductor manufacturing is in Taiwan, and increased geopolitical tensions there could exacerbate supply chain disruptions. In addition, the war in Ukraine could lead to market disruptions and exacerbate current supply chain constraints, including with respect to certain materials and metals, which are essential in semiconductor manufacturing.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technologies, such as AI and ML, may use algorithms that are not suitable for a general purpose CPU, such as our processors, and the failure to successfully implement new technologies in our processors could have a material adverse effect on our business, competitive position,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New technologies, such as AI and ML, may use algorithms that are not suitable for a general purpose CPU, such as our processors. Consequently, our processors may become less important in a chip based on our products, thus eroding its value to the customer and resulting in lower revenue for us. If we are unable to develop and commercialize processors that are compatible with new technologies or competitors are successful in developing compatible technologies more quickly or efficiently than we can, our business, competitive position, results of operations, financial condition and prospects may be materially and adversely affected. In addition, the introduction of new technologies, such as AI and ML, into our processors may increase IP, cybersecurity,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operational, data protection and technological risks and result in new or enhanced governmental or regulatory scrutiny, litigation, ethical concerns, or other complications that could materially and adversely affect our business. As a result of the complexity and rapid development of new technologies, it is not possible to predict all of the legal, operational or technological risks related to use of such technologies. Furthermore, new technologies, such as AI and ML, are the subject of evolving review by various governmental and regulatory bodies and agencies, and changes in laws, rules, directives and regulations governing the use of such technologies may adversely affect the ability of our business to develop and use such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our management team and will need additional personnel to grow our business, and the loss of one or more key employees or our inability to attract and retain qualified personnel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is substantially dependent on our ability to attract, integrate, retain and motivate our management team and other key personnel and we are particularly dependent on our senior management team, including Mr. Haas, our Chief Executive Officer, Mr. Child, our Chief Financial Officer, Mr. Collins, our Chief Legal Officer, Mr. Grisenthwaite, our Chief Architect, and other key employees. Competition for highly skilled personnel, and particularly engineers, can be intense. Other companies may be successful in recruiting and hiring members of our management team or other key employees, and it may be difficult for us to find suitable replacements on a timely basis, on competitive terms or at all. We experience voluntary attrition on an ongoing basis, and we reduced overall headcount as part of a restructuring that was completed in June 2022 to address duplicative work functions and deprioritize certain initiatives within the Company. Circumstances may require a further reduction in the overall size of our organization, which may present challenges in managing and growing our business. If we lose the services of any of our senior management personnel, other key personnel or a significant number of our engineers or sales and marketing personnel, our development efforts or business relationships could be disrupted, which could have a material adverse effect on our business, results of operations, financial condition and prospects. Our future success significantly depends on our ability to identify, attract, motivate and retain qualified engineers with the requisite educational background and industry experience. Competition for such qualified engineers is intense and the cost of attracting and retaining qualified employees may increase without a corresponding increase in the prices we charge our customers, which could materially and adversely affect our profitability. In certain geographic regions, there is also intense competition for sales and marketing personnel, which may adversely affect our ability to expand into new markets. Particularly, changes to the U.K.s border and immigration policy could occur as a result of Brexit, potentially affecting our ability to recruit and retain employees from outside the U.K. If we are unsuccessful in attracting and retaining qualified personnel to fulfill our current or future needs, our business, results of operations, financial condition and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Competitive pressures or market opportunities may necessitate reductions in our pricing or change our business terms or business model, which could materially and adversely affect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In order to remain competitive in the highly competitive markets in which we do business, we may need to reduce the prices of our products or services or otherwise change the structure and terms of our customer relationships or our business model. If our competitors offer significant discounts on certain products in an effort to recapture or gain market share or to sell other software or hardware products, we may need to lower our prices or offer other favorable terms to compete successfully. Any such changes would likely reduce our profit margins and could have a material adverse effect on our business, results of operations, financial condition and prospects. Any substantial changes to our other commercial arrangements with our customers or our business model could cause revenues to decline or be delayed as our sales force implements and our customers adjust to the commercial arrangements or business model. Changes to our business model could also necessitate changes in our product mix, which could cause revenues or profitability to decline, particularly if such changes in our product mix result in an increased reliance on lower margin offerings. If we cannot offset price reductions with a corresponding increase in sales volume or by reducing our costs, then the reduced revenues resulting from lower prices could have a material adverse effect on our business, results of operations,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in the future, in response to market opportunities and pressures, we are likely to offer new products or services that may directly compete with the products and services of some of our customers or partners. This may create real or perceived competitive conflicts with companies that are important to our business, and as a result of such competition, such customers or partners may terminate or materially reduce their relationship with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it is crucial for the market acceptance of our products to have available development tools, systems software, EDA software and operating systems that are compatible with our products. Although we currently work with other third-party partners to offer such tools and software compatible with our products, we cannot assure you that such tools and software are or will continue to be sufficient to support customers needs, that our existing partners will continue to offer such tools, software and operating systems compatible with our products, or that we will continue to attract additional tools, software and operating systems partners. 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Participation in standards-setting organizations may subject us to IP licensing requirements or limitations that could adversely affect our business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Our participation in standards-setting organizations or with other industry initiatives may require us to license our patents or products to companies that adopt industry-standard specifications. Depending on the rules of the organization, government regulations, or court decisions, we may be required to grant to all other participants licenses to our patents or products that are essential to the practice of those standards for little or no cost, or otherwise on RAND terms, which could limit our control over the use of these patents and products. If we fail to limit to whom we license our patents or products, or fail to limit the terms of any such licenses, we may be required to license our patents or other IP to others in the future, which could limit the effectiveness of our patents against competitors. In these situations, the royalty rates we charge could be limited for these products, and we may be unable to limit to whom we license such products or to restrict many terms of the license. As a result, we may be unable to enforce certain patents against others, our costs of enforcing our licenses or protecting our patents may increase, and the value of our IP rights may be impaired. We may in the future be subject to claims that our licensing of industry standard technologies may not conform to the requirements of the standards-setting organization. Allegations such as these could be asserted in private actions seeking monetary damages and injunctive relief, or in regulatory actions. Claimants in such cases could seek to restrict or change our licensing practices or our ability to license our products. Any of the foregoing could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products do not conform to, or are not compatible with, existing or emerging industry standards, demand for our products may decrease. </w:t>
      </w:r>
    </w:p>
    <w:p>
      <w:pPr>
        <w:pStyle w:val="TextBody"/>
        <w:bidi w:val="0"/>
        <w:spacing w:before="120" w:after="0"/>
        <w:jc w:val="left"/>
        <w:rPr>
          <w:rFonts w:ascii="Times New Roman" w:hAnsi="Times New Roman"/>
          <w:sz w:val="20"/>
        </w:rPr>
      </w:pPr>
      <w:r>
        <w:rPr>
          <w:rFonts w:ascii="Times New Roman" w:hAnsi="Times New Roman"/>
          <w:sz w:val="20"/>
        </w:rPr>
        <w:t xml:space="preserve">We design certain of our products to conform to industry standards. Some industry standards may not be widely adopted or implemented uniformly, and competing standards may emerge that may be preferred by our customers or by our third-party suppliers. In addition, existing standards may be superseded by new innovations or standards. Because our products often use a common architecture and our new architecture products often are based on legacy products, obsolescence of components or features of our products may have a more significant effect on our results of operations, financial condition and prospects than if our products were less interrelated. See Developing new products requires us to expend significant resources without assurances that we will generate revenue in the amounts we anticipate, on the expected timeline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use certain software governed by open-source licenses and we contribute to certain open-source projects, which under certain circumstances could materially adversely affect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software, as well as that of our customers, third-party partners and vendors, may be derived from open-source software that is generally made available to the public by its authors or other third parties. Open-source software is made available under licenses that impose certain obligations on us in the event we were to distribute derivative works of the open-source software. These obligations may require us to make source code for the derivative works available to the public and/or license such derivative works under a particular type of license, rather than the forms of license we customarily use to protect our IP. In the event that the copyright holder of any open-source software were to successfully establish in court that we had not complied with the terms of a license for a particular work, we could be required to release the source code of that work to the public or stop distribution of that work if the license is terminated, which could adversely affect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While we take steps to monitor the use of all open-source software in our products and try to ensure that no open-source software is used in such a way as to require us to disclose the source code to the related products when we do not wish to do so, such use could inadvertently occur. Additionally, if a third-party software provider has incorporated certain types of open-source software into software we license from such third party for our products, we could, under certain circumstances, be required to disclose the source code to our products. This could harm our IP position and have a material adverse effect on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although some open-source vendors provide warranty and support agreements, it is common for such software to be available as-is with no warranty, indemnity or support. Some of our products use open-source libraries that could contain vulnerabilities, and these may be discovered at any time. These vulnerabilities are often disclosed publicly without forewarning to the users of the software. Accordingly, our products may contain vulnerabilities originating from open-source software without our knowledge, and we may not have the opportunity to address such vulnerabilities before they are disclosed to the public. Although we monitor our use of open-source software to avoid subjecting our products to unintended conditions or vulnerabilities, such use, under certain circumstances, could materially adversely affect our business, results of operations, financial condition, prospects and reputation, including if we are required to take remedial action that may divert resources away from our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Finally, from time to time we contribute software source code to open-source projects under open-source licenses. Any source code we contribute to open-source projects is publicly available. As such, our ability to protect our IP rights with respect to such software source code may be limited or lost entirely, and we may be unable to prevent our competitors or others from using such contributed software source code. Any of these risks could be difficult to eliminate or manage, and could harm our IP position and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may be difficult for us to verify customer data, including royalty amounts owed to us under our licensing agreements, and this may cause us to lose revenues. </w:t>
      </w:r>
    </w:p>
    <w:p>
      <w:pPr>
        <w:pStyle w:val="TextBody"/>
        <w:bidi w:val="0"/>
        <w:spacing w:before="120" w:after="0"/>
        <w:jc w:val="left"/>
        <w:rPr>
          <w:rFonts w:ascii="Times New Roman" w:hAnsi="Times New Roman"/>
          <w:sz w:val="20"/>
        </w:rPr>
      </w:pPr>
      <w:r>
        <w:rPr>
          <w:rFonts w:ascii="Times New Roman" w:hAnsi="Times New Roman"/>
          <w:sz w:val="20"/>
        </w:rPr>
        <w:t xml:space="preserve">We seek to ensure that our customers adhere to the terms of our license agreements, including their obligation to provide certain data to us. We perform various procedures to assess customer data related to royalties for reasonableness, and our license agreements generally include rights for us to audit the books and records of our customers to verify certain types of customer data. However, audits can be expensive and time-consuming, and even after conducting an audit, it may still be challenging for us to verify the accuracy of information contained in customer royalty reports, or a customer could potentially object to the results of such audit. We can provide no assurances that our procedures to assess customer data and any audits that we undertake to verify the accuracy of our customers data will be successful. As a result, we may not always receive complete or accurate information (financial or otherwise) from our customers or obtain all royalty payments to which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legally entitled, which could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business model could have a material adverse effect on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made and may in the future make changes to our business model. We can provide no assurances that customers will accept these changes, which could result in lower revenues, particularly in the period immediately following the initial introduction of a new business model. In such case, we may not realize the anticipated financial benefits of such changes in the amounts we anticipate, on the expected timeline or at all. For example, we recently introduced new approaches to licensing certain of our products to our customers. As a result of introducing a relatively small annual fee under one new licensing model, for example, the payment by customers of fees under this new licensing model will be collected based on the negotiated annual fee leading to a deferral of upfront license fees that we have historically received under a TLA. This deferral of such licensing fees is expected to continue to have an adverse effect on our licensing revenue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In addition, increases in the number or value of licenses signed in the future may not materialize in the same way or at all under a new business model and, therefore, licensing revenue and royalty revenue may be lower than expected. Further, the use of a new business model may have unexpected consequences for our company, including making our products less attractive to current and prospective customers, which could have a material adverse effect on our business, competitive position,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engaged to design custom chips for one or more customers, we could be subject to a variety of risks, any of which could have a material adverse effect on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be engaged to supply custom chip designs for certain existing customers and other third parties, including affiliates of SoftBank Group, across a variety of use cases and end markets. To the extent that we were in fact engaged to design custom chips for one or more customers, we would expect to partner with third parties, which may include affiliates of SoftBank Group, for technical expertise, financial support or other purposes to supplement our existing resources. Accordingly, we may need to rely on third parties over which we would exercise little or no control. In such circumstances, we could provide no assurances that any third parties with which we worked to design custom chips would dedicate the resources, or have the requisite technical or other capabilities, necessary to achieve our and our customers chip design expectations.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can provide no assurances that customers would engage us to supply custom chip designs or, even if one or more customers were to engage us, that we would be successful in designing chips for our customers intended use cases. Customizing our chip designs for one or more customers may necessitate substantial investments in technology and human capital, and it could take several years for us to realize any associated benefits, if ever. This may reduce our cash available for operations and other uses, which could hurt our ability to grow our business. In addition, any efforts to design custom chips may require substantial time and attention from our executives, engineers and other employees, which could distract them from operating our business, and divert attention and resources away from our core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Furthermore, any decision to design custom chips for customers may create real or perceived competitive conflicts with companies that are important to our business, and as a result of such competition, such companies might terminate or materially reduce their relationship with us, particularly if we agreed to design chips exclusively for certain customers. If our relationships with existing customers deteriorated or terminated as a result of any opportunistic expansion into custom chip designs, our business, results of operations and prospects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unable to make acquisitions and investments, or successfully integrate them into our business, and we may be unable to divest businesses on acceptable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business strategy, we consider a wide array of potential strategic transactions, including acquisitions of businesses, new technologies, services and other assets, joint ventures and strategic investments that complement our business. We may be unable to identify or complete prospective transactions for many reasons, including increasing competition from other potential acquirers or investors, the effects of consolidation in our industries or potentially high valuations of acquisition or investment candidates. Certain agreements to which we are subject from time to time may also contractually restrict our ability to make acquisitions and investments in some circumstances. In addition, applicable antitrust, national security (including with respect to the U.K. National Security and Investment Act 2021 or the Committee on Foreign Investment in the United States) or other laws or regulations may limit our ability to acquire, invest in or integrate targets, or may force us to divest an acquired business or impose restrictions on an investment. If we are unable to identify suitable targets or complete or successfully integrate acquisitions, our growth prospects may suffer, and we may not be able to realize sufficient scale and technological advantages to compete effectively in all markets. Acquisitions involve numerous risks, any of which could negatively affect our business, results of operations, financial condition and prospects, including with respect to timing or delays, diversion of financial and management resources from existing operations or alternative acquisition opportunities, subsequent litigation, retention of key employees or business partners, and theft of information disclosed during the transaction. If we fail to address the foregoing risks or other problems encountered in connection with past or future acquisitions of businesses, new technologies, services and other assets and strategic investments, or if we fail to successfully integrate such acquisitions or investments to realize anticipated benefits or synergies, our business, results of operations, financial condition and prospects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in the past divested and reduced, and may in the future divest or reduce, our investment in certain businesses or product lines from time to time. Such divestitures involve risks, such as the difficulty of identifying and separating out specific assets within a business, distracting employees, incurring potential loss of revenue and cash flow, negatively impacting margins, and potentially disrupting customer and employee relationships. We may also incur significant costs associated with exit or disposal activities, related impairment charges, or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be risks associated with organic growth or growth from strategic investments or acquisitions we make, and we may fail to effectively manage our growth. </w:t>
      </w:r>
    </w:p>
    <w:p>
      <w:pPr>
        <w:pStyle w:val="TextBody"/>
        <w:bidi w:val="0"/>
        <w:spacing w:before="120" w:after="0"/>
        <w:jc w:val="left"/>
        <w:rPr>
          <w:rFonts w:ascii="Times New Roman" w:hAnsi="Times New Roman"/>
          <w:sz w:val="20"/>
        </w:rPr>
      </w:pPr>
      <w:r>
        <w:rPr>
          <w:rFonts w:ascii="Times New Roman" w:hAnsi="Times New Roman"/>
          <w:sz w:val="20"/>
        </w:rPr>
        <w:t xml:space="preserve">We could experience rapid growth in our headcount and operations through acquisitions, strategic investments and organic growth. This growth can place significant demands on our management and our operational and financial infrastructure. Our ability to manage our growth effectively and to integrate new technologies, businesses and personnel into our existing business may require us to expand our operational and financial infrastructure and to address the retention, attraction, training, motivation and management of employees across a broader geographical and operational footprint. Such growth could strain our ability to develop and improve our operational, financial and management controls, enhance our reporting systems and procedures, recruit, train and retain highly skilled personnel, implement systems, policies, benefits and compliance programs across different jurisdictions, maintain our culture and maintain customer and brand satisfaction. Additionally, if we do not effectively manage the growth of our business and operations, the quality of our products and services could suffer, which could negatively affect our brand, operating results and overall business. The failure to effectively manage the growth of our strategic investments could also cause the value of such investments to decline. If we fail to achieve the necessary level of efficiency in our organization as it grows, our business, results of operations, financial condition and prospects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financial statements include significant amounts of goodwill and other intangible assets. The impairment of a significant portion of these assets would adversely affect our reported results of operations and 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The goodwill and other intangible assets recognized in our financial statements represented 23.6% and 2.0%, respectively, of our total assets as of March 31, 2023 (25.1% and 3.1%, respectively, as of March 31, 2022). Within other intangible assets, our principal assets are our patents and licenses (6.5% of total other intangible assets as of March 31, 2023) and software or software assets under construction (90.6% of total other intangible assets as of March 31, 2023). Any further acquisitions may result in our recognition of additional goodwill or other intangible assets. We evaluate on a regular basis whether all or a portion of our goodwill and other intangible assets may be impaired. Under current accounting rules, any determination that impairment has occurred would require us to record an impairment charge, which would negatively affect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recognized impairments for the fiscal year ended March 31, 2022 in relation to specific historically acquired or developed products that were no longer being licensed, and we have also recognized impairments in the past.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capitalize and amortize the qualifying costs of internally developed software for its operating platforms and related back-office systems over the estimated useful lives of these intangible assets (generally between three and five years). If projects fail to deliver anticipated results in line with our estimates and assumptions, then we may be required to write-down the intangible asset costs, which could adversely affect our financial condition, results of operations and the trading price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An impairment or write-down of a significant portion of goodwill, other intangible assets or capitalized development costs could have a material adverse effect on our reported results of operations and our financial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financial and operational flexibility may be restricted by covenants contained in loan agreements we may enter into in the future, and we may be unable to comply with the restrictions and financial and operational covenants imposed by such agreements.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any debt, but we may incur debt in the future. Future creditors may subject us to certain restrictions on our business and future financing activities as well as certain financial and operational covenants. Such restrictions and covenants may prevent us from taking actions that otherwise might be deemed to be in the best interest of us and holders of our ADSs. Debt service obligations may require us in the future to dedicate a substantial portion of our cash flows from operations to payments of principal and interest on our interest-bearing debt, which could limit our ability to obtain additional financing, make capital expenditures and acquisitions and carry out other general corporate activities in the future. Any such obligations may also limit our flexibility in planning for, or reacting to, changes in our business and the industry in which we operate or detract from our ability to successfully withstand a downturn in our business or the economy in general.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success and ability to compete depend significantly on protecting our IP rights. We primarily rely on patent, copyright, trade secret and trademark laws, trade secret protection and contractual protections, such as confidentiality, invention assignment and license agreements with our employees, customers, third-party partners and others, to protect our IP rights. The steps we take to protect our IP rights may be inadequate. We also may not be able to obtain desired patents, and our pending (of which we currently have approximately 2,700) or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 applications, whether or not being currently challenged, may not result in the issuance of patents with the scope of protection we seek, including in jurisdictions of strategic importance and, if issued, may not provide any meaningful protection or competitive advantage. The scope of our patent protections may be adversely affected by changes in legal precedent and patent office interpretation of these precedents. Further, patents directed to particular subject matter associated with our business (e.g., CPU architecture) may be difficult to obtain and enforce in many jurisdictions and there may also be limits on recovery for damages in those jurisdictions. Any of our existing patents, and any future patents, may be challenged, narrowed, invalidated or circumvented. Further, we may be unsuccessful in executing adequate invention assignment agreements with all employees, contractors or other third parties involved in the development of our IP portfolio. In certain jurisdictions, rights to IP developed by our employees or contractors or other third parties may not automatically vest in us, and our employees or contractors or other third parties may claim ownership in IP that we believe is owned by us. We may also be required to spend significant resources to establish, monitor and protect our IP rights, particularly as we expand our operations globally. </w:t>
      </w:r>
    </w:p>
    <w:p>
      <w:pPr>
        <w:pStyle w:val="TextBody"/>
        <w:bidi w:val="0"/>
        <w:spacing w:before="240" w:after="0"/>
        <w:jc w:val="left"/>
        <w:rPr>
          <w:rFonts w:ascii="Times New Roman" w:hAnsi="Times New Roman"/>
          <w:sz w:val="20"/>
        </w:rPr>
      </w:pPr>
      <w:r>
        <w:rPr>
          <w:rFonts w:ascii="Times New Roman" w:hAnsi="Times New Roman"/>
          <w:sz w:val="20"/>
        </w:rPr>
        <w:t xml:space="preserve">Our exposure to different legal jurisdictions also may impact our ability to exercise our contractual and other rights around IP in such jurisdictions, in particular in countries whose laws regarding the protection of IP are less rigorous or more difficult to enforce than in the U.K., the U.S. and the European Union. In jurisdictions where effective IP protection is unavailable or limited, our IP rights may be vulnerable to unauthorized disclosure, infringement, misappropriation or other violation by employees, third-party partners, suppliers, customers and other entities or individuals, even though our customers and partners are contractually restricted from using our IP outside of the agreed-upon licensing arrangements. Policing unauthorized use of our IP is difficult and expensive, and we may not be able, or may lack the resources, to prevent infringement, misappropriation or other violation of our IP rights, including increased difficulty as a foreign entity in certain international locations, particularly outside the U.K., the U.S. and the European Union. In addition, our ability to monitor and control theft, misappropriation or infringement is uncertain, particularly in countries outside of the U.K., the U.S. and the European Union, as the laws of some countries do not provide the same level of protection of our proprietary and confidential information as do the laws of the U.K., the U.S. and the European Union. Moreover, because we deliver our products to our customers in a source form, we have limited ability to trace the source of misappropriation of our IP and there are limited technological barriers (e.g., remote authorization requirements) we can put in place to protect our products from use by unauthorized parties. Additionally, theft of our IP or proprietary business information (including our trade secrets) could require substantial expenditures and resources to remedy. If we, our employees or our third-party partners, consultants, contractors, vendors or service providers were to suffer an attack or breach, for example, that results in the unauthorized access to, or use, theft, disclosure, misappropriation or sale of, our IP by any unauthorized third parties, we may have to notify consumers, partners or governmental authorities, and may be subject to investigations, civil penalties, administrative and enforcement actions and litigation, any of which could be costly and distracting or otherwise harm our business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We may be unable to successfully obtain, maintain, protect and enforce our IP rights (including defending against counterfeit, knock-off, grey-market, infringing or otherwise unauthorized goods). Specifically, third parties may distribute, license and sell counterfeit or grey-market versions of our products, which may be inferior or pose safety risks and could confuse consumers or customers, which could cause them to refrain from purchasing our brands in the future or otherwise damage our reputation. The presence of counterfeit versions of our products and technology in the market could also dilute the value of our brands, force us and our customers to compete with heavily discounted products and technology, cause us to be in breach of contract (including license agreements), impact our compliance with distribution and competition laws in jurisdictions including the U.K., the U.S., the European Union and the PRC, or otherwise have a negative impact on our reputation and business, prospects, financial condition or results of operations. Further, we may not be able to detect all violations of our IP rights and, even if we do become aware of any such violations, we may not be able to adequately enforce our IP rights in certain domestic and foreign jurisdictions. If we are unable to successfully navigate the relevant legal and regulatory environment and/or enforce our IP rights and/or contractual rights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relevant jurisdictions, our business, results of operations, financial condition and prospects could be materially and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Litigation may be necessary in the future to enforce our patents and other IP rights, to protect our trade secrets, to determine the validity and scope of the proprietary rights of others, or to defend against claims of infringement, misappropriation or invalidity. Any such litigation, whether or not determined in our favor or settled by us, could be costly and would divert the efforts and attention of our management and technical personnel from normal business operations, which could have a material adverse effect on our business, results of operations, financial condition and prospects. Furthermore, our efforts to enforce our IP rights may be met with defenses, counterclaims and countersuits attacking the validity and enforceability of our IP rights. In addition, counterparties in litigation may have greater resources that they can dedicate to litigation-related matters than we can. Moreover, litigation against current or former customers and partners may adversely impact existing relationships. Accordingly, we may not be able to prevent third parties from infringing, misappropriating or otherwise violating our IP rights. See also We may be sued by third parties for alleged infringement, misappropriation or other violation of their IP rights or proprietary rights and our defense against these claims can be costly. </w:t>
      </w:r>
    </w:p>
    <w:p>
      <w:pPr>
        <w:pStyle w:val="TextBody"/>
        <w:bidi w:val="0"/>
        <w:spacing w:before="240" w:after="0"/>
        <w:jc w:val="left"/>
        <w:rPr>
          <w:rFonts w:ascii="Times New Roman" w:hAnsi="Times New Roman"/>
          <w:sz w:val="20"/>
        </w:rPr>
      </w:pPr>
      <w:r>
        <w:rPr>
          <w:rFonts w:ascii="Times New Roman" w:hAnsi="Times New Roman"/>
          <w:sz w:val="20"/>
        </w:rPr>
        <w:t xml:space="preserve">In any potential dispute involving our patents or other IP, our licensees or the customers of our licensees could also become the target of litigation and we may be bound to indemnify such parties under the terms of our license agreements. Although our indemnification obligations are generally subject to a maximum amount, such obligations could nevertheless result in substantial expenses to us. See BusinessLegal Proceedings. In addition to the time and expense required for us to indemnify our licensees or the customers of our licensees, such parties development, marketing and sales of chips and end products utilizing our products could be severely disrupted or discontinued as a result of litigation, which, in turn, could have a material adverse effect on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Moreover,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Any adverse determinations in litigation could result in the loss of our IP rights or proprietary rights, subject us to significant liabilities, require us to seek licenses from third parties or prevent us from licensing our products, any of which could have a material adverse effect on our business, results of operations, financial condition and prospects. Our failure to obtain, maintain, protect, defend and enforce our IP rights could have a material adverse effect on our brand or our business, results of operations, financial condition and prospects. Furthermore, because our products are often based on a common architecture and our new products are often based on legacy products, adverse events related to our IP may have a more significant impact on us than if our products were less related.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sued by third parties for alleged infringement, misappropriation or other violation of their IP rights or proprietary rights and our defense against these claims can be costly.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been and may in the future be subject to claims by third parties alleging our infringement, misappropriation or other violation of third-party IP rights, including patent rights, or misuse of third-party confidential information.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Claims alleging infringement, misappropriation or other violation of third-party IP rights can result in costly and time-consuming litigation (regardless of their validity or merit), require us to enter into royalty or licensing arrangements, subject us to damages or injunctions restricting the sale of our products, result in the invalidation of a patent or family of patents, require us to refund license fees to our customers or to forgo future payments or require us to redesign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rebrand certain of our products, any one of which could have a material adverse effect on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time and expense required for us to satisfy our support and indemnification obligations to our customers and partners, any litigation could severely disrupt or shut down the business of our customers and partners, which in turn could damage our relations with them and have a material adverse effect on our business, reputation,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currently involved in pending litigation. </w:t>
      </w:r>
    </w:p>
    <w:p>
      <w:pPr>
        <w:pStyle w:val="TextBody"/>
        <w:bidi w:val="0"/>
        <w:spacing w:before="120" w:after="0"/>
        <w:jc w:val="left"/>
        <w:rPr>
          <w:rFonts w:ascii="Times New Roman" w:hAnsi="Times New Roman"/>
          <w:sz w:val="20"/>
        </w:rPr>
      </w:pPr>
      <w:r>
        <w:rPr>
          <w:rFonts w:ascii="Times New Roman" w:hAnsi="Times New Roman"/>
          <w:sz w:val="20"/>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We are involved in pending litigation, including, but not limited to, a lawsuit with Qualcomm Inc. and Qualcomm Technologies, Inc. (together Qualcomm) and Nuvia, Inc. (Nuvia). In addition, our products are involved in pending litigation to which we are not a party. We cannot provide you any assurances regarding how any such litigation will be resolved, what benefits we will obtain or what losses we might incur.</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2022, we sued Qualcomm and Nuvia in the U.S. District Court for the District of Delaware, on the basis that Qualcomm and Nuvia: (i)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and (ii) will infringe our trademarks when Qualcomm uses them in connection with the Nuvia technology subject to destruction under the Nuvia ALA. Our complaint seeks, among other things, specific performance of the Nuvia ALA termination provisions to require Qualcomm and Nuvia to stop using and to destroy the relevant Nuvia technology and to stop their improper use of our trademarks with their related products. We also seek declaratory judgment, injunctive relief and damages relating to Qualcomms and Nuvias breach of contract and infringement of our trademarks in connection with the relevant Nuvia technology. Qualcomm has responded and brought a counterclaim against us seeking a declaratory judgment that after Qualcomms acquisition of Nuvia, Qualcomms proposed products are fully licensed from us under its separate license agreements with us and that it has complied with its contractual obligations to us and Nuvia did not breach the Nuvia ALA. We and Qualcomm can amend our respective claims to seek additional or different relief as the proceedings progress. We can provide no assurances regarding the outcome of the litigation or how the litigation will affect our relationship with Qualcomm, which is currently a major customer of ours and accounted for 11% of our total revenue for the fiscal year ended March 31, 2023. This case is currently in the discovery phase, with trial set for September 2024, and will likely require significant legal expenditures going forward. It may also require substantial time and attention from our executives or employees, which could distract them from operating our business. In addition, our involvement in such litigation could cause us to incur significant reputational damage in the industry, in our relationship with Qualcomm or in our relationship with other third-party partners. </w:t>
      </w:r>
    </w:p>
    <w:p>
      <w:pPr>
        <w:pStyle w:val="TextBody"/>
        <w:bidi w:val="0"/>
        <w:spacing w:before="240" w:after="0"/>
        <w:jc w:val="left"/>
        <w:rPr>
          <w:rFonts w:ascii="Times New Roman" w:hAnsi="Times New Roman"/>
          <w:sz w:val="20"/>
        </w:rPr>
      </w:pPr>
      <w:r>
        <w:rPr>
          <w:rFonts w:ascii="Times New Roman" w:hAnsi="Times New Roman"/>
          <w:sz w:val="20"/>
        </w:rPr>
        <w:t xml:space="preserve">These matters can be time-consuming, divert managements attention and resources, cause us to incur significant expenses and lead to attempts on the part of other parties to pursue similar claims. Allegations made in the course of regulatory or legal proceedings may also harm our reputation, regardless of whether there is merit to such claims. Furthermore, because litigation and the outcome of regulatory proceedings are inherently unpredictable, our business, results of operations, financial condition and prospects could be materially adversely affected by an unfavorable resolution of one or more of these proceedings, claims, demands or investigations.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Errors, defects, bugs or security vulnerabilities in or associated with our products could expose us to liability and damage our brand and reputation, which could harm our competitive position and result in a loss of market share. </w:t>
      </w:r>
    </w:p>
    <w:p>
      <w:pPr>
        <w:pStyle w:val="TextBody"/>
        <w:bidi w:val="0"/>
        <w:spacing w:before="120" w:after="0"/>
        <w:jc w:val="left"/>
        <w:rPr>
          <w:rFonts w:ascii="Times New Roman" w:hAnsi="Times New Roman"/>
          <w:sz w:val="20"/>
        </w:rPr>
      </w:pPr>
      <w:r>
        <w:rPr>
          <w:rFonts w:ascii="Times New Roman" w:hAnsi="Times New Roman"/>
          <w:sz w:val="20"/>
        </w:rPr>
        <w:t xml:space="preserve">Our products have in the past and could have a substantial technical flaw or an undetected design error, which could result in unanticipated costs. Our products are used in billions of consumer and enterprise products across a wide range of industries, and many of these products are depended on by individuals and businesses. The discovery of any design defect, fault or bug associated with our products, as well as any ensuing litigation or claims for indemnification could adversely affect our reputation and our relationships with partners, thereby having a material adverse effect on our business, results of operations, financial condition and prospects. Any such defects, faults or bugs could cause us to lose customers, increase our service costs, subject us to liability for damages or divert our resources from other tasks, any one of which could materially and adversely affect our business, results of operations, financial condition and prospects. The ramifications of a design defect, fault, or bug may be further exacerbated by the fact that many of our products are based on a common architecture and our new architecture products often are based on legacy products. Accordingly, a design defect, fault, or bug may affect multiple end products that are based on the same products, thereby potentially exposing us to additional liability and requiring additional resources to remedy the error.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software could contain errors, defects or bugs, especially when first introduced or when new versions are released. Product errors, including those resulting from third-party suppliers and open-source vendors, could affect the performance or interoperability of our products, could delay the development or release of new products or new versions of products and could adversely affect market acceptance or perception of the quality and attractiveness of our products. Any such errors or delays in releasing new products or new versions of products, or allegations of unsatisfactory performance, could cause us to lose customers, increase our service costs, subject us to liability for damages or divert our resources from other tasks, any one of which could materially and adversely affect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Security vulnerabilities may be identified in our products, and it is possible that vulnerabilities may not be mitigated before they become known. Publicity related to any such security vulnerabilities, whether accurate or inaccurate, and any attempted or successful exploitation of such vulnerabilities, may cause increased third-party attempts to identify additional security vulnerabilities or could result in litigation, indemnification or other regulatory actions or inquiries, which could harm our brand and have an adverse effect on our business and results of operations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products are used, and may be used in the future, in a variety of safety critical systems and equipment, including, but not limited to, autonomous vehicles, robotics, drones and medical equipment. Faults, security vulnerabilities or errors in such systems can result in harm to individuals, including loss of life. Any such fault, security vulnerability, or errors that may be attributed to our products, regardless of merit, could result in litigation, indemnification obligations or regulatory actions or inquiries, which could harm our brand and have a material adverse effect on our business, results of operations and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collect, store and otherwise process certain personal, confidential and proprietary information in the operation of our business, including trade secrets, employee data and other sensitive data. Further, our third-party partners and customers regularly provide us with highly sensitive information, including details about their future product plans and roadmaps. Any unauthorized access to or disclosure of this information, whether inadvertent, malicious or as the result of a cyberattack, security breach or other similar incident, could have a material adverse effect on our third-party partners and customers, which may in turn result in significant damage to our reputation, business and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Cyberattacks, including, but not limited to, ransomware events, computer viruses or other malware, phishing attacks, denial of service attacks, illegal hacking and credential stuffing, or other malicious attempts to compromise and/or interrupt the operation of information technology systems continue to increase in frequency, magnitude and sophistication. These increasing threats are being driven by a variety of sources, including nation-state sponsored espionage and hacking activities, industrial espionage, organized crime, sophisticated organizations and hacking by groups and individuals. These sources can also implement social engineering techniques to induce our third-party partners, users, employees or customers to disclose passwords or other sensitive information or take other actions to gain access to our or our third-party partners data or our users data. Techniques used to obtain unauthorized access to, or to sabotage, systems or networks are constantly evolving and may not be recognized until launched against a target. Therefore, we may be unable to anticipate these techniques, react in a timely manner, or implement adequate preventive measures, and we may face delays in our detection or remediation of, or other responses to, such cyberattacks, security breaches and other similar incidents. Geopolitical instability, such as the war between Russia and Ukraine, may increase the likelihood that we or our third-party partners and customers could experience direct or collateral consequences from cyber conflicts between nation-states or other politically motivated actors targeting critical technology infrastructure. As we increase our customer base and our brand becomes more widely known and recognized, and as our products are used in more heavily regulated industries where there may be a greater concentration of sensitive and protected data, such as healthcare, government, life sciences and financial services, we and our third-party partners may become more of a target for these malicious third parties. </w:t>
      </w:r>
    </w:p>
    <w:p>
      <w:pPr>
        <w:pStyle w:val="TextBody"/>
        <w:bidi w:val="0"/>
        <w:spacing w:before="240" w:after="0"/>
        <w:jc w:val="left"/>
        <w:rPr>
          <w:rFonts w:ascii="Times New Roman" w:hAnsi="Times New Roman"/>
          <w:sz w:val="20"/>
        </w:rPr>
      </w:pPr>
      <w:r>
        <w:rPr>
          <w:rFonts w:ascii="Times New Roman" w:hAnsi="Times New Roman"/>
          <w:sz w:val="20"/>
        </w:rPr>
        <w:t xml:space="preserve">Cyberattacks, security breaches or other similar incidents with respect to our information technology systems or those of our third-party partners could result in unauthorized access to, or misappropriation, disclosure, modification, misuse, loss, destruction or theft of, personal, confidential and proprietary information belonging to us or our employees, third-party partners, customers or suppliers, or cause a significant disruptive effect on our services, which could result in us, our third-party partners or our customers suffering significant financial or reputational damage and potential third-party legal action. If our security measures are, or are believed to be, inadequate or breached as a result of third-party action, employee negligence, error or malfeasance, fraud, product defects, accidental technological failure, social engineering techniques, improper user configuration or otherwise, and this results in, or is believed to result in, actual disruption of the confidentiality, integrity or availability of our data or our third-party partners and customers data, or otherwise causes a significant disruptive effect on our services, we could incur significant liability to various parties, including our third-party partners and customers, and to individuals or organizations whose information is being stored by us, our third-party partners or our customers. Further, such information and data being stored in foreign jurisdictions, could lead to us being required to disclose or provide access to data or IP to a foreign government pursuant to national security or other laws of such foreign jurisdiction. Any perceived or actual violation of security, data protection and/or reporting obligations under relevant privacy and data protection laws, regulations, rules, standards and other obligations could also result in regulatory inquiries, investigations and enforcement actions, fines and/or legal action. We incur significant costs in an effort to detect and prevent cyberattacks, security breaches and other similar incidents, and we may face increased costs and be required to expend substantial resources in the event of an actual or perceived cyberattack, security breach or other similar incident. While we and our third-party partners and customers have experienced cyberattacks, including attempts to breach our information technology systems, and may experience cyberattacks in the future, as of the date of this prospectus, there have been no material breaches of our information technology systems. We can provide no assurances that we will not experience material breaches of our information technology systems in the future or that our third-party partners and customers will not experience breaches of their information technology systems in the future that are material to us.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vendors or service providers may suffer, or be perceived to suffer, cyberattacks, security breaches or other similar incidents that may compromise data stored or processed for us, which may also give rise to any of the foregoing. Our ability to monitor our vendors and service providers data security is limited, and, in any event, third parties may be able to circumvent those security measures, resulting in the unauthorized access to, or misuse, disclosure, loss, acquisition, modification, unavailability, destruction or other processing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and our customers data. If our vendors or service providers suffer cyberattacks, security breaches or other incidents, we may be unable to perform essential functions to operate our business. Moreover, to the extent any of our IP is compromised as a result of a security breach and we are not promptly made aware of such breach, we may incorporate compromised IP in our products, thereby making our products vulnerable to future cyberattacks, security breaches or other similar incidents. </w:t>
      </w:r>
    </w:p>
    <w:p>
      <w:pPr>
        <w:pStyle w:val="TextBody"/>
        <w:bidi w:val="0"/>
        <w:spacing w:before="240" w:after="0"/>
        <w:jc w:val="left"/>
        <w:rPr>
          <w:rFonts w:ascii="Times New Roman" w:hAnsi="Times New Roman"/>
          <w:sz w:val="20"/>
        </w:rPr>
      </w:pPr>
      <w:r>
        <w:rPr>
          <w:rFonts w:ascii="Times New Roman" w:hAnsi="Times New Roman"/>
          <w:sz w:val="20"/>
        </w:rPr>
        <w:t xml:space="preserve">We cannot ensure that any limitations of liability in our agreements with customers, third-party partners, service providers and other third parties with which we do business would be enforceable or adequate or would otherwise protect us from any liabilities or damages with respect to any particular claim in connection with a cyberattack, security breach or other similar incident. Additionally, we cannot be certain that our insurance coverage will be adequate for cybersecurity liabilities actually incurred, that insurance will continue to be available to us on economically reasonable terms, or at all, or that our insurer will not deny coverage as to any future claim. Any of the foregoing may cause our business to suffer and our reputation or competitive position to be damaged, which may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failure, interruption, disruption, damage or outage with respect to our information technology systems, including or due to an inability to operate our disaster recovery plans to adequately mitigate the effects of such, could adversely affect our reputation,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depends on the efficient and uninterrupted operation of our computer and communications software and hardware systems and other information technology. If such information technology systems were to fail for any reason or if we were to experience any unscheduled downtimes, even for only a short period, our reputation, operations and financial results could be adversely affected. Our information technology systems could be damaged or interrupted by earthquakes, fire, floods, hurricanes, power loss, telecommunications failure, break-ins, acts of vandalism or similar events. In addition, our information technology systems could be damaged or interrupted as a result of potential cyberattacks, such as ransomware events, malware, phishing attacks, insider threats, viruses, or any other malicious attempts to compromise and/or interrupt the operation of our information technology systems, or security breaches and other similar incidents.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w:t>
      </w:r>
    </w:p>
    <w:p>
      <w:pPr>
        <w:pStyle w:val="TextBody"/>
        <w:bidi w:val="0"/>
        <w:spacing w:before="240" w:after="0"/>
        <w:jc w:val="left"/>
        <w:rPr>
          <w:rFonts w:ascii="Times New Roman" w:hAnsi="Times New Roman"/>
          <w:sz w:val="20"/>
        </w:rPr>
      </w:pPr>
      <w:r>
        <w:rPr>
          <w:rFonts w:ascii="Times New Roman" w:hAnsi="Times New Roman"/>
          <w:sz w:val="20"/>
        </w:rPr>
        <w:t xml:space="preserve">The formal disaster recovery plans we have in place may not be successful in preventing delays or other complications that could arise from information technology systems failure and, if they are not successful, our business interruption insurance may not adequately compensate us for all losses that may occur and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may be made for which we do not have adequate insurance, which could have a material adverse effect on our results of operations, cash flows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the insurance industry has faced unprecedented and escalating global events compounded by international economic uncertainty. As a result of these and other pressures, many insurers have withdrawn from certain market sectors and certain available insurance has become costly to procure, renew or maintain. We currently have global insurance policies, including coverage for the following significant risks (all of which are subject to certain important scope limitations, exceptions and company/deductible arrangements): property damage, business interruption, employee liability, public and products liability, directors and officers liability, and cybersecurity and technology-related losses. We do not insure against claims concerning patent litigation or other IP infringement claims and potential related indemnification obligations, because we are of the view that any limited coverage that could be obtained would be prohibitively expensive. Our business, results of operations, financial condition and prospects could be materially adversely affected by the occurrence of a catastrophic event, to the extent that any resulting loss or claim was not covered under the terms of our then existing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Foreign exchange fluctuations could have a material adverse effect on our business, results of operations, financial condition and prospects. </w:t>
      </w:r>
    </w:p>
    <w:p>
      <w:pPr>
        <w:pStyle w:val="TextBody"/>
        <w:bidi w:val="0"/>
        <w:spacing w:before="120" w:after="0"/>
        <w:jc w:val="left"/>
        <w:rPr>
          <w:rFonts w:ascii="Times New Roman" w:hAnsi="Times New Roman"/>
          <w:sz w:val="20"/>
        </w:rPr>
      </w:pPr>
      <w:r>
        <w:rPr>
          <w:rFonts w:ascii="Times New Roman" w:hAnsi="Times New Roman"/>
          <w:sz w:val="20"/>
        </w:rPr>
        <w:t xml:space="preserve">Although a substantial majority of our revenues, as well as a significant proportion of our assets and liabilities, are denominated in U.S. dollars, certain of our costs are denominated in British pounds sterling and a number of other currencies, such as the euro and Indian rupee. Consequently, our results of operations have been, and are likely to continue to be, affected by changes in the relative value of the various currencies in which our revenues, costs, assets and liabilities are denominated, and especially the U.S. dollar to British pound sterling exchange rate, as well as the exchange rates to the euro and Indian rupee, may have a material impact on our reported results of operations and financial condition. To manage our exposure, we may engage in the use of financial derivatives or currency hedging transactions, although such activities may not cover all of our exposure, may be costly and may also expose us to counterparty risk. Despite hedging and other mitigating techniques implemented by us, fluctuations in exchange rates have in the past and may in the future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suffer significant damage to our brand and reputation, which could harm our competitive position,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Our brand and reputation are critical factors in our relationships with customers, employees, governments, suppliers, and other stakeholders. Our failure to address, or the appearance of our failure to address, issues that give rise to reputational risk, including those described throughout this Risk Factors section, could significantly harm our brand and reputation. Our reputation can be impacted by catastrophic events, incidents involving unethical behavior or misconduct, product quality, security, or safety issues, allegations of legal noncompliance, internal control failures, corporate governance issues, data breaches, workplace safety incidents, environmental issues, the use of our products for illegal or objectionable applications, including AI and ML or military applications that present ethical, regulatory, or other issues, marketing practices, media statements, the conduct of our suppliers or representatives, and other issues, incidents, or statements that, whether actual or perceived, result in adverse publicity. To the extent we fail to respond quickly and effectively to address corporate crises and other threats to our brand and reputation, the ensuing negative public reaction could significantly harm our brand and reputation, which could result in loss of trust from our customers, third-party partners and employees and could lead to an increase in litigation claims and asserted damages or subject us to regulatory actions or restrictions.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brand and reputation may be damaged by the actions of third parties that are imputed to us. For example, although Arm China operates independently of us, Arm China uses our trademarks in its marketing and branding. To the extent that Arm Chinas actions are imputed to us due to Arm Chinas use of our trademarks, our own brand and reputation may suffer significant damage. </w:t>
      </w:r>
    </w:p>
    <w:p>
      <w:pPr>
        <w:pStyle w:val="TextBody"/>
        <w:bidi w:val="0"/>
        <w:spacing w:before="240" w:after="0"/>
        <w:jc w:val="left"/>
        <w:rPr>
          <w:rFonts w:ascii="Times New Roman" w:hAnsi="Times New Roman"/>
          <w:sz w:val="20"/>
        </w:rPr>
      </w:pPr>
      <w:r>
        <w:rPr>
          <w:rFonts w:ascii="Times New Roman" w:hAnsi="Times New Roman"/>
          <w:sz w:val="20"/>
        </w:rPr>
        <w:t xml:space="preserve">Damage to our brand and reputation could reduce demand for our products and adversely affect our business, operating environment and the trading price of our securities. Damage to our reputation may also make us less attractive to current and prospective employees relative to our competitors, particularly given the intensely competitive market for highly skilled employees. Moreover, repairing our brand and reputation may be difficult, time-consuming, and expensive. The heightened competitive pressures could result in a loss of customers or a reduction in revenues or revenue growth rates, all of which could adversely affect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Increasing scrutiny and evolving expectations from customers, partners, regulators, investors, and other stakeholders with respect to our environmental, social and governance (ESG) practices may impose additional costs on us, expose us to new or additional risks, or harm our reputation. </w:t>
      </w:r>
    </w:p>
    <w:p>
      <w:pPr>
        <w:pStyle w:val="TextBody"/>
        <w:bidi w:val="0"/>
        <w:spacing w:before="120" w:after="0"/>
        <w:jc w:val="left"/>
        <w:rPr>
          <w:rFonts w:ascii="Times New Roman" w:hAnsi="Times New Roman"/>
          <w:sz w:val="20"/>
        </w:rPr>
      </w:pPr>
      <w:r>
        <w:rPr>
          <w:rFonts w:ascii="Times New Roman" w:hAnsi="Times New Roman"/>
          <w:sz w:val="20"/>
        </w:rPr>
        <w:t xml:space="preserve">Companies are facing increasing scrutiny from customers, partners, regulators, investors, and other stakeholders related to ESG practices and disclosure, including environmental stewardship, social responsibility,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diversity and inclusion, racial justice and workplace conduct.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negative investor sentiment toward us, which could have a negative impact on the trading price of our securities and our access to and costs of capital. Increased ESG-related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the trading price of our securities. New government regulations could also result in new or more stringent forms of ESG oversight and expanding mandatory and voluntary reporting, diligence, and disclosure. </w:t>
      </w:r>
    </w:p>
    <w:p>
      <w:pPr>
        <w:pStyle w:val="TextBody"/>
        <w:bidi w:val="0"/>
        <w:spacing w:before="240" w:after="0"/>
        <w:jc w:val="left"/>
        <w:rPr>
          <w:rFonts w:ascii="Times New Roman" w:hAnsi="Times New Roman"/>
          <w:sz w:val="20"/>
        </w:rPr>
      </w:pPr>
      <w:r>
        <w:rPr>
          <w:rFonts w:ascii="Times New Roman" w:hAnsi="Times New Roman"/>
          <w:sz w:val="20"/>
        </w:rPr>
        <w:t xml:space="preserve">We have established corporate social responsibility programs aligned with sound ESG principles. These programs reflect our current initiatives and are not guarantees that we will be able to achieve them. Our ability to successfully execute these initiatives and accurately report our progress presents numerous operational, financial, legal, reputational and other risks, many of which are outside our control, and all of which could have a material negative impact on our business. Additionally, the implementation of these initiatives imposes additional costs on us. If our ESG initiatives fail to satisfy investors, customers, partners and our other stakeholders, our reputation, our ability to license our products to customers, our ability to attract or retain employees, and our attractiveness as an investment, business partner or acquirer could be negatively impacted. Similarly, our failure or perceived failure to pursue or fulfil our goals, targets and objectives or to satisfy various reporting standards within the timelines we announce, or at all, could also have similar negative impacts and expose us to government enforcement actions and private litigation. See BusinessEnvironmental, Social and Governance for additional information regarding our corporate social responsibility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 </w:t>
      </w:r>
    </w:p>
    <w:p>
      <w:pPr>
        <w:pStyle w:val="TextBody"/>
        <w:bidi w:val="0"/>
        <w:spacing w:before="120" w:after="0"/>
        <w:jc w:val="left"/>
        <w:rPr>
          <w:rFonts w:ascii="Times New Roman" w:hAnsi="Times New Roman"/>
          <w:sz w:val="20"/>
        </w:rPr>
      </w:pPr>
      <w:r>
        <w:rPr>
          <w:rFonts w:ascii="Times New Roman" w:hAnsi="Times New Roman"/>
          <w:sz w:val="20"/>
        </w:rPr>
        <w:t xml:space="preserve">We will be required to comply with the management certification requirements of Section 404 of the Sarbanes-Oxley Act of 2002 (the Sarbanes-Oxley Act) in our annual report on Form 20-F for our first annual report that is filed with the SEC (subject to any change in applicable SEC rules). We will be required to comply with Section 404 in full (including an auditor attestation on managements internal controls report) in our annual report on Form 20-F for the year following our first annual report required to be filed with the SEC (subject to any change in applicable SEC rules). As a public company, we will be required to report, among other things, control deficiencies that constitute a material weakness or changes in internal controls that, or that are reasonably likely to, materially affect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The material weakness identified for the fiscal years ended March 31, 2022 and 2021 relates to information technology general controls over information systems that are necessary for preparation of our financial statements, specifically (i) insufficient controls over user access rights and segregation of duties within our information systems, (ii) insufficient controls over change management of our information systems and (iii) insufficient controls over monitoring of batch processes. To address the material weakness, in the fiscal year ended March 31, 2023, we developed and began a remediation plan that includes the following activities: (i) improving controls over access rights management, including reviews of current access rights, user roles and access management procedures, (ii) the removal of excessive access rights to ensure that we adequately restrict user access to our financial applications to appropriate company personnel, (iii) expanding change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 procedures for our information systems, and (iv) engaging external experts to support the evaluation, testing and enhancement of our internal controls relating to our information technology systems. We will not be able to fully remediate this material weakness until these steps have been completed and have been operating effectively for a sufficient period of time. The actions that we are taking are subject to ongoing review by our executive management and will be subject to the oversight of our audit committee. Although we intend to complete this remediation process as quickly as practicable, we provide no assurances with respect to the timeline for implementing effective remedial measures, and our initiatives may not prove to be successful in remediating the material weakness or preventing additional material weaknesses or significant deficiencies in our internal control over financial reporting in the future. The costs of the remediation efforts to date have not been material, and we do not currently anticipate any material cash requirements in connection with future remediation efforts.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the requirements of being a public company, we have undertaken various actions, and may need to take additional actions, such as implementing and enhancing our internal controls and procedures and hiring additional accounting or internal audit staff.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if we are required to make restatements of our financial statements, or if our independent registered public accounting firm is unable to express an opinion as to the effectiveness of our internal control over financial reporting, investors may lose confidence in our operating results, the price of our ADSs could decline and we may be subject to litigation or regulatory enforcement actions. In addition, if we are unable to meet the requirements of Section 404, we may not be able to remain listed on Nasdaq.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Government Regulation and Legal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international operations expose us to risks in international jurisdictions and we may be negatively impacted by export restrictions and trade barriers. </w:t>
      </w:r>
    </w:p>
    <w:p>
      <w:pPr>
        <w:pStyle w:val="TextBody"/>
        <w:bidi w:val="0"/>
        <w:spacing w:before="120" w:after="0"/>
        <w:jc w:val="left"/>
        <w:rPr>
          <w:rFonts w:ascii="Times New Roman" w:hAnsi="Times New Roman"/>
          <w:sz w:val="20"/>
        </w:rPr>
      </w:pPr>
      <w:r>
        <w:rPr>
          <w:rFonts w:ascii="Times New Roman" w:hAnsi="Times New Roman"/>
          <w:sz w:val="20"/>
        </w:rPr>
        <w:t xml:space="preserve">Our headquarters are in the U.K., and we currently also have operations in various jurisdictions around the world, including the U.S., the PRC, India, Canada, South Africa and Europe. We may in the future expand our operations either within these jurisdictions or to new jurisdictions. Risks associated with these international operations include exposure to political, economic and financial conditions and expected and unexpected changes in legal and regulatory environments. We may, from time to time, enter into strategic partnerships, joint ventures or similar business relationships with entities in foreign jurisdictions, including governmental or quasi-governmental entities, pursuant to which we may be required to license or transfer certain of our IP rights to such entities. Such relationships could expose us to increased risks inherent in such activities, such as protection of our IP, economic and political risks, and contractual enforcement issues. In addition, we could face potentially adverse tax consequences from our international expansion, changes in our international operations or changes in tax laws in any of the multiple jurisdictions in which we operate. Managing operations in multiple jurisdictions also places further strain on managements time and our ability to manage overall growth. These risks could have a material adverse effect on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governmental export and import requirements that could subject us to liability or restrict our ability to license our products. If the U.S. Department of Commerce were to broaden U.S. export restrictions on foreign-origin items, whether through changes to the level of </w:t>
      </w:r>
      <w:r>
        <w:rPr>
          <w:rFonts w:ascii="Times New Roman" w:hAnsi="Times New Roman"/>
          <w:i/>
          <w:sz w:val="20"/>
        </w:rPr>
        <w:t>de minimis</w:t>
      </w:r>
      <w:r>
        <w:rPr>
          <w:rFonts w:ascii="Times New Roman" w:hAnsi="Times New Roman"/>
          <w:sz w:val="20"/>
        </w:rPr>
        <w:t xml:space="preserve"> U.S.-origin content that would make a non-U.S.-made product subject to the U.S. Export Administration Regulations (EAR), known as the </w:t>
      </w:r>
      <w:r>
        <w:rPr>
          <w:rFonts w:ascii="Times New Roman" w:hAnsi="Times New Roman"/>
          <w:i/>
          <w:sz w:val="20"/>
        </w:rPr>
        <w:t>de minimis</w:t>
      </w:r>
      <w:r>
        <w:rPr>
          <w:rFonts w:ascii="Times New Roman" w:hAnsi="Times New Roman"/>
          <w:sz w:val="20"/>
        </w:rPr>
        <w:t xml:space="preserve"> rule, or through changes to the foreign direct product rules under the EAR, these expanded restrictions would subject more of our products to U.S. export controls and impose export restrictions on the licensing and delivery of impacted items to certain customers and trading partners. Furthermore, if the U.S. Government implemented expanded economic sanctions on specific countries or regions, that could impact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portfolio. For instance, the U.S. has published significant changes to export sanctions regulations with respect to Russia and the PRC, and we anticipate additional changes to such regulations in the future. In October 2022, the U.S. Government implemented export controls on advanced computing chips, computer commodities that contain such chips, and certain semiconductor manufacturing items, as well as controls on transactions involving items for supercomputer and semiconductor manufacturing end-uses. The new controls expand the scope of items subject to license requirements for certain entities on the U.S. Governments Entity List (as defined below). As a result, our freedom to license our products to designated countries or entities could be reduced, and our commercial relationships could be further harmed by limiting the ability of certain of our customers and partners from freely shipping chips and end products incorporating certain of our products. For instance, given U.S. and U.K. trade and national security policies regarding exports of technology with potential military uses, it is unlikely that we would be able to obtain a U.S. or U.K. export license for certain high performance compute cores in the Neoverse series processor family. This and any similar limitations could also reduce our revenues and cause significant uncertainty in our products roadmap, which could have an adverse effect on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other countries, particularly the U.K., were to adopt export control rules similar to the U.S., or make existing rules more onerous, this could have a material adverse effect on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trade relations between countries where we do business or where our customers have end customers has recently been volatile. For example, the U.S. Government has imposed export sanctions on certain trading partners and entities which impact the cross-border transfer of technology and software products and announced new licensing requirements which impact exports of some of our customers ICs and certain related items. These measures may increase costs and/or reduce distribution in key markets. This in turn could require us to increase prices to our customers which may reduce demand, or, if we are unable to increase prices to adequately address any restrictions, it could result in lower margins on products sold or fewer products sold, which would reduce royalties. Changes in U.S. trade policy have resulted in, and could result in more, U.S. trading partners adopting responsive trade policies, including imposition of increased tariffs, quotas or duties, or imposition of technology or financial sanctions or controls, making it more difficult or costly for us to export our products to those countries. The implementation of a border tax, tariff or higher customs duties on products of our customers or their end customers manufactured outside of the U.S. or components that our customers or their end customers import into the U.S., or any potential corresponding actions by other countries in which our customers or their end customers do business, could negatively impact our financial performance and/or ability to protect our IP. Such developments could also result in a decrease in the demand for or injunctions on the products of our customers or their end customers, which would reduce our royalties and have an adverse effect on our revenues and profitability and thereby on or business, results of operations, financial condition and prospects. See Risks Relating to Our Business and IndustryOur concentration of revenue from the PRC market makes us particularly susceptible to economic and political risks affecting the PRC, which could be exacerbated by tensions between the U.S. and the PRC with respect to trade and national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and changes in, governmental laws and regulations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requirements and controls, anti-corruption, national security and foreign investment, foreign exchange controls and cash repatriation restrictions, privacy and data protection (such as the European Union General Data Protection Regulation (GDPR), the U.K. General Data Protection Regulation (U.K. GDPR), and the California Consumer Privacy Act as amended by the California Privacy Rights Act (collectively, CCPA)), security and cybersecurity, and anti-competition, environmental, health and safety, financial reporting and the certification requirements associated with public sector contracts. These laws, regulations and orders are complex, may change frequently and with limited notice, and many have become more stringent and have intensified over time, especially in light of continuing tensions between the U.S. and the PRC and sanctions on Russia and individual Russians as a result of the ongoing war in Ukraine.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Retained EU Law (Revocation and Reform) Act 2023, enacted on June 29, 2023 has the effect that certain rights derived from European Union law will by default (that is, absent the exercise of a regulation-making power to restate or reproduce such rights in U.K. domestic law) cease to be recognized after December 31, 2023. As a result, rights derived from European Union law would cease to restrict the application of the rules providing for the 1.5% U.K. stamp duty or SDRT charge which may impact on the issue or transfer of our ordinary shares to, or appropriation of our ordinary shares by, a depositary receipt system (such as that operated by the depositary) or a clearance service (such as that operated by DTC). The extent to which rights derived from European Union law will be restated or reproduced in U.K. domestic law before that date is currently unclear. Any divergence between U.K. law and European Union law (as a result of the Retained EU Law (Revocation and Reform) Act 2023) may increase the burden of our associated compliance costs.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these laws, regulations and similar requirements may be onerous, expensive and time consuming. Laws and regulations are often inconsistent from jurisdiction to jurisdiction, further increasing the cost and complexity of compliance. We have implemented policies and procedures designed to ensure compliance with applicable laws and regulations, but there can be no assurance that our employees, contractors, or agents will not violate such laws and regulations or our policies and procedures. In addition, inadequate systems and processes have in the past and could in the future result in non-compliance with applicable laws and regulations (and this can be particularly challenging in complex areas such as licensing and export controls). We may be required to incur significant expense to remedy violations of these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our customers fail to comply with these regulations, we may be required to suspend sales to these customers, which could damage our reputation and negatively impact our results of operations. For example, the Bureau of Industry and Security (BIS), of the U.S. Department of Commerce, maintains and frequently updates the Entity List, which limits our ability to deliver products and services to these entities, some of which are our customers. On May 16, 2019, the BIS added Huawei Technologies Co., Ltd. and certain of its affiliated entities to BISs Entity List, which imposes limitations on the supply of certain U.S. items and product support to Huawei and certain of its affiliated entities. Huawei remains on the Entity List, and in the absence of a license from BIS, we may be unable to work with Huawei and certain of its affiliated entities on certain U.S. items and technology, which may have a negative effect on our ability to sell those U.S. items and technology in the future. Anticipated or actual changes in trade restrictions could also affect customer purchasing behaviors.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applicable laws, regulations or requirements could subject us to investigations, sanctions, enforcement actions, disgorgement of profits, fines, damages, civil and criminal penalties, or injunctions. If any governmental sanctions are imposed, or if we do not prevail in any possible civil or criminal litigation, our business, results of operations, financial condition and prospects could be materially adversely affected and our reputation and brand could be damaged. In addition, responding to any action will likely result in a significant diversion of managements attention and resources and an increase in professional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Actual or perceived failures to satisfy data protection, security, privacy or other laws, regulations, rules, standards and other government- and industry-specific obligations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Privacy and data protection has become a significant issue in the U.K., the U.S., the European Union and in many other jurisdictions where we operate and where the chips and end products incorporating our products are offered. The regulatory framework for privacy and data protection issues worldwide is rapidly evolving and is likely to remain uncertain for the foreseeable future, which could expose us to further regulatory burdens. Many government bodies and agencies, including in the U.K., the European Union and the U.S., have adopted or are considering adopting or modifying laws and regulations addressing privacy and data protection, including the collection, storage, transfer, use and other processing of personal information. In some cases, privacy and data protection laws, regulations and rules impose obligations directly on us as both a data controller and a data processor (or the equivalents thereof), as well as on many of our customers. Certain jurisdictions have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enacted data localization laws mandating that certain types of data collected in a particular country be stored and/or processed primarily within that country. Laws, regulations and rules relating to privacy and data protection continue to evolve in various jurisdictions, with existing laws, regulations and rules subject to new and differing interpretations and new laws, regulations and rules being proposed and adopted. It is possible that our practices may be deemed not to comply with those privacy and data protection legal requirements that apply to us now or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the European Union and in the U.K., we are subject to the GDPR and the U.K. GDPR, respectively, which impose stringent obligations regarding the collection, control, use, sharing, disclosure and other processing of personal data. Failure to comply with the GDPR or the U.K. GDPR can result in significant fines and other liability, including fines of up to 20 million (or £17.5 million under the U.K. GDPR) or 4% of annual global revenue, whichever is greater. European data protection authorities have already imposed fines for GDPR violations up to, in some cases, hundreds of millions of euros. While the U.K. GDPR currently imposes substantially the same obligations as the GDPR, the U.K. GDPR will not automatically incorporate changes to the GDPR going forward (which would need to be specifically incorporated by the U.K. government), which creates a risk of divergent parallel regimes and related uncertainty. For example, in 2021, the European Commission announced an adequacy decision concluding that the U.K. ensures an equivalent level of data protection to the GDPR, which provides some relief regarding the legality of continued personal data flows from the European Economic Area (EEA) to the U.K. This adequacy determination will automatically expire in June 2025 unless the European Commission renews or extends it and may be modified or revoked in the interim. We cannot predict how the U.K. GDPR and other U.K. privacy and data protection laws, regulations or rules may develop, including as compared to the GDPR, nor can we predict the effects of divergent laws and related guidance. Moreover, the U.K. government has publicly announced plans to reform the U.K. GDPR in ways that, if formalized, are likely to create a risk of divergent parallel regimes and related uncertainty, along with the potential for increased compliance costs and risks for affected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ongoing legal challenges in Europe to the mechanisms allowing companies to transfer personal information from the EEA to outside the EEA (including the U.S.) could result in further limitations on the ability to transfer data across borders, particularly if governments are unable or unwilling to reach new agreements that support cross-border data transfers. While the European Commission adopted on July 10, 2023 an adequacy decision for the EU-U.S. Data Privacy Framework, enabling U.S. companies who certify to the EU-U.S. Data Privacy Framework to rely on it as a valid data transfer mechanism, such adequacy decision is likely to face challenge at the Court of Justice of the European Union. While the EU-U.S. Data Privacy Framework does not apply to the U.K., the U.K. and U.S. governments announced on June 8, 2023 a commitment in principle to establish a data bridge for the U.K. Extension to the EU-U.S. Data Privacy Framework, to facilitate transfers of personal data from the U.K. to the U.S. </w:t>
      </w:r>
    </w:p>
    <w:p>
      <w:pPr>
        <w:pStyle w:val="TextBody"/>
        <w:bidi w:val="0"/>
        <w:spacing w:before="240" w:after="0"/>
        <w:jc w:val="left"/>
        <w:rPr>
          <w:rFonts w:ascii="Times New Roman" w:hAnsi="Times New Roman"/>
          <w:sz w:val="20"/>
        </w:rPr>
      </w:pPr>
      <w:r>
        <w:rPr>
          <w:rFonts w:ascii="Times New Roman" w:hAnsi="Times New Roman"/>
          <w:sz w:val="20"/>
        </w:rPr>
        <w:t xml:space="preserve">Further, our business may be affected by laws, regulations, rules and standards aimed at regulating the use of personal information for marketing purposes, the tracking of the online activities of individuals and the regulation of machine-to-machine communications. For example, the European Unions proposed ePrivacy Regulation, which is still being negotiated, may impose burdensome requirements around obtaining consent and impose fines for violations that are materially higher than those imposed under the European Unions current ePrivacy Directive and related EU member state legislation. Compliance with these laws, regulations, rules and standards may limit the effectiveness of our marketing activities and subject us to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the U.S., we are subject to various federal, state and local privacy and data protection laws, rules, and regulations governing the collection, sharing, use, retention, disclosure, security, transfer, storage and other processing of personal information. For example, at the state level, we are subject to the CCPA, which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Numerous other states also have enacted, or are in the process of enacting or considering, comprehensive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state-level privacy and data protection laws, rules and regulations that share similarities with the CCPA, with at least four such laws (in Virginia, Colorado, Connecticut and Utah) having taken effect, or scheduled to take effect, in 2023. Additionally, laws in all 50 U.S. states require businesses to provide notice to residents whose personal information has been disclosed as a result of a data breach. Moreover, there is discussion in Congress of a new comprehensive federal privacy and data protection law to which we would become subject if it is enacted. </w:t>
      </w:r>
    </w:p>
    <w:p>
      <w:pPr>
        <w:pStyle w:val="TextBody"/>
        <w:bidi w:val="0"/>
        <w:spacing w:before="240" w:after="0"/>
        <w:jc w:val="left"/>
        <w:rPr>
          <w:rFonts w:ascii="Times New Roman" w:hAnsi="Times New Roman"/>
          <w:sz w:val="20"/>
        </w:rPr>
      </w:pPr>
      <w:r>
        <w:rPr>
          <w:rFonts w:ascii="Times New Roman" w:hAnsi="Times New Roman"/>
          <w:sz w:val="20"/>
        </w:rPr>
        <w:t xml:space="preserve">Moreover, we make public statements about our collection, use, disclosure and other processing of personal information through our privacy policies and information on our website. Although we endeavor to comply with our public statements and documentation, we may at times fail to do so or be alleged to have failed to do so. The publication of our privacy policies and other statements that provide promises and assurances about privacy and data protection can subject us to potential government or legal action if they are found to be deceptive, unfair or misrepresentative of our actual practices. Any concerns about our privacy and data protection practices, even if unfounded, could damage our reputation and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Although we monitor the regulatory environment and have invested in addressing new developments, we may be required to make additional changes to our services and business practices to enable us and our customers to comply with applicable laws, regulations, rules, standards and other obligations. Evolving regulatory and legal obligations may also increase our potential liability exposure through higher potential penalties for non-compliance. Laws, regulations, rules, standards and other obligations relating to privacy and data protection are subject to differing interpretations and may be inconsistent among jurisdictions, thereby making compliance with such obligations challenging. Revising our services and business practices to comply with these requirements could reduce demand for our services, require us to take on more onerous obligations in our contracts, or restrict our ability to store, transfer and otherwise process data or, in some cases, impact our ability or our customers ability to offer our services in certain locations, to deploy our products, to reach current and prospective customers, or to derive insights from customer data globally.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any third-party partners with access to our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regulations, rules, standards and other obligations, which could in turn adversely affect our business, results of operations and financial condition. We cannot assure you that our contractual measures and our own privacy and data protection-related safeguards will protect us from the risks associated with the third-party processing, storage and transmission of such information. Increasing use of social media could also give rise to liability, breaches of data security or reputational damage. </w:t>
      </w:r>
    </w:p>
    <w:p>
      <w:pPr>
        <w:pStyle w:val="TextBody"/>
        <w:bidi w:val="0"/>
        <w:spacing w:before="240" w:after="0"/>
        <w:jc w:val="left"/>
        <w:rPr>
          <w:rFonts w:ascii="Times New Roman" w:hAnsi="Times New Roman"/>
          <w:sz w:val="20"/>
        </w:rPr>
      </w:pPr>
      <w:r>
        <w:rPr>
          <w:rFonts w:ascii="Times New Roman" w:hAnsi="Times New Roman"/>
          <w:sz w:val="20"/>
        </w:rPr>
        <w:t xml:space="preserve">Our failure or perceived failure to comply with any applicable privacy or data protection laws, regulations, rules, standards or other obligations could result in increased costs for our products, monetary penalties, damage to our reputation, government and regulatory inquiries, investigations and enforcement actions, fines or legal action. Additionally, if our customers, third-party partners, vendors or developers violate applicable laws, regulations, rules or standards, or our policies or other privacy or security-related obligations, such violations may also put the information of our customers, suppliers, third-party partners or employees at risk and could in turn have an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uncertain and shifting regulatory environment and trust climate may cause concerns regarding privacy and data protection and may cause our customers or their customers to resist providing the data necessary to allow our customers to use our services effectively. Even the perception that the privacy of personal information is not satisfactorily protected or does not meet regulatory requirements could inhibit sales of our products or services and could limit adoption of our products. Any of the foregoing could have a material adverse effect on our business, results of operations,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anti-corruption laws and other laws governing our operations. If we fail to comply with these laws, we could be subject to civil or criminal penalties, other remedial measures and legal expenses, which could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the U.K. Bribery Act 2010 (the Bribery Act), the U.S. Foreign Corrupt Practices Act (the FCPA), and other applicable anti-corruption laws in countries where we do business and may do business in the future. These anti-corruption laws generally prohibit us, our officers, our employees, affiliates, agents and intermediaries from offering or paying bribes, requesting or accepting bribes, or making other prohibited payments to government officials or other persons to obtain or retain business or gain some other business advantage. Under the Bribery Act, we may also be liable for failing to prevent a person associated with us from committing a bribery offense. We have operations in countries considered high risk for corruption, such as China and India, agreements and collaborations with third parties, interactions with government officials, and other business activities that could expose us to corruption risk. While we have compliance safeguards in place, it is possible that these safeguards prove insufficient, or that our employees, intermediaries, or other third-party business partners may engage in activities that subject us to liability under the Bribery Act, FCPA, or other anti-corruption laws. In addition, we cannot predict the nature, scope or effect of future regulatory requirements to which our international operations might be subject or the manner in which existing laws might be administered or interpreted. If we further expand our operations internationally, we will need to dedicate additional resources to comply with numerous laws and regulations in each jurisdiction in which we plan to operate.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we will be completely effective in ensuring our compliance with all applicable anti-corruption laws, including the Bribery Act, the FCPA, or other legal requirements. If we are not in compliance with the Bribery Act, the FCPA and other anti-corruption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related to government contracts and related procurement regulations. </w:t>
      </w:r>
    </w:p>
    <w:p>
      <w:pPr>
        <w:pStyle w:val="TextBody"/>
        <w:bidi w:val="0"/>
        <w:spacing w:before="120" w:after="0"/>
        <w:jc w:val="left"/>
        <w:rPr>
          <w:rFonts w:ascii="Times New Roman" w:hAnsi="Times New Roman"/>
          <w:sz w:val="20"/>
        </w:rPr>
      </w:pPr>
      <w:r>
        <w:rPr>
          <w:rFonts w:ascii="Times New Roman" w:hAnsi="Times New Roman"/>
          <w:sz w:val="20"/>
        </w:rPr>
        <w:t xml:space="preserve">A small portion of our revenue is derived from contracts with governmental entities, governmental subcontractors and public universities. Our contracts with such entities, including in the U.K., the European Union and the U.S., are subject to various regulations and other requirements relating to their formation, administration and performance. We may be subject to audits and investigations relating to government contracts, and any violations could result in various civil and criminal penalties and administrative sanctions, including termination of the contract, payment of fines or suspension or debarment from future government business. If we were to lose a significant number of government contracts, it would have an adverse impact on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independent contractors, consultants and vendors may engage in misconduct or other improper activities, including non-compliance with regulatory standards and requirements and insider trading laws, which could cause significant liability for us and harm our reputation.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or other misconduct by our employees, independent contractors, consultants and vendors. Misconduct by these partners could include intentional failures to comply with laws, standards, regulations, guidance or codes of conduct, provide accurate information to regulatory authorities, comply with manufacturing standards, report financial information or data accurately or disclose unauthorized activities to us. We may also be exposed to risks in connection with any insider trading violations by employees or others affiliated with us. It is not always possible to identify and deter employee misconduct,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and prospects, including the imposition of significant fines or other sanctions and damage to our reputation.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Status as a Controlled Company and Foreign Private Issuer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be a controlled company within the meaning of the Nasdaq corporate governance rules and, as a result, be eligible to rely on exemptions from certain corporate governance requirements that provide protection to stockholders of companies that are not controlled companies.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completion of this offering, SoftBank Group is expected to beneficially own approximately     % of our outstanding ordinary shares (or     % if the underwriters exercise in full their option to purchase additional ADSs from the selling shareholder) and thus a majority of the total voting power of our ordinary shares. As a result of SoftBank Groups ownership, after the completion of this offering, we will be a controlled company under the Nasdaq corporate governance standards. </w:t>
      </w:r>
    </w:p>
    <w:p>
      <w:pPr>
        <w:pStyle w:val="TextBody"/>
        <w:bidi w:val="0"/>
        <w:spacing w:before="240" w:after="0"/>
        <w:jc w:val="left"/>
        <w:rPr>
          <w:rFonts w:ascii="Times New Roman" w:hAnsi="Times New Roman"/>
          <w:sz w:val="20"/>
        </w:rPr>
      </w:pPr>
      <w:r>
        <w:rPr>
          <w:rFonts w:ascii="Times New Roman" w:hAnsi="Times New Roman"/>
          <w:sz w:val="20"/>
        </w:rPr>
        <w:t xml:space="preserve">Because we will qualify to be treated as a controlled company, we will have the option not to comply with certain requirements to which companies that are not controlled companies are subject, including the requirement that a majority of the Board of Directors consists of independent directors, the requirement that a majority of the independent directors select or recommend its director nominees, the requirement that the remuneration committee be responsible for determining or recommending the compensation of executive officers other than our Chief Executive Officer and the requirement that its remuneration committee be composed entirely of independent directors. Since we have elected to use certain of the controlled company exemptions, holders of our ADSs will not have the same protections afforded to stockholders of companies that are subject to these corporate governance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long as SoftBank Group controls us and/or is entitled to certain rights under the Shareholder Governance Agreement, other holders of our ordinary shares and ADSs will have limited ability to influence matters requiring stockholder approval or the composition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completion of this offering, SoftBank Group is expected to beneficially own approximately     % of our total issued and outstanding share capital (or     % if the underwriters exercise in full their option to purchase additional ADSs from the selling shareholder). As a result, for so long as SoftBank Group and its controlled affiliates hold shares representing a majority of the votes entitled to be cast by the holders of our outstanding ordinary shares at a shareholder meeting, SoftBank Group will generally have the ability to control the outcome of any matter submitted for the vote of our shareholders, except in certain limited circumstances as set forth in the Articles and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so long as SoftBank Group and its controlled affiliates hold ordinary shares representing at least a majority of the votes entitled to be cast by the holders of our ordinary shares at a shareholder meeting, SoftBank Group will have the ability to control the election of all of the members of our Board of Directors. The directors elected by SoftBank Group will have the authority to make important decisions regarding our business, including decisions affecting our capital structure, such as the issuance of equity, the incurrence of indebtedness, the implementation of stock repurchase programs and the declaration of dividends.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shareholder governance agreement we will enter into with SoftBank Group upon the completion of this offering (the Shareholder Governance Agreement), SoftBank Group will have the right to designate a number of candidates for election to our Board of Directors depending on its and its controlled affiliates level of ownership of our outstanding ordinary shares. SoftBank Groups designation rights will range from the ability to designate seven candidates so long as they own more than 70% of our outstanding ordinary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down to the ability to designate one candidate so long as they own more than 5% of our outstanding ordinary shares. Additionally, effective upon completion of this offering and for so long as SoftBank Group and its controlled affiliates own more than 70% of our outstanding ordinary shares, SoftBank Group will have the right to increase the size of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 The Shareholder Governance Agreement also gives SoftBank Group certain rights with respect to committees of our Board of Directors, approvals of related party transactions, pre-emptive rights, registration rights, information and other rights, consultation rights and a consent right, among others, including during periods in which SoftBank Group beneficially owns less than a majority of our outstanding ordinary shares. Accordingly, SoftBank Group will maintain significant control over our corporate and business activities until such rights terminate. See Related Party TransactionsTransactions with SoftBank GroupShareholder Governance AgreementRights Relating to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SoftBank Groups interests may conflict with our own interests and those of holders of our ADSs. </w:t>
      </w:r>
    </w:p>
    <w:p>
      <w:pPr>
        <w:pStyle w:val="TextBody"/>
        <w:bidi w:val="0"/>
        <w:spacing w:before="120" w:after="0"/>
        <w:jc w:val="left"/>
        <w:rPr>
          <w:rFonts w:ascii="Times New Roman" w:hAnsi="Times New Roman"/>
          <w:sz w:val="20"/>
        </w:rPr>
      </w:pPr>
      <w:r>
        <w:rPr>
          <w:rFonts w:ascii="Times New Roman" w:hAnsi="Times New Roman"/>
          <w:sz w:val="20"/>
        </w:rPr>
        <w:t xml:space="preserve">The interests of SoftBank Group may not coincide with our own interests or the interests of holders of our ADSs. Because SoftBank Group will generally have the ability, subject to limitations in the Articles and the Companies Act, to control all matters submitted to our shareholders for approval, including the election of all of the members of our Board of Directors, and will have certain enhanced rights pursuant to the Shareholder Governance Agreement, other shareholders will have limited ability to influence corporate matters. As a result, SoftBank Group may cause us to take corporate actions, including engaging in transactions with SoftBank Group or affiliates of SoftBank Group, that members of our management or other shareholders do not view as beneficial, or that provide SoftBank Group with benefits at our expense. Such actions could have a material and adverse effect on our business, results of operations and the trading price of our ADSs.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have, and in the future we expect to, advise SoftBank Group with respect to certain of its proposed investments or acquisitions in, or commercial arrangements or strategic partnerships with, businesses in or adjacent to our industry. For example, we are a party to a consulting agreement with SoftBank Group pursuant to which we provide to SoftBank Group and its affiliates certain technical consultancy and advisory services relating to potential transactions, strategic partnerships, commercial arrangements or other arrangements involving SoftBank Group or its affiliates. See Related Party TransactionsTransactions with SoftBank GroupConsulting Agreement. Our efforts to advise SoftBank Group may require substantial time and attention from our executives, engineers and other employees, which could divert attention and resources away from our business. We can provide no assurances that SoftBank Group will not acquire, invest in or partner with businesses that compete with us, and we will have no control over SoftBank Groups acquisition, investment or strategic partnership activities, including any investments in, acquisitions of or strategic partnerships with businesses that compete with us or our customers, or any other actions that SoftBank Group may take to compete with us or our customers. Any SoftBank Group investments in, or acquisitions of, or strategic partnerships with, businesses that compete with us or our customers could have a material adverse effect on us and our relationships with affected customers and cause those customers to seek alternatives to our products and invest in the ecosystems of our competitors like RISC-V, which could have a material adverse effect on our business, results of operations, reputation, financial condition and/or prospects.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 In addition, although we are not actively pursuing any investments in, or acquisitions of any such businesses, we may in the future pursue acquisitions of or investments in entities affiliated with SoftBank Group or with whom SoftBank Group or its affiliates have a commercial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Disputes may arise between us and SoftBank Group or its affiliates in a number of areas, including relating to arrangements with third parties that are exclusionary to us or SoftBank Group or its affiliates and business opportunities that may be attractive to both us and SoftBank Group or its affiliates. Furthermore, disputes may arise between us and SoftBank Group or its affiliates with respect to Arm China. As of the date hereof, approximately 48% of the equity interest in Arm China is owned by Acetone Limited, which SoftBank Group controls and in which we own a 10% non-voting interest (representing an approximate 4.8% indirect interest). We may not be able to resolve any potential conflicts with SoftBank Group and, even if we do, the resolution may be less favorable than if we were dealing with an unaffiliated party, which could have an adverse effect on our business, results of operations and the trading price of our ADSs. In addition, any disputes between us and SoftBank Group could distract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some of our directors and officers currently, and in the future may, directly or indirectly own equity interests in SoftBank Group, and Mr. Son is also the Chairman and Chief Executive Officer of SoftBank Group and Mr. Haas is a director of SoftBank Group. In addition, Mr. Haas is party to an agreement pursuant to which he provides certain advisory and consulting services to SoftBank Group. Ownership of such equity interests by our directors and officers and the presence of Messrs. Son and Haas, as the chair of our Board of Directors and our Chief Executive Officer and a director, respectively, could create, or appear to create, conflicts of interest with respect to matters involving both us and any one of them, or involving us and SoftBank Group. Provisions of the Articles address corporate opportunities that are presented to our directors that are also directors or officers of SoftBank Group. We cannot assure you that the Articles will adequately address potential conflicts of interest or that potential conflicts of interest will be resolved in our favor or that we will be able to take advantage of corporate opportunities presented to individuals who are directors of both us and SoftBank Group. As a result, we may be precluded from pursuing certain advantageous transactions or growth initiatives. </w:t>
      </w:r>
    </w:p>
    <w:p>
      <w:pPr>
        <w:pStyle w:val="TextBody"/>
        <w:bidi w:val="0"/>
        <w:spacing w:before="240" w:after="0"/>
        <w:jc w:val="left"/>
        <w:rPr>
          <w:rFonts w:ascii="Times New Roman" w:hAnsi="Times New Roman"/>
          <w:sz w:val="20"/>
        </w:rPr>
      </w:pPr>
      <w:r>
        <w:rPr>
          <w:rFonts w:ascii="Times New Roman" w:hAnsi="Times New Roman"/>
          <w:sz w:val="20"/>
        </w:rPr>
        <w:t xml:space="preserve">Moreover, under the terms of the Shareholder Governance Agreement to be entered into with SoftBank Group upon the completion of this offering, SoftBank Group has a contractual pre-emptive right. Specifically, under the terms of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will be entitled (but will not be obligated) to purchase up to an amount of the securities we propose to allot or issue such that it can maintain its proportional legal and economic interests in our share capital prior to such allotment or issuance. As a result, while other holders of our ADSs would risk suffering a reduction in percentage ownership in connection with a new issuance of securities by us, SoftBank Group will have the opportunity to avoid a reduction in its legal and economic interests. See Related Party TransactionsTransactions with SoftBank GroupShareholder Governance AgreementPre-emptive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Furthermore, regardless of the performance of our own business, SoftBank Groups business, results of operations and the trading price of SoftBank Groups securities or other matters affecting SoftBank Group or actions that SoftBank Group may take may adversely affect the trading price of our ADSs. In addition, SoftBank Group is not restricted from competing with us or otherwise taking for itself or its other affiliates certain corporate opportunities that may be attractive to us. </w:t>
      </w:r>
    </w:p>
    <w:p>
      <w:pPr>
        <w:pStyle w:val="TextBody"/>
        <w:bidi w:val="0"/>
        <w:spacing w:before="240" w:after="0"/>
        <w:jc w:val="left"/>
        <w:rPr>
          <w:rFonts w:ascii="Times New Roman" w:hAnsi="Times New Roman"/>
          <w:sz w:val="20"/>
        </w:rPr>
      </w:pPr>
      <w:r>
        <w:rPr>
          <w:rFonts w:ascii="Times New Roman" w:hAnsi="Times New Roman"/>
          <w:sz w:val="20"/>
        </w:rPr>
        <w:t xml:space="preserve">SoftBank Groups ability to control all matters submitted to our shareholders may have the effect of delaying, preventing or deterring a change of control, which could deprive holders of our ADSs of an opportunity to receive a premium for their ADSs as part of a change of control, and might ultimately affect the fair market value of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SoftBank Group has engaged, and may in the future engage, in financing transactions whereby our shares are pledged as security. </w:t>
      </w:r>
    </w:p>
    <w:p>
      <w:pPr>
        <w:pStyle w:val="TextBody"/>
        <w:bidi w:val="0"/>
        <w:spacing w:before="120" w:after="0"/>
        <w:jc w:val="left"/>
        <w:rPr>
          <w:rFonts w:ascii="Times New Roman" w:hAnsi="Times New Roman"/>
          <w:sz w:val="20"/>
        </w:rPr>
      </w:pPr>
      <w:r>
        <w:rPr>
          <w:rFonts w:ascii="Times New Roman" w:hAnsi="Times New Roman"/>
          <w:sz w:val="20"/>
        </w:rPr>
        <w:t xml:space="preserve">SoftBank Group has engaged, and may from time to time engage, in financing transactions involving our shares (including ADSs representing our shares), such as loans whereby our shares are pledged as security.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unable to influence the timing or terms of financing transactions by SoftBank Group involving our securities. For example, certain subsidiaries of SoftBank Group are parties to a term loan facility described further under Certain Relationships and Related Party Transactions pursuant to which we have certain obligations. SoftBank Group has informed us that (i) it intends to repay the term loan facility prior to, or substantially concurrently with, the pricing of this offering, and (ii) at the time of such repayment, our springing guarantee and indemnity will be terminated. The repayment of the term loan facility and the release of our obligations thereunder is a condition to the closing of this offering. If SoftBank Group does not repay this facility, this offering will not close.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subsidiaries of SoftBank Group have entered into a margin loan facility, with certain of the underwriters or their affiliates being agents and/or lenders (which include Barclays Capital Inc., BNP Paribas Securities Corp., Citigroup Global Markets Inc., Credit Agricole Securities (USA) Inc., Deutsche Bank Securities Inc., Goldman Sachs &amp; Co. LLC, HSBC Securities (USA) Inc., J.P. Morgan Securities LLC, Mizuho Securities USA LLC, MUFG Securities Americas Inc., Natixis Securities Americas LLC, Santander US Capital Markets LLC and SMBC Nikko Securities America, Inc. or their affiliates), to be secured by our outstanding ordinary shares and to be funded following, or substantially concurrently with, the closing of this offering, but in any event after the Existing SoftBank Group Facility is repaid (the New SoftBank Group Facility). We have no material obligations with respect to the New SoftBank Group Facility. The New SoftBank Group Facility will initially be secured by a pledge of 769,029,000 of our ordinary shares representing a 75.01% equity interest in us (before giving effect to the issuance of ordinary shares issuable upon the completion of this offering in connection with the vesting of RSUs and Executive Awards) pursuant to certain exceptions to the lock-up agreements. See Ordinary Shares and ADSs Eligible for Future SaleLock-up Agreements. We face various risks in connection with such transactions. The New SoftBank Group Facility contains, and such other financing transactions may contain, provisions that, subject to their terms, require prepayment if certain events or circumstances occur, including certain change of control transactions or in the event the trading price of our ADSs declines below certain thresholds. From time to time, subject to certain requirements under the terms of the New SoftBank Group Facility and any other such financing transactions, SoftBank Group or the relevant subsidiary of SoftBank Group, as applicable, may consider it advisable to sell shares in order to finance the prepayment or repayment of such financings, which number of shares may, individually or in the aggregate, be significant. In addition, in connection with the New SoftBank Group Facility and any other such financings, if the price of our ADSs declines to certain levels, absent a repayment of the applicable financing, SoftBank Group may be required to provide additional collateral. For instance, the New SoftBank Group Facility could be subject to a margin call by the providers of the facility if, among other events, the loan-to-value (LTV) exceeds a certain threshold. In the event of such a margin call, the relevant subsidiary of SoftBank Group would need to deposit additional funds with the providers of the facility and may decide to sell some of the pledged shares to provide such funds. In the case of non-payment at maturity or another event of default, the providers of the New SoftBank Group Facility and any other such financing may, in addition to other remedies, exercise their rights to foreclose on and sell or cause the sale of our shares that may be pledged as collateral. The foreclosure on our shares that are initially pledged as collateral for the New SoftBank Group Facility could cause a change of control of us and if such shares are sold, such sales could cause the trading price of our ADSs to decline. Sales of our securities in connection with the New SoftBank Group Facility and any other such financing transactions, whether by SoftBank Group or upon enforcement against collateral, could have a material and adverse effect on our business, results of operations, access to equity capital and the trading price of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SoftBank Group sells a controlling equity interest in our company to a third party in a private transaction, you may not realize any change-of-control premium on your ADSs and we may become subject to the control of a currently unknown third party.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the U.K. City Code on Takeovers and Mergers (the Takeover Code) does not apply to us, SoftBank Group will have the ability, should it choose to do so, to sell some or all of its shares in a privately negotiated transaction, which, if sufficient in size, could result in a change of control of us. The ability of SoftBank Group to privately sell its shares, with no requirement for a concurrent offer to be made to acquire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ADSs that will be publicly traded following the completion of this offering, could prevent you from realizing any change-of-control premium on your ADSs that may otherwise accrue to SoftBank Group on its private sale of shares. In addition, if SoftBank Group privately sells its controlling equity interest or if a lender forecloses on a controlling interest pledged by SoftBank Group, including in connection with enforcement under the New SoftBank Group Facility, we may become subject to the control of a currently unknown third party. The interests of this third party may not be the same as, or may conflict with, the interests of our other shareholders. Furthermore, if SoftBank Group sells a controlling equity interest in our company to a third party or a lender forecloses on a pledged controlling equity interest in our company, our future indebtedness may be subject to acceleration, and our other commercial agreements and relationships, including any remaining agreements with SoftBank Group, could be impacted. The occurrence of any of these events could adversely affect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SoftBank Groups ability to control our Board of Directors may make it difficult for us to recruit independent directors.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SoftBank Group and its controlled affiliates hold our ordinary shares representing at least a majority of the votes entitled to be cast by the holders of our ordinary shares at a shareholder meeting, SoftBank Group will be able to elect all of the members of our Board of Directors. Additionally, pursuant to the Shareholder Governance Agreement, SoftBank Group will have the right to designate a number of candidates for election to our Board of Directors depending on its and its affiliates level of ownership of our outstanding ordinary shares. SoftBank Groups designation rights will range from the ability to designate seven candidates so long as they own more than 70% of our outstanding ordinary shares (or up to eight if SoftBank Group exercises the right granted to it to increase the size of our Board of Directors and appoint an additional non-independent director to fill the resulting vacancy) down to the ability to designate one candidate so long as they own more than 5% of our outstanding ordinary shares. The Shareholder Governance Agreement also provides SoftBank Group with proportional rights to representation on the committees of our Board of Directors, subject to applicable restrictions. See Related Party TransactionsTransactions with SoftBank GroupShareholder Governance AgreementRights Relating to Our Board of Directors. Under these circumstances, qualified and experienced persons who might otherwise accept an invitation to join our Board of Directors may decline, which means that we would not be able to benefit from their qualifications and expertise in service as members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we are exempt from a number of rules under the U.S. securities laws and are permitted to file less information with the SEC than U.S.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in the SEC rules and regulations, and, consequently, we are not subject to all the disclosure requirements applicable to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will file an annual report on Form 20-F within four months of the close of each fiscal year ended March 31 and reports on Form 6-K relating to certain material events promptly after we publicly announce these events. However, because of the above exemptions for foreign private issuers, our shareholders will not be afforded the same protections or information generally available to investors holding shares in public companies organized in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While we are a foreign private issuer, we may opt out of certain Nasdaq corporate governance rules applicable to public companies organized in the U.S. </w:t>
      </w:r>
    </w:p>
    <w:p>
      <w:pPr>
        <w:pStyle w:val="TextBody"/>
        <w:bidi w:val="0"/>
        <w:spacing w:before="120" w:after="0"/>
        <w:jc w:val="left"/>
        <w:rPr>
          <w:rFonts w:ascii="Times New Roman" w:hAnsi="Times New Roman"/>
          <w:sz w:val="20"/>
        </w:rPr>
      </w:pPr>
      <w:r>
        <w:rPr>
          <w:rFonts w:ascii="Times New Roman" w:hAnsi="Times New Roman"/>
          <w:sz w:val="20"/>
        </w:rPr>
        <w:t xml:space="preserve">We are entitled to rely on a provision in Nasdaqs corporate governance rules that allows us to follow English corporate law with regard to certain aspects of corporate governance. This allows us to follow certain corporate governance practices that differ in significant respects from the corporate governance requirements applicable to domestic issuers listed on Nasdaq, which may provide less protection to our shareholders than what is accorded to investors under the Nasdaq rules applicable to domestic issuers. </w:t>
      </w:r>
    </w:p>
    <w:p>
      <w:pPr>
        <w:pStyle w:val="TextBody"/>
        <w:bidi w:val="0"/>
        <w:spacing w:before="240" w:after="0"/>
        <w:jc w:val="left"/>
        <w:rPr>
          <w:rFonts w:ascii="Times New Roman" w:hAnsi="Times New Roman"/>
          <w:sz w:val="20"/>
        </w:rPr>
      </w:pPr>
      <w:r>
        <w:rPr>
          <w:rFonts w:ascii="Times New Roman" w:hAnsi="Times New Roman"/>
          <w:sz w:val="20"/>
        </w:rPr>
        <w:t xml:space="preserve">For example, we are exempt from Nasdaq regulations that require a listed U.S. company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 within four business days of any determination to grant a waiver of the Code of Conduct to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shareholder approval for certain issuances of securities, including shareholder approval of share option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the audit committee review and oversight responsibilities over all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regularly scheduled meetings of only the independent directors at least twice a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proxies and provide proxy statements for all meetings of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in the companys bylaws or articles of association that a quorum for the shareholders meeting consists of at least 33 1/3% of the outstanding shares of the companys voting common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Nasdaq listing rules, our audit committee is required to comply with the provisions of Section 301 of the Sarbanes-Oxley Act and Rule 10A-3 of the Exchange Act, both of which are also applicable to Nasdaq-listed U.S. companies. Because we are a foreign private issuer, however, our audit committee is not subject to additional requirements applicable to Nasdaq-listed U.S. companies, including an affirmative determination that all members of the audit committee are independent, using more stringent criteria than those applicable to us as a foreign private issuer, subject to certain phase-in requirements permitted by Rule 10A-3 of the Exchange Act. See Management and Executive RemunerationForeign Private Issuer Exemption.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our foreign private issuer status, which would then require us to comply with the Exchange Acts domestic reporting regime and cause us to incur significant legal, accounting and other expenses.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test our foreign private issuer status at the end of our second fiscal quarter in each fiscal year after the completion of this offering. If we were no longer a foreign private issuer, we would be required to comply with all of the periodic disclosure and current reporting requirements of the Exchange Act applicable to U.S. domestic issuers as of April 1, 2025. In order to maintain our current status as a foreign private issuer, either (a) a majority of our securities must be either directly or indirectly owned of record by nonresidents of the U.S. or (b)(i) a majority of our executive officers or directors cannot be U.S. citizens or residents, (ii) more than 50% of our assets must be located outside the U.S. and (iii) our business must be administered principally outside the U.S. If SoftBank Group or its affiliates do not continue to hold a majority of our ordinary shares, we would likely fail to maintain our status as foreign private issuer.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is likely to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rights of our shareholders may differ from the rights typically offered to shareholders of a U.S. corporation.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England and Wales. The rights of holders of ordinary shares and, therefore, certain of the rights of holders of ADSs, are governed by English law, including the provisions of the Companies Act and by the Articles. These rights differ in certain respects from the rights of shareholders in typical U.S. corporations. See Description of Share Capital and Articles of AssociationDifferences in Corporate Law in this prospectus for a description of the principal differences between the provisions of the Companies Act applicable to us and, for example, the Delaware General Corporation Law relating to shareholders rights and protections. The principal differences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English law, certain matters require the approval of not less than 75% of the shareholders who vote (in person or by proxy) on the relevant resolution (or on a poll of shareholders, by shareholders representing not less than 75% of the ordinary shares voting (in person or by proxy)), including amendments to the Articles. This may make it more difficult for us to complete corporate actions deemed advisable by our Board of Directors. Under U.S. law, generally only majority shareholder approval is required to amend the certificate of incorporation or to approve other significant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U.K., takeovers may be structured as takeover offers or as schemes of arrangement. Under English law, a bidder seeking to acquire us by means of a takeover offer would need to make an offer for all of our outstanding ordinary shares and ADSs. If acceptances are not received for 90% or more of the ordinary shares and ADSs under the offer, under English law, the bidder cannot complete a squeeze out to obtain 100% control of us. Accordingly, acceptances of 90% of our outstanding ordinary shares/ADSs would likely be a condition in any takeover offer to acquire us, not 50% as is more common in tender offers for corporations organized under U.S. law. By contrast, a scheme of arrangement, the successful completion of which would result in a bidder obtaining 100% control of us, requires the approval of a majority in number of the shareholders or class of shareholders present and voting either in person or by proxy at the meeting and representing 75% in value of the ordinary shares (including those represented by ADSs) voting at the meeting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English law and the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Articles, the quorum requirement for a shareholder meeting is a minimum of one shareholder present in person or by proxy (or, if a corporation, by representative).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As an English public limited company, certain capital structure decisions will require shareholder approval, which may limit our flexibility to manage our capital structure. </w:t>
      </w:r>
    </w:p>
    <w:p>
      <w:pPr>
        <w:pStyle w:val="TextBody"/>
        <w:bidi w:val="0"/>
        <w:spacing w:before="120" w:after="0"/>
        <w:jc w:val="left"/>
        <w:rPr>
          <w:rFonts w:ascii="Times New Roman" w:hAnsi="Times New Roman"/>
          <w:sz w:val="20"/>
        </w:rPr>
      </w:pPr>
      <w:r>
        <w:rPr>
          <w:rFonts w:ascii="Times New Roman" w:hAnsi="Times New Roman"/>
          <w:sz w:val="20"/>
        </w:rPr>
        <w:t xml:space="preserve">On                     , 2023, the Company was re-registered as a public limited company with the name Arm Holdings plc. English law provides that, subject to certain exceptions (including the allotment, or the grant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to subscribe for or convert any security into shares, in pursuance of an employees share scheme), a board of directors of a public limited company may only allot shares (or grant rights to subscribe for or convert any security into shares) with the prior authorization of shareholders, such authorization stating the aggregate nominal amount of shares that it covers and being valid for a maximum period of five years, each as specified in the articles of association or relevant ordinary shareholder resolution passed by shareholders at a general meeting. We have obtained authority from our shareholders to allot additional shares ending                     , which authorization will need to be renewed upon expiration (i.e., at least every five years) but may be sought more frequently for additional five-year terms (or for any shorter period). </w:t>
      </w:r>
    </w:p>
    <w:p>
      <w:pPr>
        <w:pStyle w:val="TextBody"/>
        <w:bidi w:val="0"/>
        <w:spacing w:before="240" w:after="0"/>
        <w:jc w:val="left"/>
        <w:rPr>
          <w:rFonts w:ascii="Times New Roman" w:hAnsi="Times New Roman"/>
          <w:sz w:val="20"/>
        </w:rPr>
      </w:pPr>
      <w:r>
        <w:rPr>
          <w:rFonts w:ascii="Times New Roman" w:hAnsi="Times New Roman"/>
          <w:sz w:val="20"/>
        </w:rPr>
        <w:t xml:space="preserve">English law also generally provides shareholders with preemptive rights when new shares are issued for cash, except that such rights do not apply to the allotment of equity securities that would, apart from any renunciation or assignment of the right to their allotment, be held under or allotted or transferred pursuant to an employees share scheme.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but not longer than the duration of the authority to allot shares to which the disapplication relates. In either case, this disapplication would need to be renewed by our shareholders upon its expiration (i.e., at least every five years). We have obtained authority from our shareholders to disapply preemptive rights ending                     , which disapplication will need to be renewed upon expiration (i.e., at least every five years), but may be sought more frequently for additional five-year terms (or for any shorter period). </w:t>
      </w:r>
    </w:p>
    <w:p>
      <w:pPr>
        <w:pStyle w:val="TextBody"/>
        <w:bidi w:val="0"/>
        <w:spacing w:before="240" w:after="0"/>
        <w:jc w:val="left"/>
        <w:rPr>
          <w:rFonts w:ascii="Times New Roman" w:hAnsi="Times New Roman"/>
          <w:sz w:val="20"/>
        </w:rPr>
      </w:pPr>
      <w:r>
        <w:rPr>
          <w:rFonts w:ascii="Times New Roman" w:hAnsi="Times New Roman"/>
          <w:sz w:val="20"/>
        </w:rPr>
        <w:t xml:space="preserve">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 See Description of Share Capital and Articles of Association.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 current law, transfers of ordinary shares outside the ADR program and the redeposit of ordinary shares into the ADR program will generally be subject to U.K. stamp duty or stamp duty reserve tax and the law may change to cover other transactions, including transactions in ADSs, which would increase the cost of dealing in ordinary shares or ADSs. </w:t>
      </w:r>
    </w:p>
    <w:p>
      <w:pPr>
        <w:pStyle w:val="TextBody"/>
        <w:bidi w:val="0"/>
        <w:spacing w:before="120" w:after="0"/>
        <w:jc w:val="left"/>
        <w:rPr>
          <w:rFonts w:ascii="Times New Roman" w:hAnsi="Times New Roman"/>
          <w:sz w:val="20"/>
        </w:rPr>
      </w:pPr>
      <w:r>
        <w:rPr>
          <w:rFonts w:ascii="Times New Roman" w:hAnsi="Times New Roman"/>
          <w:sz w:val="20"/>
        </w:rPr>
        <w:t xml:space="preserve">On completion of this offering, it is anticipated that the ADSs will be transferred to a nominee for The Depository Trust Company (DTC) and corresponding book-entry interests credited in the facilities of DTC. On the basis of current law and HM Revenue &amp; Customs (HMRC) practice, no charges to U.K. stamp duty or stamp duty reserve tax (SDRT) are expected to arise on either the transfer of ADSs into DTCs facilities or on subsequent transfers of book-entry interests in ADSs entirely within DTCs facilities. Similarly, on the basis of current law and HMRC practice, a transfer of title in the ADSs from within the DTC clearance system to a purchaser out of the DTC clearance system and any subsequent transfers that occur entirely outside the DTC clearance system should not attract a charge to U.K. stamp duty or SDRT. </w:t>
      </w:r>
    </w:p>
    <w:p>
      <w:pPr>
        <w:pStyle w:val="TextBody"/>
        <w:bidi w:val="0"/>
        <w:spacing w:before="240" w:after="0"/>
        <w:jc w:val="left"/>
        <w:rPr>
          <w:rFonts w:ascii="Times New Roman" w:hAnsi="Times New Roman"/>
          <w:sz w:val="20"/>
        </w:rPr>
      </w:pPr>
      <w:r>
        <w:rPr>
          <w:rFonts w:ascii="Times New Roman" w:hAnsi="Times New Roman"/>
          <w:sz w:val="20"/>
        </w:rPr>
        <w:t xml:space="preserve">If you choose to withdraw the ordinary shares underlying your ADSs (in accordance with the deposit agreement, applicable laws and regulations) from the depositary, U.K. stamp duty and SDRT will not generally be chargeable on any such withdrawal in your favor, but will generally be chargeable on any subsequent transfers of the ordinary shares or redeposits of the ordinary shares into the ADR program (at the rates specified below). Therefore, you are strongly encouraged to hold your ADSs (representing ordinary shares) in book-entry form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completion of this offering, we expect to put in place arrangements to require that ordinary shares held in certificated form or otherwise outside the depositary system cannot be represented by ADSs within the DTC clearance system until the transferor of the ordinary shares has first delivered the ordinary shares to a depositary specified by us so that any U.K. stamp duty (or SDRT) may be collected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delivery to the depositary. Any such ADSs in respect of those ordinary shares so deposited may be evidenced by a receipt issued by the depositary. Before the transfer can be registered in the books of the depositary for the ADSs to be issued, the transferor will also be required to put funds in the depositary to settle any resultant liability to stamp duty (or SDRT), which will be charged at a rate of 1.5% of the value of the ADSs. We have received confirmation from HMRC that, in respect of the transactions contemplated by, and put in place as part of, this offering, no charge to U.K. stamp duty or SDRT should arise.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current legislation and/or HMRC guidance will not change. In particular, certain rights derived from European Union law currently recognized in U.K. domestic law will cease to be so following December 31, 2023 as a result of the Retained EU Law (Revocation and Reform) Act 2023, absent the exercise of a regulation-making power to restate or reproduce specific rights in U.K. domestic law. Rights derived from European Union law, of this type, would therefore cease to restrict the application of the rules providing for the 1.5% U.K. stamp duty or SDRT charge. There has been no indication that these European Union law rights will be restated or reproduced in U.K. domestic law before December 31, 2023. Accordingly, future issues or transfers of our ordinary shares to, or appropriations of our ordinary shares by, depositary receipt systems after December 31, 2023 may be subject to 1.5% U.K. stamp duty or SDRT. The HMRC confirmation referred to above does not extend to such future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for example, in the future, a transfer of title in the ADSs from within the DTC clearance system to a purchaser out of the DTC clearance system and/or any subsequent transfers of ADSs that occur entirely outside (or inside) the DTC clearance system, will attract a charge to U.K. stamp duty or SDRT. Any such U.K. stamp duty or SDRT will be chargeable at a rate of 0.5% (or potentially 1.5% in certain circumstances) of any consideration, which is normally payable by the transferee. Any such duty must be paid (and the relevant transfer document, if any, stamped by HMRC) before the transfer can be registered in the books of the depositary and, if relevant, ADSs issued to a nominee for DTC and corresponding book-entry interests credited in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about the U.K. stamp duty and SDRT implications of holding ADSs and withdrawing ordinary shares under current law, please see the section titled Material Tax ConsiderationsU.K. Taxation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liable for stamp duty in connection with the corporate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corporate reorganization described under the section titled Corporate Reorganization, the entire issued share capital of Arm Limited was transferred to the Company. We have made an application to HMRC for such transfer to be adjudicated as not chargeable to U.K. stamp duty by virtue of section 77 of the Finance Act 1986. While it is expected that all of the conditions of section 77 of the Finance Act 1986 are satisfied and relief should be available, if such relief is not forthcoming we will be required to pay 0.5% U.K. stamp duty of the value of the consideration given for that transfer, which is expected to be, broadly, 0.5% of the value of the transferred share capital of Arm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Articles will provide that, unless the Company by ordinary resolution consents to the selection of an alternative forum, the courts of England and Wales will be the exclusive forum for the resolution of all shareholder complaints other than complaints asserting a cause of action arising under the Securities Act and the Exchange Act, and that the U.S. District Court for the Northern District of California will be the exclusive forum for the resolution of any shareholder complaint asserting a cause of action arising under the Securities Act or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The Articles will provide that, unless the Company by ordinary resolution consents to the selection of an alternative forum, the courts of England and Wales will be the exclusive forum for resolving all shareholder complaints other than shareholder complaints asserting a cause of action arising under the Securities Act of 1933, as amended (the Securities Act), or the Exchange Act, and that the U.S. District Court for the Northern District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California will be the exclusive forum for resolving any shareholder complaint asserting a cause of action arising under the Securities Act or the Exchange Act, including applicable claims arising out of this offering. In addition, the Articles will provide that any person or entity purchasing or otherwise acquiring any interest in our shares is deemed to have notice of and consented to these provisions.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the Articles. Additionally, our shareholders cannot waive compliance with the federal securities laws and the rules and regulations thereunder. If a court were to find either choice of forum provision contained in the Articles to be inapplicable or unenforceable in an action, we may incur additional costs associated with resolving such action in other jurisdictions, which could adversely affect our results of operations and financial condition. The courts of England and Wales and the U.S. District Court for the Northern District of California may also reach different judgments or results than would other courts, including courts where a shareholder considering bringing a claim may be located or would otherwise choose to bring the claim, and such judgments may be more or less favorable to us than our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protections found in provisions under the Takeover Code will not apply if our place of central management and control remains outside the U.K. </w:t>
      </w:r>
    </w:p>
    <w:p>
      <w:pPr>
        <w:pStyle w:val="TextBody"/>
        <w:bidi w:val="0"/>
        <w:spacing w:before="120" w:after="0"/>
        <w:jc w:val="left"/>
        <w:rPr>
          <w:rFonts w:ascii="Times New Roman" w:hAnsi="Times New Roman"/>
          <w:sz w:val="20"/>
        </w:rPr>
      </w:pPr>
      <w:r>
        <w:rPr>
          <w:rFonts w:ascii="Times New Roman" w:hAnsi="Times New Roman"/>
          <w:sz w:val="20"/>
        </w:rPr>
        <w:t xml:space="preserve">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 </w:t>
      </w:r>
    </w:p>
    <w:p>
      <w:pPr>
        <w:pStyle w:val="TextBody"/>
        <w:bidi w:val="0"/>
        <w:spacing w:before="240" w:after="0"/>
        <w:jc w:val="left"/>
        <w:rPr>
          <w:rFonts w:ascii="Times New Roman" w:hAnsi="Times New Roman"/>
          <w:sz w:val="20"/>
        </w:rPr>
      </w:pPr>
      <w:r>
        <w:rPr>
          <w:rFonts w:ascii="Times New Roman" w:hAnsi="Times New Roman"/>
          <w:sz w:val="20"/>
        </w:rPr>
        <w:t xml:space="preserve">The Takeover Code also applies to all offers for public companies which have their registered office in the U.K., the Channel Islands or the Isle of Man if they are considered by the Panel on Takeovers and Mergers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our registered office is in the U.K., the Takeover Code does not currently apply to us because our shares are not admitted to trading on a regulated market or multilateral trading facility in the U.K. or any stock exchange in the Channel Islands or the Isle of Man, and the Takeover Panel has confirmed to us that, on the basis of the current residency of our directors as at the date of this prospectus, we will not have our place of central management and control in the U.K., the Channel Islands or the Isle of Man.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shareholders are not currently entitled to the benefit of certain takeover offer protections provided under the Takeover Code, including the rules regarding mandatory takeover bids and, therefore, holders of ADSs will not benefit from these protections.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Takeover Code provides a framework within which takeovers of companies are regulated and conducted. The following is a brief summary of some of the most important rules of the Takeover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 potential offer, if following an approach by or on behalf of a potential bidder, the company is the subject of rumor or speculation or there is an untoward movement 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companys share price, there is a requirement for the potential bidder to make a public announcement about a potential offer for the company, or for the company to make a public announcement about its receipt of a potential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person (a) acquires, whether by a series of transactions over a period of time or not, interests in shares carrying 30% or more of the voting rights of a company when taken together with shares in which persons acting in concert with that person are interested (which percentage is treated by the Takeover Code as the level at which effective control is obtained), or (b) acquires an interest in any other shares which increases the percentage of shares carrying voting rights in which they are interested when they are, together with persons acting in concert with them, already interested in shares which carry not less than 30% of the voting rights but do not hold shares carrying more than 50% of such voting rights, they must make a cash offer to all other shareholders at the highest price paid by them or any person acting in concert with them in the twelve months before the offer was announced.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interests in shares carrying 10% or more of the voting rights of a class have been acquired for cash by an offeror (i.e., a bidder) and any person acting in concert with it in the offer period (i.e., before the shares subject to the offer have been acquired) and the previous twelve months, the offer must be in cash or be accompanied by a cash alternative for all shareholders of that class at not less than the highest price paid by the offeror or any person acting in concert with it in that period. Further, if an offeror or any person acting in concert with it acquires for cash any interest in shares during the offer period, the offer for the shares must be in cash or accompanied by a cash alternative at a price at least equal to the highest price paid for such shares during the offer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a firm offer announcement is made, the offeror or any person acting in concert with it acquires an interest in shares in an offeree company (i.e., a target) at a price higher than the value of the offer, the offer must be increased to not less than the highest price paid for the interest in shares so acquired.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offeree company must appoint a competent independent adviser whose advice on the financial terms of the offer must be made known to all the shareholders, together with the opinion of the board of directors of the offeree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Favorable deals for selected shareholders are not permitted, except in certain circumstances where independent shareholder approval is given and the arrangements are regarded as fair and reasonable in the opinion of the financial adviser to the offeree.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shareholders must be given the same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issuing takeover circulars must include statements taking responsibility for the contents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Profit forecasts, quantified financial benefits statements and asset valuations must be made to specified standards and must be reported on by professional advisers.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Misleading, inaccurate or unsubstantiated statements made in documents or to the media must be publicly corrected immediately.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Stringent requirements are laid down for the disclosure of dealings in relevant securities during an offer, including the prompt disclosure of positions and dealings in relevant securities by the parties to an offer and any person who is interested (directly or indirectly) in 1% or more of any class of relevant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this Offering and Ownership of Our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There has been no prior market for our ordinary shares or the ADSs and an active, liquid and orderly trading market may not develop for our ADSs or be sustained following this offering, which could harm the market price of our ADSs and make it difficult for you to sell your ADSs.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there was no public trading market for our ordinary shares or ADSs. Although our ADSs are expected to be listed on Nasdaq, an active trading market for our ADSs may never develop or be sustained following this offering. You may not be able to sell your ADSs quickly or at the then-current market price if trading in our ADSs is not active. The initial public offering price was determined by negotiations among the lead underwriters, the selling shareholder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public offering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purchase price paid by SoftBank Group to acquire shares in Arm Limited from SoftBank Vision Fund may not be, and should not be treated as, indicative of the trading price of our ADSs following the completion of this offering.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a subsidiary of SoftBank Group acquired substantially all of SoftBank Vision Funds approximately 25% interest in Arm Limited at a purchase price of approximately $16.1 billion, with the associated payments to be made in installments over a two-year period. The purchase price for this transaction was established by reference to the terms of a prior contractual arrangement between the parties. Moreover, the transfer was part of a larger transaction that also involved transfers of certain other entities from SoftBank Vision Fund to SoftBank Group. The consideration for such transfers is not included in the purchase price paid for the shares of Arm Limited. In light of the foregoing, investors are cautioned that the purchase price paid in respect of the Arm Limited shares may not be indicative of, and is not intended to reflect, expectations regarding the trading price of our ADSs following the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exercise of registration rights by SoftBank Group may materially and adversely affect the market price of the ADSs.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Shareholder Governance Agreement, SoftBank Group and certain of its affiliates are entitled to certain registration rights pursuant to which they may demand that we register the resale of its ordinary shares or securities convertible into or exchangeable for ordinary shares (including ADSs) (Registrable Securities) and, under certain circumstances, will also have customary piggyback registration rights for its Registrable Securities in connection with certain registrations of securities by us. In addition, SoftBank Group or its relevant affiliates may require us to file and maintain an effective shelf registration statement under the Securities Act covering the resale of SoftBank Groups Registrable Securities. The registration of the resale of these securities will facilitate the public sale by SoftBank Group of such securities without regard to any limitations on the volume of securities that SoftBank Group may sell. In light of SoftBank Groups expected beneficial ownership of our ordinary shares after giving effect to this offering, the registration of the resale of a significant number of ADSs, or the perception that significant sales by SoftBank Group may occur, may have a material adverse effect on the market price of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existing shareholders, restrict our operations or cause us to relinquish valuable rights. </w:t>
      </w:r>
    </w:p>
    <w:p>
      <w:pPr>
        <w:pStyle w:val="TextBody"/>
        <w:bidi w:val="0"/>
        <w:spacing w:before="120" w:after="0"/>
        <w:jc w:val="left"/>
        <w:rPr>
          <w:rFonts w:ascii="Times New Roman" w:hAnsi="Times New Roman"/>
          <w:sz w:val="20"/>
        </w:rPr>
      </w:pPr>
      <w:r>
        <w:rPr>
          <w:rFonts w:ascii="Times New Roman" w:hAnsi="Times New Roman"/>
          <w:sz w:val="20"/>
        </w:rPr>
        <w:t xml:space="preserve">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of the securities may include liquidation or other preferences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may be senior to your rights as holder of ADSs. Any indebtedness we incur would result in increased payment obligations and could involve restrictive covenants, such as limitations on our ability to incur additional debt and other operating restrictions that could adversely impact our ability to conduct our business. Any debt or additional equity financing that we raise may contain terms that are not favorable to us or our shareholders.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collaborations, and alliances and licensing arrangements with third parties, we may have to relinquish valuable rights to our IP or products, or grant licenses on terms unfavorable to 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distribute rights to our shareholders, including rights to acquire our securities. However, we cannot make rights available to holders in the U.S. unless we register the offer and sale of the rights and the securities to which the rights relate under the Securities Act or an exemption from the registration requirements is available. Also, under the deposit agreement, the depositary bank will not make rights available to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to endeavor to cause such a registration statement to be declared effective or to establish an exemption from registration under the Securities Act. Accordingly, you may be unable to participate in such a rights offerings and may experience dilution in your holdings.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ADSs may be volatile, and you may not be able to resell your ADSs at or above the initial public offering price.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ADSs following this offering could be volatile. The stock market in general, and the market for technology companies in particular, has experienced extreme volatility that has often been unrelated to the operating performance of particular companies, and the trading price of our ADSs may be volatile due to factors beyond our control. As a result of this volatility, you may not be able to sell your ADSs at or above the initial public offering price. The market price for our ADSs may be influenced by many factors,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actual or anticipated annual or quarterly operating results or those of others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otherwise fail to meet the expectations of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earnings estimates or recommendations by securities analysts, or other changes in investor perceptions of the investment opportunity associated with our ordinary shares relative to other investment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semiconductor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publications, reports or other media exposure of our licensed products or those of others in our industry, or of our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shareholder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involving us or others in our industry, or actual or anticipated changes in applicable government regulations or enforcement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sustainability of an active trading market for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or anticipated sales, of large blocks of our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securities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discussed in this Risk Factors section and elsewhere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Broad market and industry factors may negatively affect the market price of our ADSs, regardless of our actual operating performance. Further, a decline in the financial markets and related factors beyond our control may cause the price of our ADSs to decline rapidly and unexpectedly. If the market price of our ADSs after the completion of this offering does not exceed the initial public offering price, you may not realize any return on your investment in us and may lose some or all of your investment. In the past, securities class action litigation has often been brought against a company following a decline in the market price of its securities. If we were to become involved in securities litigation, it could subject us to substantial costs, divert resources and the attention of management from our business and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our ADSs may be influenced by reports published by industry and equity research analysts.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ADSs will be influenced by the research and reports that industry or equity research analysts publish about us or our business. As a newly public company, the analysts who publish information about our ADSs will have had relatively little experience with us, which could affect their ability to accurately forecast our results and could make it more likely that we fail to meet their estimates. We will not have any control over the analysts content and opinions included in their reports. If any of the analysts who cover us issue an adverse or misleading opinion regarding us, our business model, financial performance, ADS price or otherwise, our ADS price would likely decline. If one or more of these analysts ceases coverage of our company or fails to regularly publish reports on us, we could lose visibility in the financial markets, which, in turn, could cause our ADS price or trading volume to decline and result in the loss of all or a part of your investment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Substantial future sales of ADSs in the public market, or the perception that these sales could occur, could cause the price of the ADSs to decline. </w:t>
      </w:r>
    </w:p>
    <w:p>
      <w:pPr>
        <w:pStyle w:val="TextBody"/>
        <w:bidi w:val="0"/>
        <w:spacing w:before="120" w:after="0"/>
        <w:jc w:val="left"/>
        <w:rPr>
          <w:rFonts w:ascii="Times New Roman" w:hAnsi="Times New Roman"/>
          <w:sz w:val="20"/>
        </w:rPr>
      </w:pPr>
      <w:r>
        <w:rPr>
          <w:rFonts w:ascii="Times New Roman" w:hAnsi="Times New Roman"/>
          <w:sz w:val="20"/>
        </w:rPr>
        <w:t xml:space="preserve">If our existing shareholders sell, or indicate an intention to sell, substantial amounts of our ADSs in the public market after the lockup and other legal restrictions on resale discussed in this prospectus lapse, the trading price of our ADSs could decline. Upon completion of this offering, we will have                  ordinary shares outstanding. Of these shares, only the shares represented by ADSs sold in this offering by the selling shareholder, plus any shares represented by ADSs sold upon the exercise of the underwriters option to purchase additional ADSs, will be freely tradable without restriction in the public market immediately following this offering. In connection with this offering, our officers, directors and the selling shareholder have agreed to be subject to a contractual lock-up with the underwriters, which will expire after the end of a lock-up period, described in the sections titled Ordinary Shares and ADSs Eligible for Future Sale and Underwriting. If, upon the expiration of the lock-up period, or under any enforcement pursuant to certain exceptions to the lock-up agreements, these shareholders sell substantial amounts of our ADSs in the public market or engage in financing transactions involving our ADSs or ordinary shares, or the market perceives that such transactions may occur, the market price of our ADSs and our ability to raise capital through an issue of equity securities in the future could be adversely affected. In addition, in the case of non-payment at maturity or another event of default, the providers of the New SoftBank Group Facility may exercise their rights to foreclose on and sell or cause the sale of our shares that may be pledged as collateral. If such shares are sold, then the market price of our ADSs could be adversely affected. In the future, SoftBank Group may transfer a portion of its holdings in us to one or more of its affiliates or affiliated investment funds. Such affiliates or affiliated investment funds may have different investment strategies and interests and may decide to sell their holdings to third parties even if SoftBank Group intends to continue to hold the remainder of its holdings.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lock-up agreements contain important exceptions that govern their applicability, including, with respect to the selling shareholder, any action necessary or appropriate for the purposes of pledging, charging or granting any lien, mortgage or other security interest with respect to the ordinary shares to secure the New SoftBank Group Facility for the benefit of the lenders thereunder and any subsequent transfer pursuant to any foreclosure or enforcement of the security by the lenders; provided that any buyer upon such foreclosure or enforcement will be obligated to sign the lock-up agreement for the remaining term of the lock-up. See Ordinary Shares and ADSs Eligible for Future SaleLock-up Agreements. Moreover, the representatives of the underwriters may, in their sole discretion, permit our officers, directors and other shareholders who are subject to these lock-up agreements to sell shares prior to the expiration of the lock-up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ADSs are not treated as holders of our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By participating in this offering you will become a holder of ADSs with underlying ordinary shares in a company incorporated under the laws of England and Wales. Holders of ADSs are not treated as holders of our ordinary shares, unless they withdraw the ordinary shares underlying their ADSs in accordance with the deposit agreement and applicable laws and regulations. The depositary, the custodian or their nominee will be the holder of the ordinary shares underlying the ADSs. Holders of ADSs therefore do not have any rights as holders of our ordinary shares, other than the rights that they have pursuant to the deposit agreement. See Description of American Depositary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ADSs may be subject to limitations on the transfer of their ADSs and the withdrawal of the underlying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depositary for our ADSs is entitled to charge holders fees for various services, including annual ADS service fees.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for our ADSs is entitled to charge ADS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ADS service fees. In the case of ADSs issued by the depositary into the DTC, the fees will be charged by the DTC participants to the account of the applicable beneficial owners of ADSs in accordance with the procedures and practices of the DTC participants as in effect at the time. See Risks Relating to Our Status as a Controlled Company and Foreign Private IssuerUnder current law, transfers of ordinary shares outside the ADR program and the redeposit of ordinary shares into the ADR program will generally be subject to U.K. stamp duty or stamp duty reserve tax and the law may change to cover other transactions, including transactions in ADSs, which would increase the cost of dealing in ordinary shares or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You will not have the same voting rights as the holders of our ordinary shares and may not receive voting materials in time to be able to exercise your right to vote.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prospectus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have a right to vote unless they withdraw the ordinary shares underlying their ADSs to vote them in person or by proxy in accordance with applicable laws and regulations and the Articles.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ADS holders a shareholder meeting notice that contains, among other things, a statement as to the manner in which voting instructions may be given to the depositary.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the Articles.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be able to vote in person or by proxy and they may not have any recourse against the depositary or us if the ordinary shares underlying their ADSs are not voted as they have requested or if such ordinary shares cannot be voted.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entitled to amend the deposit agreement and to change the rights of ADS holders under the terms of such agreement, or to terminate the deposit agreement, without the prior consent of the ADS holders. </w:t>
      </w:r>
    </w:p>
    <w:p>
      <w:pPr>
        <w:pStyle w:val="TextBody"/>
        <w:bidi w:val="0"/>
        <w:spacing w:before="120" w:after="0"/>
        <w:jc w:val="left"/>
        <w:rPr>
          <w:rFonts w:ascii="Times New Roman" w:hAnsi="Times New Roman"/>
          <w:sz w:val="20"/>
        </w:rPr>
      </w:pPr>
      <w:r>
        <w:rPr>
          <w:rFonts w:ascii="Times New Roman" w:hAnsi="Times New Roman"/>
          <w:sz w:val="20"/>
        </w:rPr>
        <w:t xml:space="preserve">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materially disadvantageous to ADS holders or terminate the deposit agreement, the ADS holders may choose to sell their ADSs or surrender their ADSs and become direct holders of the underlying ordinary shares, but will have no right to any compensation whatsoever.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ADS holders may not be entitled to a jury trial with respect to claims arising under the deposit agreement, which could result in less favorable outcomes to the plaintiff(s) in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any ADRs or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it our understanding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agreeing to be a party to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 </w:t>
      </w:r>
    </w:p>
    <w:p>
      <w:pPr>
        <w:pStyle w:val="TextBody"/>
        <w:bidi w:val="0"/>
        <w:spacing w:before="240" w:after="0"/>
        <w:jc w:val="left"/>
        <w:rPr>
          <w:rFonts w:ascii="Times New Roman" w:hAnsi="Times New Roman"/>
          <w:sz w:val="20"/>
        </w:rPr>
      </w:pPr>
      <w:r>
        <w:rPr>
          <w:rFonts w:ascii="Times New Roman" w:hAnsi="Times New Roman"/>
          <w:sz w:val="20"/>
        </w:rPr>
        <w:t xml:space="preserve">No condition, stipulation or provision of the deposit agreement or ADRs serves as a waiver by any holder or beneficial owner of ADSs or by us or the depositary of compliance with any substantive provision of the U.S. federal securities laws and the rules and regulations promulgated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deposit agreement expressly limits our and the depositarys obligations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expressly limits our obligations and liabilities as well as those of the depositary. See Description of American Depositary SharesLimitations on Obligations and Liabilities. Such limitations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are obligated only to take the actions specifically stated in the deposit agreement without negligence or bad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disclaims any liability for any failure to carry out voting instructions, for any manner in which a vote is cast or for the effect of any vote, provided it acts in good faith and without negligence and in accordance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will not be obligated to perform any act that is inconsistent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disclaim any liability by reason of any exercise of, or failure to exercise, any discretion provided for in the deposit agreement or in the Articles or in any provisions of or governing the securities on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liability for the inability by a holder to benefit from any distribution, offering, right or other benefit that is made available to holders of ordinary shares but is not, under the terms of the deposit agreement, made available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any liability for any action or inaction of any clearing or settlement system (and any participant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may rely without any liability upon any written notice, request or other document believed to be genuine and to have been signed or presented by the proper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liability for any consequential or punitive damages for any breach of the terms of the deposit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of the deposit agreement limit the ability of ADS holders to obtain recourse if we or the depositary fail to meet our respective obligations under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in the deposit agreement gives rise to a partnership or joint venture, or establishes a fiduciary relationship, among us, the depositary and you as ADS holder. </w:t>
      </w:r>
    </w:p>
    <w:p>
      <w:pPr>
        <w:pStyle w:val="TextBody"/>
        <w:bidi w:val="0"/>
        <w:spacing w:before="240" w:after="0"/>
        <w:jc w:val="left"/>
        <w:rPr>
          <w:rFonts w:ascii="Times New Roman" w:hAnsi="Times New Roman"/>
          <w:sz w:val="20"/>
        </w:rPr>
      </w:pPr>
      <w:r>
        <w:rPr>
          <w:rFonts w:ascii="Times New Roman" w:hAnsi="Times New Roman"/>
          <w:sz w:val="20"/>
        </w:rPr>
        <w:t xml:space="preserve">Furthermore, 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distributions on our ordinary shares represented by the ADSs or any value for them if it is illegal or impractical to make them available to holders of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for the ADSs has agreed to pay to you the cash dividends or other distributions it or the custodian receives on our ordinary shares or other deposited securities after deducting its fees and expenses, and any taxes.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ordinary shares in the foreseeable future, capital appreciation, if any, will be your sole source of gains and you may never receive a return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Under English law, a companys accumulated realized profits, to the extent they have not been previously utilized by distribution or capitalization, must exceed its accumulated realized losses, to the extent that they have not been previously written off in a reduction or reorganization of capital duly made (on a non-consolidated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basis), before dividends can be paid. Therefore, we must have distributable profits before issuing a dividend.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 </w:t>
      </w:r>
    </w:p>
    <w:p>
      <w:pPr>
        <w:pStyle w:val="TextBody"/>
        <w:bidi w:val="0"/>
        <w:spacing w:before="240" w:after="0"/>
        <w:jc w:val="left"/>
        <w:rPr>
          <w:rFonts w:ascii="Times New Roman" w:hAnsi="Times New Roman"/>
          <w:sz w:val="20"/>
        </w:rPr>
      </w:pPr>
      <w:r>
        <w:rPr>
          <w:rFonts w:ascii="Times New Roman" w:hAnsi="Times New Roman"/>
          <w:sz w:val="20"/>
        </w:rPr>
        <w:t xml:space="preserve">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initial public offering price. Investors seeking cash dividends should not purchase our ADSs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of U.S. civil liabilities may not be enforceable against us.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England and Wales and have our registered office in England. The U.S. and the U.K. do not currently have a treaty providing for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English courts would entertain original actions brought in England and Wales against us or our directors or senior management predicated upon the securities laws of the U.S. or any state in the U.S. Any final and conclusive monetary judgment for a definite sum obtained against us in U.S. courts would be treated by English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U.S. investors may not be able to enforce against us or our senior management, Board of Directors or certain experts named herein who are residents of the U.K. or countries other than the U.S. any judgments obtained in U.S. courts in civil and commercial matters, including judgments under the U.S. federal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requirements of being a public company may strain our resources, divert managements attention, and affect our ability to attract and retain qualified members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be subject to the reporting requirements of the Exchange Act, the Sarbanes-Oxley Act, the listing requirements of Nasdaq, on which our ADSs will trade,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already hired additional employees to comply with these requirements, we may need to hire more employees in the future, which will increase our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changing laws, regulations, and standards relating to corporate governance and public disclosure are creating uncertainty for public companies, increasing legal and financial compliance costs and making some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We also expect that being a public company combined with these new rules and regulations will make it more expensive for us to obtain director and officer liability insurance, and we may be required to accept reduced coverage or incur substantially higher costs to obtain coverage. These factors also could make it more difficult for us to attract and retain qualified senior management and members of our Board of Directors, particularly to serve on our audit committee and remuneration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materially harm our business, operating results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U.S. and U.K. Tax Regimes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(or one of our non-U.S. subsidiaries is) a controlled foreign corporation (a CFC), there could be adverse U.S. federal income tax consequences to certain U.S. investors. </w:t>
      </w:r>
    </w:p>
    <w:p>
      <w:pPr>
        <w:pStyle w:val="TextBody"/>
        <w:bidi w:val="0"/>
        <w:spacing w:before="120" w:after="0"/>
        <w:jc w:val="left"/>
        <w:rPr>
          <w:rFonts w:ascii="Times New Roman" w:hAnsi="Times New Roman"/>
          <w:sz w:val="20"/>
        </w:rPr>
      </w:pPr>
      <w:r>
        <w:rPr>
          <w:rFonts w:ascii="Times New Roman" w:hAnsi="Times New Roman"/>
          <w:sz w:val="20"/>
        </w:rPr>
        <w:t xml:space="preserve">Generally, if a U.S. investor is treated as owning, directly, indirectly or constructively, at least 10% of either the total value or total combined voting power of our stock, such U.S. investor may be treated as a United States shareholder with respect to each CFC in our group, if any, for U.S. federal income tax purposes. A non-U.S. corporation will generally be classified as a CFC for U.S. federal income tax purposes if United States shareholders own, directly, indirectly or constructively, more than 50% of either the total value or the total combined voting power of the stock of such corporation. Because SoftBank Group currently owns, and immediately after this offering will continue to own, more than 50% of our ordinary shares, we will be a CFC at the time of this offering or in the future if SoftBank Group owns, directly or indirectly, 50% or more (by value) of the stock of a U.S. subsidiary. In addition, because our group includes U.S. subsidiaries, our current non-U.S. subsidiaries and potentially any future newly formed or acquired non-U.S. subsidiaries generally will be treated as CFCs, regardless of whether we are treated as a CFC. A United States shareholder of a CFC may be required to annually report and include in its U.S. taxable income its pro rata share of Subpart F income, global intangible low-taxed income and investments of earnings in U.S. property, regardless of whether such CFC makes any distributions to its shareholders. Additionally, an individual that is a United States shareholder with respect to a CFC generally would not be allowed certain tax deductions or foreign tax credits that would be allowed to a United States shareholder that is a U.S. corporation. Failure to comply with CFC reporting obligations may also subject a United States shareholder to significant monetary penalties and may prevent the statute of limitations with respect to such United States shareholders U.S. federal income tax return for the year for which reporting was due from expiring. We cannot provide any assurances that we will furnish to any United States shareholder information that may be necessary to comply with the reporting and tax paying obligations applicable under the CFC rules of the Internal Revenue Code of 1986, as amended (the Code), and the United States Internal Revenue Service (the IRS) has provided only limited guidance on situations in which investors may rely on publicly available information to comply with their reporting and tax paying obligations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foreign-controlled CFCs. U.S. investors should consult their tax advisors regarding the potential application of these rules to their investment in our ordinary shares or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a passive foreign investment company (a PFIC) for any taxable year, there could be adverse U.S. federal income tax consequences to U.S. investors. </w:t>
      </w:r>
    </w:p>
    <w:p>
      <w:pPr>
        <w:pStyle w:val="TextBody"/>
        <w:bidi w:val="0"/>
        <w:spacing w:before="120" w:after="0"/>
        <w:jc w:val="left"/>
        <w:rPr>
          <w:rFonts w:ascii="Times New Roman" w:hAnsi="Times New Roman"/>
          <w:sz w:val="20"/>
        </w:rPr>
      </w:pPr>
      <w:r>
        <w:rPr>
          <w:rFonts w:ascii="Times New Roman" w:hAnsi="Times New Roman"/>
          <w:sz w:val="20"/>
        </w:rPr>
        <w:t xml:space="preserve">In general, we will be a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(including cash and cash equivalents). For purposes of these tests, passive income generally includes, among other things, dividends, interest, gains from certain sales or exchanges of investment property and certain rents and royalties. If we are a PFIC for any taxable year during which a U.S. investor holds our shares, we will generally continue to be treated as a PFIC with respect to such U.S. investor for all succeeding taxable years during which such U.S. investor holds our ordinary shares or ADSs, even if we cease to meet the threshold requirements for PFIC status. Such U.S. investor may be subject to adverse tax consequences with respect to our ordinary shares or ADSs, including ineligibility for any preferential tax rates on capital gains or on actual or deemed dividends, interest charges on certain taxes treated as deferred and additional reporting requirements. We cannot provide any assurance that we will furnish to such U.S. investor information that may be necessary to comply with the reporting and tax paying obligations applicable under the PFIC rules of the Code. Such U.S. investor should consult its tax advisors regarding the potential application of these rules to their investment in our ordinary shares or ADSs.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value of our assets and the nature and composition of our income and assets, we expect that we will not be classified as a PFIC for the taxable year ended March 31, 2023, although no assurances can be made in this regard. However, the determination of whether we are a PFIC is a fact-intensive determination made on an annual basis applying principles and methodologies that in some circumstances are unclear and subject to varying interpretation. For instance, for our current and future taxable years, the total value of our assets (including goodwill) for PFIC testing purposes may be determined in part by reference to the market price of our ordinary shares or ADSs from time to time, which may fluctuate considerably. If our market capitalization declines while we hold a substantial amount of cash and cash 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and that the IRS would not successfully challenge our position. </w:t>
      </w:r>
    </w:p>
    <w:p>
      <w:pPr>
        <w:pStyle w:val="TextBody"/>
        <w:bidi w:val="0"/>
        <w:spacing w:before="240" w:after="0"/>
        <w:jc w:val="left"/>
        <w:rPr>
          <w:rFonts w:ascii="Times New Roman" w:hAnsi="Times New Roman"/>
          <w:sz w:val="20"/>
        </w:rPr>
      </w:pPr>
      <w:r>
        <w:rPr>
          <w:rFonts w:ascii="Times New Roman" w:hAnsi="Times New Roman"/>
          <w:sz w:val="20"/>
        </w:rPr>
        <w:t xml:space="preserve">For further discussion of the PFIC rules and the adverse U.S. federal income tax consequences in the event we are classified as a PFIC, as well as certain elections that may be available to U.S. investors, see the section of this prospectus titled Material Tax ConsiderationsMaterial U.S. Federal Income Tax Considerations for U.S. HoldersPassive Foreign Investment Company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and uncertainties in the tax system in the countries in which we have operations, could materially adversely affect our financial condition and results of operations, and reduce net returns to our shareholders.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globally and file income tax returns in multiple jurisdictions. Our consolidated effective income tax rate, and the tax treatment of our ADSs and ordinary shares, could be materially adversely affected by several factors, including: changing tax laws, regulations and treaties, or the interpretation thereof; tax policy initiatives and reforms under consideration (such as those related to the Inclusive Framework (as defined below), the European Commissions state aid investigations and other initiatives); the practices of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authorities in jurisdictions in which we operate; and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 or the stamp duty or SDRT treatment of our ADSs or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Organisation for Economic Co-Operation and Development (OECD) and the G20 Inclusive Framework on Base Erosion and Profit Shifting (the Inclusive Framework) have put forth two proposalsPillar One and Pillar Twothat revise the existing profit allocation and nexus rules and ensure a minimal level of taxation, respectively. In July 2023, the U.K. enacted legislation to implement the OECD framework for Pillar 2, part of which will apply effectively from January 1, 2024. Other countries are also actively considering changes to their tax laws to adopt certain parts of the Inclusive Frameworks proposals. As this framework is subject to further negotiation and implementation by each member country, the timing and ultimate impact of any such changes on our tax obligations are uncertain. These changes, if enacted into law, could have an adverse impact on our effective tax rate, income tax expense and cash flows. We are continuing to monitor legislative developments and are in the process of evaluating the potential impact of the U.K. and other legislation on our financial position, future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provision for income taxes is reasonable, but the ultimate tax outcome may differ from the amounts recorded in our financial statements and may materially affect our financial results in the period or periods in which such outcome is determined.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financial statements,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Additionally, our future tax liability could be impacted by changes in accounting principles or changes in applicable tax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periodically restructure our legal entities and if taxing authorities were to disagree with our tax positions in connection with any such restructurings, our tax liability could be materially affected. In connection with any restructuring we could also incur additional charges associated with consulting fees and other charges. </w:t>
      </w:r>
    </w:p>
    <w:p>
      <w:pPr>
        <w:pStyle w:val="TextBody"/>
        <w:bidi w:val="0"/>
        <w:spacing w:before="240" w:after="0"/>
        <w:jc w:val="left"/>
        <w:rPr>
          <w:rFonts w:ascii="Times New Roman" w:hAnsi="Times New Roman"/>
          <w:sz w:val="20"/>
        </w:rPr>
      </w:pPr>
      <w:r>
        <w:rPr>
          <w:rFonts w:ascii="Times New Roman" w:hAnsi="Times New Roman"/>
          <w:sz w:val="20"/>
        </w:rPr>
        <w:t xml:space="preserve">We carry out extensive research and development activities, and as a result, we benefit in the U.K. from the research and development expenditure credit (RDEC) regime, which provides relief against U.K. corporation tax. Broadly, RDEC provides a tax credit currently equal to 20% of qualifying research and development expenditure incurred from April 1, 2023 (the rate was previously 13% of qualifying research and development expenditure incurred from April 1, 2020 to March 31, 2023) by certain companies where certain criteria are met. To the extent a company cannot utilize the RDEC against U.K. corporation tax then certain rules apply that allow the RDEC to, among other things, reduce the tax liability of certain specified taxes (for example, value added tax or employee taxes), or be surrendered to a group company, and to the extent it is not possible to utilize the RDEC in full, then the net tax credit is paid to the company by HMRC in cash. Between January 2023 and March 2023, the U.K. government ran a consultation on the design of a single, simplified R&amp;D tax relief scheme, expected to be based on the RDEC scheme, which would merge the existing RDEC and small and medium-sized enterprise R&amp;D relief. The U.K. government is considering the responses and no decision has yet been made. We expect that, if implemented, the new scheme will be in place for expenditures incurred after April 1, 2024. </w:t>
      </w:r>
    </w:p>
    <w:p>
      <w:pPr>
        <w:pStyle w:val="TextBody"/>
        <w:bidi w:val="0"/>
        <w:spacing w:before="240" w:after="0"/>
        <w:jc w:val="left"/>
        <w:rPr>
          <w:rFonts w:ascii="Times New Roman" w:hAnsi="Times New Roman"/>
          <w:sz w:val="20"/>
        </w:rPr>
      </w:pPr>
      <w:r>
        <w:rPr>
          <w:rFonts w:ascii="Times New Roman" w:hAnsi="Times New Roman"/>
          <w:sz w:val="20"/>
        </w:rPr>
        <w:t xml:space="preserve">We also benefit from the U.K.s patent box regime, which allows certain profits attributable to revenues from patented products (and other qualifying income) to be taxed at an effective corporation tax rate of 10%. </w:t>
      </w:r>
    </w:p>
    <w:p>
      <w:pPr>
        <w:pStyle w:val="TextBody"/>
        <w:bidi w:val="0"/>
        <w:spacing w:before="240" w:after="0"/>
        <w:jc w:val="left"/>
        <w:rPr>
          <w:rFonts w:ascii="Times New Roman" w:hAnsi="Times New Roman"/>
          <w:sz w:val="20"/>
        </w:rPr>
      </w:pPr>
      <w:r>
        <w:rPr>
          <w:rFonts w:ascii="Times New Roman" w:hAnsi="Times New Roman"/>
          <w:sz w:val="20"/>
        </w:rPr>
        <w:t xml:space="preserve">If, however, there are unexpected adverse changes to the RDEC or the patent box regime (including any such changes which result from the U.K. governments response to its consultation on the design of a single, simplified R&amp;D tax relief scheme), or for any reason we are unable to qualify for such tax incentives, then our business, results of operations and financial condition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rom393891_11"/>
      <w:bookmarkEnd w:id="13"/>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reflect our plans, beliefs, expectations and current views with respect to, among other things, future events and financial performance. The forward-looking statements appear in a number of places in this prospectus, including, but not limited to, the sections titled Prospectus Summary, Risk Factors, Managements Discussion and Analysis of Financial Condition and Results of Operations and Business.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contained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including our expectations regarding our revenues, cost of sales, gross profit, operating expenses and other operating results, as well as our ability to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the semiconductor and electronics industries and the demand for the products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the compatibility of our products with the manufacturing and design processes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to market and sell chips and end products incorporating our products, as well as add value to our licensed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a limited number of customers for a significant portion of our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new customers and sell additional products to our existing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any of our senior management personnel or one or more key employees or our inability to attract and retain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adequately fund our research and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availability of development tools, systems software, EDA tools and operating systems compatible with our architecture;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proprietary products and our brand, and the costs of protecting such IP rights, particularly as a result of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 and unpredictability of our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verify royalty amounts owed to us under our licensing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foreign exchange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effective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organic growth or growth from strategic investments or acquisitions we make, and the risk of failing to effectively manage our growth;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slow development of the market for our connectivity, device and data management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cyberattacks, breaches of our security controls and unauthorized access to our data or a customers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data protection, security, privacy or other government- and industry-specific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interests of SoftBank Group conflicting with the interests of other holders of our ordinary shares and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global general economic conditions, political factors, war or hostility, pandemics and other events outside of our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relating to our financial condition and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the manner that we anticipate, in any specified time frame, or at all. We undertake no obligation to publicly update any forward-looking statements, whether as a result of new information, future events or otherwise, except as required by law, applicable regulations or the rules of any stock exchange to which we are subject.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rom393891_12"/>
      <w:bookmarkEnd w:id="1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the ADSs by the selling shareholder (including any proceeds from any sale of ADSs pursuant to the underwriters option to purchase additional ADSs from the selling shareholder). All net proceeds from the sale of ADSs in this offering will go to the selling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rom393891_13"/>
      <w:bookmarkEnd w:id="1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intend to retain any earnings for use in our business and do not currently intend to pay dividends on our ordinary shares or ADSs. The declaration and payment of any future dividends will be at the discretion of our Board of Directors and will depend upon our results of operations, cash requirements, financial condition, contractual restrictions, any future debt agreements or applicable laws and other factors that our Board of Directors may deem relevant. See the section titled Risk FactorsRisks Relating to this Offering and Ownership of Our SecuritiesBecause we do not anticipate paying any cash dividends on our ordinary shares in the foreseeable future, capital appreciation, if any, will be your sole source of gains and you may never receive a return on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Under the laws of England and Wales, among other things, we may only pay dividends if we have sufficient distributable reserves (as determined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rom393891_14"/>
      <w:bookmarkEnd w:id="16"/>
      <w:r>
        <w:rPr>
          <w:rFonts w:ascii="Times New Roman" w:hAnsi="Times New Roman"/>
          <w:b/>
          <w:sz w:val="20"/>
        </w:rPr>
        <w:t xml:space="preserve">CORPORATE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On April 9, 2018, Arm Holdings Limited was incorporated as a wholly-owned subsidiary of Arm Limited under the laws of England and Wales with nominal assets and liabilities, contingencies and commitments. After consummating the corporate reorganization described herein, including the re-registration of Arm Holdings Limited as a public limited company, Arm Holdings plc became the ultimate holding company for Arm Limited. Arm Limited in turn was incorporated as a private company with limited liability under the laws of England and Wales on November 12, 1990. </w:t>
      </w:r>
    </w:p>
    <w:p>
      <w:pPr>
        <w:pStyle w:val="TextBody"/>
        <w:bidi w:val="0"/>
        <w:spacing w:before="240" w:after="0"/>
        <w:jc w:val="left"/>
        <w:rPr>
          <w:rFonts w:ascii="Times New Roman" w:hAnsi="Times New Roman"/>
          <w:sz w:val="20"/>
        </w:rPr>
      </w:pPr>
      <w:r>
        <w:rPr>
          <w:rFonts w:ascii="Times New Roman" w:hAnsi="Times New Roman"/>
          <w:sz w:val="20"/>
        </w:rPr>
        <w:t xml:space="preserve">Arm Holdings plc is a holding company which, since formation, has not conducted any operations other than activities incidental to the maintenance of its legal existence, the corporate reorganization and this offering. Investors in this offering will only acquire, and this prospectus only describes the offering of, ADSs representing ordinary shares of Arm Holdings plc. Ordinary shares of Arm Holdings plc will not be offered to investors as part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corporate reorganization took place in several steps, all of which were completed prior to the completion of this offering. We refer to these steps, which are discussed below, as our corporate reorganization.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Articles of Association of, and First Reorganization of Share Capital of, Arm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On             , 2023, Arm Holdings Limited amended its articles of association to permit its merger reserve to legally be used to pay up the shares allotted as a bonus issue, and to allow the creation of a new class of deferred shares (which carry no or extremely limited voting rights, and no right to share in the income or capital of Arm Holdings Limited). On             , 2023, Arm Holdings Limited undertook a reorganization of its share capital to sub-divide its share capital of 100 ordinary shares of £1.00 each into 100,000 ordinary shares of £0.001 each.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 of Ordinary Shares of Arm Holdings Limited by Arm Limited </w:t>
      </w:r>
    </w:p>
    <w:p>
      <w:pPr>
        <w:pStyle w:val="TextBody"/>
        <w:bidi w:val="0"/>
        <w:spacing w:before="120" w:after="0"/>
        <w:jc w:val="left"/>
        <w:rPr>
          <w:rFonts w:ascii="Times New Roman" w:hAnsi="Times New Roman"/>
          <w:sz w:val="20"/>
        </w:rPr>
      </w:pPr>
      <w:r>
        <w:rPr>
          <w:rFonts w:ascii="Times New Roman" w:hAnsi="Times New Roman"/>
          <w:sz w:val="20"/>
        </w:rPr>
        <w:t xml:space="preserve">On             , 2023, Arm Limited distributed 100,000 ordinary shares of £0.001 each in the capital of Arm Holdings Limited (such number of shares together constituting 100% of the ordinary shares of Arm Holdings Limited) to Kronos II LLC, Arm Limiteds majority shareholder immediately prior to the distribution. We refer to the shares of Arm Holdings Limited distributed to Kronos II LLC as the Dividend Shares.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 Ordinary Shares of Arm Limited for Shares of Arm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distribution of the Dividend Shares, on             , 2023, Kronos II LLC transferred its entire shareholding in the capital of Arm Limited, being 1,025,233,999 ordinary shares of £0.001 each, to Arm Holdings Limited in exchange for receiving 1,025,133,999 newly issued ordinary shares of £0.001 each in the capital of Arm Holdings Limited, and SVF HoldCo (UK) Limited transferred its entire shareholding in the capital of Arm Limited, being one ordinary share of £0.001, to Arm Holdings Limited in exchange for receiving one newly issued ordinary share of £0.001 in the capital of Arm Holdings Limited. We refer to this as the Share Exchange. Following the Share Exchange, the former holders of shares in Arm Limited now hold shares in Arm Holdings Limited of the same class and in the same proportions as their previous shareholdings in Arm Limited. Arm Limited became a wholly-owned subsidiary of Arm Holdings Limited as a result of the Share Exchange. As a result of the Share Exchange, an English company law merger reserve in Arm Holdings Limited was created. </w:t>
      </w:r>
    </w:p>
    <w:p>
      <w:pPr>
        <w:pStyle w:val="TextBody"/>
        <w:bidi w:val="0"/>
        <w:spacing w:before="360" w:after="0"/>
        <w:jc w:val="left"/>
        <w:rPr>
          <w:rFonts w:ascii="Times New Roman" w:hAnsi="Times New Roman"/>
          <w:b/>
          <w:sz w:val="20"/>
        </w:rPr>
      </w:pPr>
      <w:r>
        <w:rPr>
          <w:rFonts w:ascii="Times New Roman" w:hAnsi="Times New Roman"/>
          <w:b/>
          <w:sz w:val="20"/>
        </w:rPr>
        <w:t xml:space="preserve">First Bonus Issue of Arm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Share Exchange, on             , 2023, Arm Holdings Limited capitalized a portion of the amount standing to the credit of its merger reserve and applied such sums in paying up in full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ordinary shares to its shareholders, which we refer to as the First Bonus Issue. The First Bonus Issue was effected by the issuance of                 ordinary shares of £0.001 each to Kronos II LLC and                      ordinary shares of £0.001 each to SVF HoldCo (UK) Limited, in proportion to their shareholdings in Arm Holdings Limited. We refer to the shares issued pursuant to the First Bonus Issue as the First Bonus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Reduction of Capital of Arm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First Bonus Issue, on             , 2023, Arm Holdings Limited reduced its share capital by way of the cancellation of all of the First Bonus Shares pursuant to Part 17 of the Companies Act in order to create distributable reserves, which we refer to as the Capital Reduction. Immediately after the Capital Reduction, Kronos II LLC and SVF HoldCo (UK) Limited held 1,025,233,999 ordinary shares of £0.001 each, which we refer to as the Post-Reduction Shares, and one ordinary share of £0.001, respectively, in the capital of Arm Holdings Limited. As a result of the cancellation of all the First Bonus Shares, English company law distributable reserves in Arm Holdings Limited were created. </w:t>
      </w:r>
    </w:p>
    <w:p>
      <w:pPr>
        <w:pStyle w:val="TextBody"/>
        <w:bidi w:val="0"/>
        <w:spacing w:before="360" w:after="0"/>
        <w:jc w:val="left"/>
        <w:rPr>
          <w:rFonts w:ascii="Times New Roman" w:hAnsi="Times New Roman"/>
          <w:b/>
          <w:sz w:val="20"/>
        </w:rPr>
      </w:pPr>
      <w:r>
        <w:rPr>
          <w:rFonts w:ascii="Times New Roman" w:hAnsi="Times New Roman"/>
          <w:b/>
          <w:sz w:val="20"/>
        </w:rPr>
        <w:t xml:space="preserve">Second Bonus Issue of Arm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Capital Reduction, on             , 2023, Arm Holdings Limited capitalized the remaining amount standing to the credit of its merger reserve and applied such sums in paying up in full new ordinary shares, which we refer to as the Second Bonus Issue. The Second Bonus Issue was effected by the issuance of 1,025,233,999 ordinary shares of £0.001 each to National City Nominees Limited as the nominee for Citibank, N.A.  London Branch pursuant to the direction of Kronos II LLC. </w:t>
      </w:r>
    </w:p>
    <w:p>
      <w:pPr>
        <w:pStyle w:val="TextBody"/>
        <w:bidi w:val="0"/>
        <w:spacing w:before="360" w:after="0"/>
        <w:jc w:val="left"/>
        <w:rPr>
          <w:rFonts w:ascii="Times New Roman" w:hAnsi="Times New Roman"/>
          <w:b/>
          <w:sz w:val="20"/>
        </w:rPr>
      </w:pPr>
      <w:r>
        <w:rPr>
          <w:rFonts w:ascii="Times New Roman" w:hAnsi="Times New Roman"/>
          <w:b/>
          <w:sz w:val="20"/>
        </w:rPr>
        <w:t xml:space="preserve">Second Reorganization of Share Capital of Arm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completion of the Second Bonus Issue, on             , 2023, Arm Holdings Limited undertook a second reorganization of its share capital to re-designate all of the Post-Reduction Shares as deferred shares of £0.001 each on a one-for-one basis, which we refer to as the Second Reorganization of Share Capital. On             , 2023, Arm Holdings Limited repurchased these deferred shares for nominal consideration and cancelled such deferred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Re-registration of Arm Holdings Limited as a Public Limited Company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Second Reorganization of Share Capital, on             , 2023, Arm Holdings Limited re-registered as a public limited company under the laws of England and Wales and changed its name from Arm Holdings Limited to Arm Holdings plc. </w:t>
      </w:r>
    </w:p>
    <w:p>
      <w:pPr>
        <w:pStyle w:val="TextBody"/>
        <w:bidi w:val="0"/>
        <w:spacing w:before="240" w:after="0"/>
        <w:jc w:val="left"/>
        <w:rPr>
          <w:rFonts w:ascii="Times New Roman" w:hAnsi="Times New Roman"/>
          <w:sz w:val="20"/>
        </w:rPr>
      </w:pPr>
      <w:r>
        <w:rPr>
          <w:rFonts w:ascii="Times New Roman" w:hAnsi="Times New Roman"/>
          <w:sz w:val="20"/>
        </w:rPr>
        <w:t xml:space="preserve">Certain special resolutions passed by the shareholders of Arm Holdings Limited approved the re-registration as a public limited company, the name change to Arm Holdings plc and the adoption of new articles of association for Arm Holdings plc appropriate for a public limited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rom393891_15"/>
      <w:bookmarkEnd w:id="17"/>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June 30,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derived from our unaudited financial statements included elsewhere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to give effect to the corporate reorganization and the vesting of equity awards in connection with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information together with our financial statements and related notes appearing elsewhere in this prospectus and the information set forth under the sections titled Presentation of Financial and Other Information and Managements Discussion and Analysis of Financial Condition and Results of Operations.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324"/>
        <w:gridCol w:w="432"/>
        <w:gridCol w:w="191"/>
        <w:gridCol w:w="765"/>
        <w:gridCol w:w="81"/>
        <w:gridCol w:w="466"/>
        <w:gridCol w:w="131"/>
        <w:gridCol w:w="1119"/>
        <w:gridCol w:w="63"/>
      </w:tblGrid>
      <w:tr>
        <w:trPr/>
        <w:tc>
          <w:tcPr>
            <w:tcW w:w="5324"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4"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753" w:type="dxa"/>
            <w:gridSpan w:val="6"/>
            <w:tcBorders>
              <w:bottom w:val="single" w:sz="8" w:space="0" w:color="000000"/>
            </w:tcBorders>
            <w:tcMar>
              <w:bottom w:w="28" w:type="dxa"/>
            </w:tcMar>
            <w:vAlign w:val="bottom"/>
          </w:tcPr>
          <w:p>
            <w:pPr>
              <w:pStyle w:val="TableContents"/>
              <w:bidi w:val="0"/>
              <w:spacing w:before="0" w:after="283"/>
              <w:jc w:val="center"/>
              <w:rPr/>
            </w:pPr>
            <w:r>
              <w:rPr/>
              <w:t>As of June 30, 2023</w:t>
            </w:r>
          </w:p>
        </w:tc>
        <w:tc>
          <w:tcPr>
            <w:tcW w:w="63" w:type="dxa"/>
            <w:tcBorders/>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pPr>
            <w:r>
              <w:rPr/>
              <w:t>Actual</w:t>
            </w:r>
          </w:p>
        </w:tc>
        <w:tc>
          <w:tcPr>
            <w:tcW w:w="81"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As Adjusted</w:t>
            </w:r>
          </w:p>
        </w:tc>
        <w:tc>
          <w:tcPr>
            <w:tcW w:w="63" w:type="dxa"/>
            <w:tcBorders/>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753" w:type="dxa"/>
            <w:gridSpan w:val="6"/>
            <w:tcBorders/>
            <w:vAlign w:val="bottom"/>
          </w:tcPr>
          <w:p>
            <w:pPr>
              <w:pStyle w:val="TableContents"/>
              <w:bidi w:val="0"/>
              <w:spacing w:before="0" w:after="283"/>
              <w:jc w:val="center"/>
              <w:rPr/>
            </w:pPr>
            <w:r>
              <w:rPr/>
              <w:t>(in millions except par</w:t>
              <w:br/>
              <w:t>value and share data)</w:t>
            </w:r>
          </w:p>
        </w:tc>
        <w:tc>
          <w:tcPr>
            <w:tcW w:w="63" w:type="dxa"/>
            <w:tcBorders/>
            <w:vAlign w:val="bottom"/>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3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1,248</w:t>
            </w:r>
          </w:p>
        </w:tc>
        <w:tc>
          <w:tcPr>
            <w:tcW w:w="81"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Equity attributable to owners of the Company:</w:t>
            </w:r>
          </w:p>
        </w:tc>
        <w:tc>
          <w:tcPr>
            <w:tcW w:w="43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$0.001 par value, 1,025,234,000 shares authorized, issued and outstanding as of June 30, 2023</w:t>
            </w:r>
          </w:p>
        </w:tc>
        <w:tc>
          <w:tcPr>
            <w:tcW w:w="43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w:t>
            </w:r>
          </w:p>
        </w:tc>
        <w:tc>
          <w:tcPr>
            <w:tcW w:w="81"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3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1,275</w:t>
            </w:r>
          </w:p>
        </w:tc>
        <w:tc>
          <w:tcPr>
            <w:tcW w:w="81"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43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382</w:t>
            </w:r>
          </w:p>
        </w:tc>
        <w:tc>
          <w:tcPr>
            <w:tcW w:w="81"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43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2,562</w:t>
            </w:r>
          </w:p>
        </w:tc>
        <w:tc>
          <w:tcPr>
            <w:tcW w:w="81"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24"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43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4,221</w:t>
            </w:r>
          </w:p>
        </w:tc>
        <w:tc>
          <w:tcPr>
            <w:tcW w:w="81"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4"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43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5,469</w:t>
            </w:r>
          </w:p>
        </w:tc>
        <w:tc>
          <w:tcPr>
            <w:tcW w:w="81"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24"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rom393891_17"/>
      <w:bookmarkEnd w:id="18"/>
      <w:r>
        <w:rPr>
          <w:rFonts w:ascii="Times New Roman" w:hAnsi="Times New Roman"/>
          <w:b/>
          <w:sz w:val="20"/>
        </w:rPr>
        <w:t xml:space="preserve">MANAGEMENTS DISCUSSION AND ANALYSIS </w:t>
      </w:r>
    </w:p>
    <w:p>
      <w:pPr>
        <w:pStyle w:val="TextBody"/>
        <w:bidi w:val="0"/>
        <w:spacing w:before="0" w:after="0"/>
        <w:jc w:val="center"/>
        <w:rPr>
          <w:rFonts w:ascii="Times New Roman" w:hAnsi="Times New Roman"/>
          <w:b/>
          <w:sz w:val="20"/>
        </w:rPr>
      </w:pPr>
      <w:r>
        <w:rPr>
          <w:rFonts w:ascii="Times New Roman" w:hAnsi="Times New Roman"/>
          <w:b/>
          <w:sz w:val="20"/>
        </w:rPr>
        <w:t xml:space="preserve">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our financial condition and results of operations together with our consolidated financial statements and related notes appearing elsewhere in this prospectus.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Risk Factors and Special Note Regarding Forward-Looking Statements sections in this prospectus. Our actual results could differ materially from the results described in or implied by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Arm architects, develops, and licenses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 </w:t>
      </w:r>
    </w:p>
    <w:p>
      <w:pPr>
        <w:pStyle w:val="TextBody"/>
        <w:bidi w:val="0"/>
        <w:spacing w:before="240" w:after="0"/>
        <w:jc w:val="left"/>
        <w:rPr>
          <w:rFonts w:ascii="Times New Roman" w:hAnsi="Times New Roman"/>
          <w:sz w:val="20"/>
        </w:rPr>
      </w:pPr>
      <w:r>
        <w:rPr>
          <w:rFonts w:ascii="Times New Roman" w:hAnsi="Times New Roman"/>
          <w:sz w:val="20"/>
        </w:rPr>
        <w:t xml:space="preserve">We enable any company to make a modern computer chip through the unique combination of our energy-efficient CPU IP and related technologies and our unmatched ecosystem of technology partners. 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Our partners include leading semiconductor technology suppliers (including foundries and EDA vendors), firmware and operating system vendors, game engine vendors, software tool providers and application software developers. 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 </w:t>
      </w:r>
    </w:p>
    <w:p>
      <w:pPr>
        <w:pStyle w:val="TextBody"/>
        <w:bidi w:val="0"/>
        <w:spacing w:before="240" w:after="0"/>
        <w:jc w:val="left"/>
        <w:rPr>
          <w:rFonts w:ascii="Times New Roman" w:hAnsi="Times New Roman"/>
          <w:sz w:val="20"/>
        </w:rPr>
      </w:pPr>
      <w:r>
        <w:rPr>
          <w:rFonts w:ascii="Times New Roman" w:hAnsi="Times New Roman"/>
          <w:sz w:val="20"/>
        </w:rPr>
        <w:t xml:space="preserve">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The exponential rise in smart devices in both consumer and enterprise markets has increased the demand for chips that provide more computational capability while optimizing for energy efficiency. This trend has driven the dramatic growth of Arm CPUs over the past several years. The scale of our reach continues to expand, with more than 30 billion Arm-based chips reported as shipped in the fiscal year ended March 31, 2023 alone, representing an approximately 70% increase since the fiscal year ended March 31, 2016. </w:t>
      </w:r>
    </w:p>
    <w:p>
      <w:pPr>
        <w:pStyle w:val="TextBody"/>
        <w:bidi w:val="0"/>
        <w:spacing w:before="240" w:after="0"/>
        <w:jc w:val="left"/>
        <w:rPr>
          <w:rFonts w:ascii="Times New Roman" w:hAnsi="Times New Roman"/>
          <w:sz w:val="20"/>
        </w:rPr>
      </w:pPr>
      <w:r>
        <w:rPr>
          <w:rFonts w:ascii="Times New Roman" w:hAnsi="Times New Roman"/>
          <w:sz w:val="20"/>
        </w:rPr>
        <w:t xml:space="preserve">Our creation of the Arm CPU architecture, the worlds most widely used CPU architecture, has resulted in the proliferation and evolution of computers as people know them today.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As a result, in the fiscal year ended March 31, 2023, more than 260 companies reported that they had shipped Arm-based chips, and we estimate that approximately 70% of the worlds population uses Arm-based products. </w:t>
      </w:r>
    </w:p>
    <w:p>
      <w:pPr>
        <w:pStyle w:val="TextBody"/>
        <w:bidi w:val="0"/>
        <w:spacing w:before="240" w:after="0"/>
        <w:jc w:val="left"/>
        <w:rPr>
          <w:rFonts w:ascii="Times New Roman" w:hAnsi="Times New Roman"/>
          <w:sz w:val="20"/>
        </w:rPr>
      </w:pPr>
      <w:r>
        <w:rPr>
          <w:rFonts w:ascii="Times New Roman" w:hAnsi="Times New Roman"/>
          <w:sz w:val="20"/>
        </w:rPr>
        <w:t xml:space="preserve">We have long-standing, significant market share in high-value markets, such as mobile applications processors, which enables us to invest in other growth opportunities. Our long-term growth strategy includes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expanding our market share in growth markets, including cloud compute, networking equipment, automotive and consumer electronics. We believe that the increasing need for high-powered and energy-efficient computing, as well as our continued investments, will enable us to grow our share in these segments. We also intend to expand our system IP and platform product offerings by continuing to develop a broader set of systems IP specifically developed for use with Arm processors. Across all our end markets and products, we believe that, as chip designs become more advanced and complex, our investments in additional functionality, higher performance, higher efficiency, and more specialized designs will allow us to deliver more value to our partners. </w:t>
      </w:r>
    </w:p>
    <w:p>
      <w:pPr>
        <w:pStyle w:val="TextBody"/>
        <w:bidi w:val="0"/>
        <w:spacing w:before="240" w:after="0"/>
        <w:jc w:val="left"/>
        <w:rPr>
          <w:rFonts w:ascii="Times New Roman" w:hAnsi="Times New Roman"/>
          <w:sz w:val="20"/>
        </w:rPr>
      </w:pPr>
      <w:r>
        <w:rPr>
          <w:rFonts w:ascii="Times New Roman" w:hAnsi="Times New Roman"/>
          <w:sz w:val="20"/>
        </w:rPr>
        <w:t xml:space="preserve">We have achieved significant growth since our inception. For our fiscal years ended March 31, 2023, 2022 and 2021, our total revenue was $2,679 million, $2,703 million and $2,027 million, respectively. Over that same period, net income from continuing operations was $524 million, $676 million and $544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Model </w:t>
      </w:r>
    </w:p>
    <w:p>
      <w:pPr>
        <w:pStyle w:val="TextBody"/>
        <w:bidi w:val="0"/>
        <w:spacing w:before="120" w:after="0"/>
        <w:jc w:val="left"/>
        <w:rPr>
          <w:rFonts w:ascii="Times New Roman" w:hAnsi="Times New Roman"/>
          <w:sz w:val="20"/>
        </w:rPr>
      </w:pPr>
      <w:r>
        <w:rPr>
          <w:rFonts w:ascii="Times New Roman" w:hAnsi="Times New Roman"/>
          <w:sz w:val="20"/>
        </w:rPr>
        <w:t xml:space="preserve">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Arm Total Access Agreements</w:t>
            </w:r>
            <w:r>
              <w:rPr>
                <w:rFonts w:ascii="Times New Roman" w:hAnsi="Times New Roman"/>
                <w:sz w:val="20"/>
              </w:rPr>
              <w:t xml:space="preserve">: Under an Arm Total Access agreement, we license a portfolio of CPU designs and related technologies to a 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Arm Flexible Access Agreements</w:t>
            </w:r>
            <w:r>
              <w:rPr>
                <w:rFonts w:ascii="Times New Roman" w:hAnsi="Times New Roman"/>
                <w:sz w:val="20"/>
              </w:rPr>
              <w:t xml:space="preserve">: Under an Arm Flexible Access agreement, we license a portfolio of CPU designs and related 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Technology Licensing Agreements (TLA)</w:t>
            </w:r>
            <w:r>
              <w:rPr>
                <w:rFonts w:ascii="Times New Roman" w:hAnsi="Times New Roman"/>
                <w:sz w:val="20"/>
              </w:rPr>
              <w:t xml:space="preserve">: Under a TLA, we license a single CPU design or other technology design to a customer in return for a 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Architecture License Agreements (ALA)</w:t>
            </w:r>
            <w:r>
              <w:rPr>
                <w:rFonts w:ascii="Times New Roman" w:hAnsi="Times New Roman"/>
                <w:sz w:val="20"/>
              </w:rPr>
              <w:t xml:space="preserve">: Under an ALA, the licensee is allowed to develop their own highly customized CPU designs that is compliant with the Arm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Royalty Fees</w:t>
            </w:r>
            <w:r>
              <w:rPr>
                <w:rFonts w:ascii="Times New Roman" w:hAnsi="Times New Roman"/>
                <w:sz w:val="20"/>
              </w:rPr>
              <w:t xml:space="preserve">: We generate the majority of our revenue from customers who enter into license agreements, pursuant to which we receive royalty fees based on average selling price of the customers Arm-based chip or a fixed fee per chip. Royalty revenues are impacted primarily by the adoption of our products by the licensee as well as other factors, such as product lifecycles, customers business performance, market trends and global supply constraints. In the fiscal year ended March 31, 2023, royalty revenue represented 63% of our total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Historically, most customers licensed our products under the terms of a TLA. In 2019 and 2021, we introduced the Arm Flexible Access and Arm Total Access agreements, respectively, to enable the widest range of customers to access our products through methods best suited to their particular business needs. We believe that the Arm Total Access and Arm Flexible Access agreements provide enhanced flexibility for our customers (as compared to the TLA business model) and increase the number of chip designs using our products. While certain customers will elect to remain TLA customers, some customers are in the process of transitioning from TLAs to Arm Total Access and Arm Flexible Access agreements. We may experience variability in license revenues due to the timing of product deliveries within each TLA, Arm Total Access and Arm Flexible Access agreement. However, because Arm Total Access and Arm Flexible Access agreements are renewable in nature, as customers transition away from TLAs, we expect our visibility into future license revenues to improve. </w:t>
      </w:r>
    </w:p>
    <w:p>
      <w:pPr>
        <w:pStyle w:val="TextBody"/>
        <w:bidi w:val="0"/>
        <w:spacing w:before="240" w:after="0"/>
        <w:jc w:val="left"/>
        <w:rPr>
          <w:rFonts w:ascii="Times New Roman" w:hAnsi="Times New Roman"/>
          <w:sz w:val="20"/>
        </w:rPr>
      </w:pPr>
      <w:r>
        <w:rPr>
          <w:rFonts w:ascii="Times New Roman" w:hAnsi="Times New Roman"/>
          <w:sz w:val="20"/>
        </w:rPr>
        <w:t xml:space="preserve">We typically are able to command a royalty for chips that contain our products, which creates a long-term recurring revenue opportunity from each design win. We typically see sustained revenue streams from older chips, as products containing those chips continue to be sold and older processors are incorporated into new chips, creating a cumulative effect that fuels long-term growth. For example, based on royalty revenue information provided to us by customers in quarterly royalty reports, approximately 46% of our royalty revenue for the fiscal year ended March 31, 2023 came from products released between 1990 to 2012. Additionally, as we transition to more Arm Total Access and Arm Flexible Access licenses, we expect more of our products to be incorporated into more of our customers chip designs, and our royalty revenue to increase over time as a result.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755" cy="2647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9755" cy="26479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and Trends Affecting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growth of our business and our future success are dependent upon many factors, including those described in the section titled Risk Factors and elsewhere in this prospectus as well as the factors described below. While each of these factors presents significant opportunities for us, these factors also pose challenges that we must successfully address in order to sustain the growth of our business and enhance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Demand for Semiconductor Products and Cyclical Nature of the Semiconductor Industry </w:t>
      </w:r>
    </w:p>
    <w:p>
      <w:pPr>
        <w:pStyle w:val="TextBody"/>
        <w:bidi w:val="0"/>
        <w:spacing w:before="120" w:after="0"/>
        <w:jc w:val="left"/>
        <w:rPr>
          <w:rFonts w:ascii="Times New Roman" w:hAnsi="Times New Roman"/>
          <w:sz w:val="20"/>
        </w:rPr>
      </w:pPr>
      <w:r>
        <w:rPr>
          <w:rFonts w:ascii="Times New Roman" w:hAnsi="Times New Roman"/>
          <w:sz w:val="20"/>
        </w:rPr>
        <w:t xml:space="preserve">Semiconductor chips are essential components in consumer, enterprise, and automotive electronics, which has resulted in sustained and increasing long-term demand for semiconductor chips, a significant percentage of which contain our products. Our license and royalty revenues are, in part, affected by market conditions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 </w:t>
      </w:r>
    </w:p>
    <w:p>
      <w:pPr>
        <w:pStyle w:val="TextBody"/>
        <w:bidi w:val="0"/>
        <w:spacing w:before="240" w:after="0"/>
        <w:jc w:val="left"/>
        <w:rPr>
          <w:rFonts w:ascii="Times New Roman" w:hAnsi="Times New Roman"/>
          <w:sz w:val="20"/>
        </w:rPr>
      </w:pPr>
      <w:r>
        <w:rPr>
          <w:rFonts w:ascii="Times New Roman" w:hAnsi="Times New Roman"/>
          <w:sz w:val="20"/>
        </w:rPr>
        <w:t xml:space="preserve">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Market Share Across End Markets </w:t>
      </w:r>
    </w:p>
    <w:p>
      <w:pPr>
        <w:pStyle w:val="TextBody"/>
        <w:bidi w:val="0"/>
        <w:spacing w:before="120" w:after="0"/>
        <w:jc w:val="left"/>
        <w:rPr>
          <w:rFonts w:ascii="Times New Roman" w:hAnsi="Times New Roman"/>
          <w:sz w:val="20"/>
        </w:rPr>
      </w:pPr>
      <w:r>
        <w:rPr>
          <w:rFonts w:ascii="Times New Roman" w:hAnsi="Times New Roman"/>
          <w:sz w:val="20"/>
        </w:rPr>
        <w:t xml:space="preserve">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For the year ended December 31, 2022, we had a greater than 99% share of the smartphones market and a very high share in a range of other electronic devices, from digital TVs to drones. As new high-growth markets for electronics emerge and incorporate more AI and ML workloads, they require our more advanced processor designs in areas such as cloud computing, the automotive industry, and the IoT economy. Our operating and financial performance is dependent, in large part, upon maintaining our market share in the smartphone and consumer electronics markets and maintaining or growing market share in our other target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Ability to Provide Our Customers with More Value Per Chip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ability to continue to develop more advanced products and offer increasingly comprehensive product packages, including providing more complete subsystems, will encourage greater use of our products by existing and prospective customers. For example, some licensees may combine multiple different Arm CPUs in a single chip, Arm CPUs with other Arm IP such as Arm GPUs, or deploy Arm CPU implementations with more than 100 cores. Some customers may be better served by the integration of our IP into a subsystem with additional information to assist in fabrication.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Increasing Design Wins with Existing and Prospective Customers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and will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R&amp;D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of Arm China </w:t>
      </w:r>
    </w:p>
    <w:p>
      <w:pPr>
        <w:pStyle w:val="TextBody"/>
        <w:bidi w:val="0"/>
        <w:spacing w:before="120" w:after="0"/>
        <w:jc w:val="left"/>
        <w:rPr>
          <w:rFonts w:ascii="Times New Roman" w:hAnsi="Times New Roman"/>
          <w:sz w:val="20"/>
        </w:rPr>
      </w:pPr>
      <w:r>
        <w:rPr>
          <w:rFonts w:ascii="Times New Roman" w:hAnsi="Times New Roman"/>
          <w:sz w:val="20"/>
        </w:rPr>
        <w:t xml:space="preserve">We depend on our commercial relationship with Arm China to access the PRC market, and a significant portion of our total revenue is generated from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For additional information regarding the IPLA, see BusinessThe IPLA with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Royalties in our financial statements. Despite our significant reliance on Arm China through our commercial relationship with them, both as a source of revenue and as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For the fiscal year ended March 31, 2023, although our total revenues derived from the PRC increased as compared to the prior year, the growth in our royalty revenues slowed for the same period primarily as a result of economic issues in the PRC and factors related to export control and national security matters. Furthermore, in light of these issues, we expect to continue to see declining royalty revenues derived from the PRC and we could see a decline in licensing revenues. See Risk FactorsRisks Relating to Our Business and IndustryOur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the BIS of the U.S. Department of Commerce published changes to U.S. export control regulations that restrict the PRCs semiconductor and supercomputing industries ability to obtain advanced computing chips, as well as software, hardware, equipment, and technology used to develop and maintain supercomputers and manufacture advanced semiconductors. We have been impacted by the implementation in October 2022 of rules by the BIS, which principally relate to (i) implementing new process requirements that require licensees to disclose semiconductor manufacturing facilities used for manufacturing Arm-based integrated circuit designs; and (ii) controlling previously non-controlled Arm interconnect IP as well as releasing a modified version of such IP that does not exceed the BIS performance thresholds for the PRC. We anticipate additional changes to U.S. export control regulations in the future, but we cannot forecast the scope or timing of such changes. We will continue to monitor such developments, including potential additional trade restrictions, and other regulatory or policy changes by the U.S. and foreign governments.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the Current Macroeconomic Environment and Geopolitical Events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macroeconomic environment, resulting from a range of events and trends, including the recent financial institution failures, rise in global inflation and interest rates, supply chain disruptions,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geopolitical pressures, including the unknown impact of current and future U.S. and PRC trade regulations, changes in PRC-Taiwan relations, the war in Ukraine, fluctuation in foreign exchange rates, and associated global economic conditions have resulted in volatility in our operating performance. For example, the war in Ukraine could lead to further market disruptions and exacerbate current supply chain constraints, including with respect to certain materials and metals, which are essential in semiconductor manufacturing. Furthermore,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 in Technology and Product Development </w:t>
      </w:r>
    </w:p>
    <w:p>
      <w:pPr>
        <w:pStyle w:val="TextBody"/>
        <w:bidi w:val="0"/>
        <w:spacing w:before="120" w:after="0"/>
        <w:jc w:val="left"/>
        <w:rPr>
          <w:rFonts w:ascii="Times New Roman" w:hAnsi="Times New Roman"/>
          <w:sz w:val="20"/>
        </w:rPr>
      </w:pPr>
      <w:r>
        <w:rPr>
          <w:rFonts w:ascii="Times New Roman" w:hAnsi="Times New Roman"/>
          <w:sz w:val="20"/>
        </w:rPr>
        <w:t xml:space="preserve">To remain competitive, we must continue to develop new applications and enhancements to our existing products and services, particularly as next-generation technology is adopted by market participants. Allocating and maintaining adequate research and development resources, such as the appropriate personnel and development technology, to meet the evolving demands of the market is essential to our continued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Events and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Arm China Investment Sale </w:t>
      </w:r>
    </w:p>
    <w:p>
      <w:pPr>
        <w:pStyle w:val="TextBody"/>
        <w:bidi w:val="0"/>
        <w:spacing w:before="120" w:after="0"/>
        <w:jc w:val="left"/>
        <w:rPr>
          <w:rFonts w:ascii="Times New Roman" w:hAnsi="Times New Roman"/>
          <w:sz w:val="20"/>
        </w:rPr>
      </w:pPr>
      <w:r>
        <w:rPr>
          <w:rFonts w:ascii="Times New Roman" w:hAnsi="Times New Roman"/>
          <w:sz w:val="20"/>
        </w:rPr>
        <w:t xml:space="preserve">Prior to restructuring our investment in March 2022, we held an approximate 48% equity holding, accounted for as an equity method investment, in Arm China. In March 2022, we distributed our interest in Arm China to Acetone Limited, a company under control of SoftBank Group, our controlling shareholder, for contractual consideration of approximately $930 million. We retained a 10% non-voting shareholding interest in Acetone Limited, which represents an approximate 4.8% indirect interest in Arm China. As a result of these transactions, we recognized a net distribution to our immediate shareholders of $976 million. Our indirect equity interest in Arm China is recorded in income from equity investments, net on the Consolidated Income Statements included elsewhere in this prospectus. See Related Party TransactionsTransactions with AssociatesArm China for additional information regarding the sale of our equity interest in Arm China and related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Treasure Data and IoTP Disposals </w:t>
      </w:r>
    </w:p>
    <w:p>
      <w:pPr>
        <w:pStyle w:val="TextBody"/>
        <w:bidi w:val="0"/>
        <w:spacing w:before="120" w:after="0"/>
        <w:jc w:val="left"/>
        <w:rPr>
          <w:rFonts w:ascii="Times New Roman" w:hAnsi="Times New Roman"/>
          <w:sz w:val="20"/>
        </w:rPr>
      </w:pPr>
      <w:r>
        <w:rPr>
          <w:rFonts w:ascii="Times New Roman" w:hAnsi="Times New Roman"/>
          <w:sz w:val="20"/>
        </w:rPr>
        <w:t xml:space="preserve">Following a strategic decision in 2021 to place greater focus on our core technology licensing business, we decided to distribute or sell certain components of our IoT business to subsidiaries of SoftBank Group. In June 2021, we distributed all of the equity interests in Treasure Data, Inc. and its subsidiaries (Treasure Data) to our shareholders, and in November 2021 we sold Pelion IOT Limited and its subsidiaries (IoTP) to SoftBank Group Capital Limited. Treasure Datas and IoTPs net assets upon distribution and sale were approximately $44 million and $12 million, respectively. Upon distribution and sale, Treasure Data and IoTP qualified for classification as discontinued operations and therefore the results of operations have been reclassified to discontinued operations for all historical periods. Following the disposals we do not have significant involvement with either company. During the fiscal years ended March 31, 2022 and 2021, we recognized net losses from discontinued operations of $127 million and $156 million, respectively. Included in net losses from discontinued operations are income tax expense (benefits) from discontinued operations of $28 million and $(38) million during the fiscal years ended March 31, 2022 and 2021,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Key Financial and Operating Metrics </w:t>
      </w:r>
    </w:p>
    <w:p>
      <w:pPr>
        <w:pStyle w:val="TextBody"/>
        <w:bidi w:val="0"/>
        <w:spacing w:before="120" w:after="0"/>
        <w:jc w:val="left"/>
        <w:rPr>
          <w:rFonts w:ascii="Times New Roman" w:hAnsi="Times New Roman"/>
          <w:sz w:val="20"/>
        </w:rPr>
      </w:pPr>
      <w:r>
        <w:rPr>
          <w:rFonts w:ascii="Times New Roman" w:hAnsi="Times New Roman"/>
          <w:sz w:val="20"/>
        </w:rPr>
        <w:t xml:space="preserve">We use the following key performance indicators and non-GAAP financial measures to analyze our business performance and financial forecasts and to develop strategic plans, which we believe provide useful information to the market to aid in understanding and evaluating our results of operations in the same manner as our management team. Certain judgments and estimates are inherent in our processes to calculate these metrics.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 The following table sets forth a summary of the key financial and operating metrics: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1"/>
        <w:gridCol w:w="299"/>
        <w:gridCol w:w="140"/>
        <w:gridCol w:w="695"/>
        <w:gridCol w:w="60"/>
        <w:gridCol w:w="299"/>
        <w:gridCol w:w="140"/>
        <w:gridCol w:w="695"/>
        <w:gridCol w:w="60"/>
        <w:gridCol w:w="299"/>
        <w:gridCol w:w="140"/>
        <w:gridCol w:w="695"/>
        <w:gridCol w:w="60"/>
        <w:gridCol w:w="299"/>
        <w:gridCol w:w="192"/>
        <w:gridCol w:w="770"/>
        <w:gridCol w:w="212"/>
        <w:gridCol w:w="336"/>
        <w:gridCol w:w="191"/>
        <w:gridCol w:w="773"/>
        <w:gridCol w:w="162"/>
      </w:tblGrid>
      <w:tr>
        <w:trPr/>
        <w:tc>
          <w:tcPr>
            <w:tcW w:w="2871"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1"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3223"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Fiscal Year</w:t>
            </w:r>
            <w:r>
              <w:rPr/>
              <w:br/>
            </w:r>
            <w:r>
              <w:rPr>
                <w:b/>
              </w:rPr>
              <w:t>Ended March 31,</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47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Fiscal Quarter</w:t>
            </w:r>
            <w:r>
              <w:rPr/>
              <w:br/>
            </w:r>
            <w:r>
              <w:rPr>
                <w:b/>
              </w:rPr>
              <w:t>Ended June 30,</w:t>
            </w:r>
          </w:p>
        </w:tc>
        <w:tc>
          <w:tcPr>
            <w:tcW w:w="162" w:type="dxa"/>
            <w:tcBorders/>
            <w:vAlign w:val="bottom"/>
          </w:tcPr>
          <w:p>
            <w:pPr>
              <w:pStyle w:val="TableContents"/>
              <w:bidi w:val="0"/>
              <w:spacing w:before="0" w:after="283"/>
              <w:jc w:val="left"/>
              <w:rPr/>
            </w:pPr>
            <w:r>
              <w:rPr/>
              <w:t> </w:t>
            </w:r>
          </w:p>
        </w:tc>
      </w:tr>
      <w:tr>
        <w:trPr/>
        <w:tc>
          <w:tcPr>
            <w:tcW w:w="2871"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2871" w:type="dxa"/>
            <w:tcBorders/>
            <w:vAlign w:val="bottom"/>
          </w:tcPr>
          <w:p>
            <w:pPr>
              <w:pStyle w:val="TableContents"/>
              <w:bidi w:val="0"/>
              <w:spacing w:before="0" w:after="283"/>
              <w:jc w:val="left"/>
              <w:rPr>
                <w:i/>
              </w:rPr>
            </w:pPr>
            <w:r>
              <w:rPr>
                <w:i/>
              </w:rPr>
              <w:t>(in millions, except for Number of extant Arm Total</w:t>
              <w:br/>
              <w:t>Access and Arm Flexible Access Licenses)</w:t>
            </w:r>
          </w:p>
        </w:tc>
        <w:tc>
          <w:tcPr>
            <w:tcW w:w="299"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2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2,679</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2,703</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2,027</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675</w:t>
            </w:r>
          </w:p>
        </w:tc>
        <w:tc>
          <w:tcPr>
            <w:tcW w:w="21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692</w:t>
            </w:r>
          </w:p>
        </w:tc>
        <w:tc>
          <w:tcPr>
            <w:tcW w:w="162" w:type="dxa"/>
            <w:tcBorders/>
            <w:shd w:fill="CCEEFF" w:val="clear"/>
            <w:vAlign w:val="bottom"/>
          </w:tcPr>
          <w:p>
            <w:pPr>
              <w:pStyle w:val="TableContents"/>
              <w:bidi w:val="0"/>
              <w:spacing w:before="0" w:after="283"/>
              <w:jc w:val="left"/>
              <w:rPr/>
            </w:pPr>
            <w:r>
              <w:rPr/>
              <w:t> </w:t>
            </w:r>
          </w:p>
        </w:tc>
      </w:tr>
      <w:tr>
        <w:trPr>
          <w:trHeight w:val="120" w:hRule="atLeast"/>
        </w:trPr>
        <w:tc>
          <w:tcPr>
            <w:tcW w:w="2871" w:type="dxa"/>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sz w:val="4"/>
                <w:szCs w:val="4"/>
              </w:rPr>
            </w:pPr>
            <w:r>
              <w:rPr>
                <w:sz w:val="4"/>
                <w:szCs w:val="4"/>
              </w:rPr>
            </w:r>
          </w:p>
        </w:tc>
        <w:tc>
          <w:tcPr>
            <w:tcW w:w="1473"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r>
      <w:tr>
        <w:trPr/>
        <w:tc>
          <w:tcPr>
            <w:tcW w:w="2871"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671</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633</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239</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111</w:t>
            </w:r>
          </w:p>
        </w:tc>
        <w:tc>
          <w:tcPr>
            <w:tcW w:w="21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294</w:t>
            </w:r>
          </w:p>
        </w:tc>
        <w:tc>
          <w:tcPr>
            <w:tcW w:w="162" w:type="dxa"/>
            <w:tcBorders/>
            <w:vAlign w:val="bottom"/>
          </w:tcPr>
          <w:p>
            <w:pPr>
              <w:pStyle w:val="TableContents"/>
              <w:bidi w:val="0"/>
              <w:spacing w:before="0" w:after="283"/>
              <w:jc w:val="left"/>
              <w:rPr/>
            </w:pPr>
            <w:r>
              <w:rPr/>
              <w:t> </w:t>
            </w:r>
          </w:p>
        </w:tc>
      </w:tr>
      <w:tr>
        <w:trPr/>
        <w:tc>
          <w:tcPr>
            <w:tcW w:w="2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operating income(1)</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783</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731</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304</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272</w:t>
            </w:r>
          </w:p>
        </w:tc>
        <w:tc>
          <w:tcPr>
            <w:tcW w:w="21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297</w:t>
            </w:r>
          </w:p>
        </w:tc>
        <w:tc>
          <w:tcPr>
            <w:tcW w:w="162" w:type="dxa"/>
            <w:tcBorders/>
            <w:shd w:fill="CCEEFF" w:val="clear"/>
            <w:vAlign w:val="bottom"/>
          </w:tcPr>
          <w:p>
            <w:pPr>
              <w:pStyle w:val="TableContents"/>
              <w:bidi w:val="0"/>
              <w:spacing w:before="0" w:after="283"/>
              <w:jc w:val="left"/>
              <w:rPr/>
            </w:pPr>
            <w:r>
              <w:rPr/>
              <w:t> </w:t>
            </w:r>
          </w:p>
        </w:tc>
      </w:tr>
      <w:tr>
        <w:trPr/>
        <w:tc>
          <w:tcPr>
            <w:tcW w:w="287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from continuing operations</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524</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676</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544</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105</w:t>
            </w:r>
          </w:p>
        </w:tc>
        <w:tc>
          <w:tcPr>
            <w:tcW w:w="21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225</w:t>
            </w:r>
          </w:p>
        </w:tc>
        <w:tc>
          <w:tcPr>
            <w:tcW w:w="162" w:type="dxa"/>
            <w:tcBorders/>
            <w:vAlign w:val="bottom"/>
          </w:tcPr>
          <w:p>
            <w:pPr>
              <w:pStyle w:val="TableContents"/>
              <w:bidi w:val="0"/>
              <w:spacing w:before="0" w:after="283"/>
              <w:jc w:val="left"/>
              <w:rPr/>
            </w:pPr>
            <w:r>
              <w:rPr/>
              <w:t> </w:t>
            </w:r>
          </w:p>
        </w:tc>
      </w:tr>
      <w:tr>
        <w:trPr/>
        <w:tc>
          <w:tcPr>
            <w:tcW w:w="2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from continuing operations(1)</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657</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663</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207</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246</w:t>
            </w:r>
          </w:p>
        </w:tc>
        <w:tc>
          <w:tcPr>
            <w:tcW w:w="21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236</w:t>
            </w:r>
          </w:p>
        </w:tc>
        <w:tc>
          <w:tcPr>
            <w:tcW w:w="162" w:type="dxa"/>
            <w:tcBorders/>
            <w:shd w:fill="CCEEFF" w:val="clear"/>
            <w:vAlign w:val="bottom"/>
          </w:tcPr>
          <w:p>
            <w:pPr>
              <w:pStyle w:val="TableContents"/>
              <w:bidi w:val="0"/>
              <w:spacing w:before="0" w:after="283"/>
              <w:jc w:val="left"/>
              <w:rPr/>
            </w:pPr>
            <w:r>
              <w:rPr/>
              <w:t> </w:t>
            </w:r>
          </w:p>
        </w:tc>
      </w:tr>
      <w:tr>
        <w:trPr/>
        <w:tc>
          <w:tcPr>
            <w:tcW w:w="287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for) operating activities</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739</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458</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1,233</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(114</w:t>
            </w:r>
          </w:p>
        </w:tc>
        <w:tc>
          <w:tcPr>
            <w:tcW w:w="21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(231</w:t>
            </w:r>
          </w:p>
        </w:tc>
        <w:tc>
          <w:tcPr>
            <w:tcW w:w="162" w:type="dxa"/>
            <w:tcBorders/>
            <w:vAlign w:val="bottom"/>
          </w:tcPr>
          <w:p>
            <w:pPr>
              <w:pStyle w:val="TableContents"/>
              <w:bidi w:val="0"/>
              <w:spacing w:before="0" w:after="283"/>
              <w:jc w:val="left"/>
              <w:rPr/>
            </w:pPr>
            <w:r>
              <w:rPr/>
              <w:t>) </w:t>
            </w:r>
          </w:p>
        </w:tc>
      </w:tr>
      <w:tr>
        <w:trPr/>
        <w:tc>
          <w:tcPr>
            <w:tcW w:w="2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free cash flow(1)</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606</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346</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1,030</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(150</w:t>
            </w:r>
          </w:p>
        </w:tc>
        <w:tc>
          <w:tcPr>
            <w:tcW w:w="21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(268</w:t>
            </w:r>
          </w:p>
        </w:tc>
        <w:tc>
          <w:tcPr>
            <w:tcW w:w="162" w:type="dxa"/>
            <w:tcBorders/>
            <w:shd w:fill="CCEEFF" w:val="clear"/>
            <w:vAlign w:val="bottom"/>
          </w:tcPr>
          <w:p>
            <w:pPr>
              <w:pStyle w:val="TableContents"/>
              <w:bidi w:val="0"/>
              <w:spacing w:before="0" w:after="283"/>
              <w:jc w:val="left"/>
              <w:rPr/>
            </w:pPr>
            <w:r>
              <w:rPr/>
              <w:t>) </w:t>
            </w:r>
          </w:p>
        </w:tc>
      </w:tr>
      <w:tr>
        <w:trPr>
          <w:trHeight w:val="120" w:hRule="atLeast"/>
        </w:trPr>
        <w:tc>
          <w:tcPr>
            <w:tcW w:w="2871" w:type="dxa"/>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sz w:val="4"/>
                <w:szCs w:val="4"/>
              </w:rPr>
            </w:pPr>
            <w:r>
              <w:rPr>
                <w:sz w:val="4"/>
                <w:szCs w:val="4"/>
              </w:rPr>
            </w:r>
          </w:p>
        </w:tc>
        <w:tc>
          <w:tcPr>
            <w:tcW w:w="1473"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r>
      <w:tr>
        <w:trPr/>
        <w:tc>
          <w:tcPr>
            <w:tcW w:w="2871" w:type="dxa"/>
            <w:tcBorders/>
          </w:tcPr>
          <w:p>
            <w:pPr>
              <w:pStyle w:val="TableContents"/>
              <w:bidi w:val="0"/>
              <w:spacing w:before="0" w:after="0"/>
              <w:jc w:val="left"/>
              <w:rPr>
                <w:rFonts w:ascii="Times New Roman" w:hAnsi="Times New Roman"/>
                <w:i/>
                <w:sz w:val="20"/>
              </w:rPr>
            </w:pPr>
            <w:r>
              <w:rPr>
                <w:rFonts w:ascii="Times New Roman" w:hAnsi="Times New Roman"/>
                <w:i/>
                <w:sz w:val="20"/>
              </w:rPr>
              <w:t>Operating metrics:</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chips shipped(2)</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30,583</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29,190</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25,281</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6,844</w:t>
            </w:r>
          </w:p>
        </w:tc>
        <w:tc>
          <w:tcPr>
            <w:tcW w:w="21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7,314</w:t>
            </w:r>
          </w:p>
        </w:tc>
        <w:tc>
          <w:tcPr>
            <w:tcW w:w="162" w:type="dxa"/>
            <w:tcBorders/>
            <w:shd w:fill="CCEEFF" w:val="clear"/>
            <w:vAlign w:val="bottom"/>
          </w:tcPr>
          <w:p>
            <w:pPr>
              <w:pStyle w:val="TableContents"/>
              <w:bidi w:val="0"/>
              <w:spacing w:before="0" w:after="283"/>
              <w:jc w:val="left"/>
              <w:rPr/>
            </w:pPr>
            <w:r>
              <w:rPr/>
              <w:t> </w:t>
            </w:r>
          </w:p>
        </w:tc>
      </w:tr>
      <w:tr>
        <w:trPr/>
        <w:tc>
          <w:tcPr>
            <w:tcW w:w="2871" w:type="dxa"/>
            <w:tcBorders/>
          </w:tcPr>
          <w:p>
            <w:pPr>
              <w:pStyle w:val="TableContents"/>
              <w:bidi w:val="0"/>
              <w:spacing w:before="0" w:after="0"/>
              <w:jc w:val="left"/>
              <w:rPr>
                <w:rFonts w:ascii="Times New Roman" w:hAnsi="Times New Roman"/>
                <w:sz w:val="20"/>
              </w:rPr>
            </w:pPr>
            <w:r>
              <w:rPr>
                <w:rFonts w:ascii="Times New Roman" w:hAnsi="Times New Roman"/>
                <w:sz w:val="20"/>
              </w:rPr>
              <w:t>Number of extant Arm Total Access licenses(2)</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20</w:t>
            </w:r>
          </w:p>
        </w:tc>
        <w:tc>
          <w:tcPr>
            <w:tcW w:w="21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w:t>
            </w:r>
          </w:p>
        </w:tc>
        <w:tc>
          <w:tcPr>
            <w:tcW w:w="162" w:type="dxa"/>
            <w:tcBorders/>
            <w:vAlign w:val="bottom"/>
          </w:tcPr>
          <w:p>
            <w:pPr>
              <w:pStyle w:val="TableContents"/>
              <w:bidi w:val="0"/>
              <w:spacing w:before="0" w:after="283"/>
              <w:jc w:val="left"/>
              <w:rPr/>
            </w:pPr>
            <w:r>
              <w:rPr/>
              <w:t> </w:t>
            </w:r>
          </w:p>
        </w:tc>
      </w:tr>
      <w:tr>
        <w:trPr/>
        <w:tc>
          <w:tcPr>
            <w:tcW w:w="2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extant Arm Flexible Access licenses(2)</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191</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129</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214</w:t>
            </w:r>
          </w:p>
        </w:tc>
        <w:tc>
          <w:tcPr>
            <w:tcW w:w="21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190</w:t>
            </w:r>
          </w:p>
        </w:tc>
        <w:tc>
          <w:tcPr>
            <w:tcW w:w="162" w:type="dxa"/>
            <w:tcBorders/>
            <w:shd w:fill="CCEEFF" w:val="clear"/>
            <w:vAlign w:val="bottom"/>
          </w:tcPr>
          <w:p>
            <w:pPr>
              <w:pStyle w:val="TableContents"/>
              <w:bidi w:val="0"/>
              <w:spacing w:before="0" w:after="283"/>
              <w:jc w:val="left"/>
              <w:rPr/>
            </w:pPr>
            <w:r>
              <w:rPr/>
              <w:t> </w:t>
            </w:r>
          </w:p>
        </w:tc>
      </w:tr>
      <w:tr>
        <w:trPr/>
        <w:tc>
          <w:tcPr>
            <w:tcW w:w="2871" w:type="dxa"/>
            <w:tcBorders/>
          </w:tcPr>
          <w:p>
            <w:pPr>
              <w:pStyle w:val="TableContents"/>
              <w:bidi w:val="0"/>
              <w:spacing w:before="0" w:after="0"/>
              <w:jc w:val="left"/>
              <w:rPr>
                <w:rFonts w:ascii="Times New Roman" w:hAnsi="Times New Roman"/>
                <w:sz w:val="20"/>
              </w:rPr>
            </w:pPr>
            <w:r>
              <w:rPr>
                <w:rFonts w:ascii="Times New Roman" w:hAnsi="Times New Roman"/>
                <w:sz w:val="20"/>
              </w:rPr>
              <w:t>Annualized contract value(2)</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1,030</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1,030</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915</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1,048</w:t>
            </w:r>
          </w:p>
        </w:tc>
        <w:tc>
          <w:tcPr>
            <w:tcW w:w="21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1,052</w:t>
            </w:r>
          </w:p>
        </w:tc>
        <w:tc>
          <w:tcPr>
            <w:tcW w:w="1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Non-GAAP net income from continuing operations and Non-GAAP free cash flow are non-GAAP financial measures. For more information regarding our use of these measures and a reconciliation of these measures to the most directly comparable GAAP financial measures, see Non-GAAP Financial MeasuresReconciliation of Non-GAAP Financial Measures below.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last day of the applicable period.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Number of Chips Shipped </w:t>
      </w:r>
    </w:p>
    <w:p>
      <w:pPr>
        <w:pStyle w:val="TextBody"/>
        <w:bidi w:val="0"/>
        <w:spacing w:before="120" w:after="0"/>
        <w:jc w:val="left"/>
        <w:rPr>
          <w:rFonts w:ascii="Times New Roman" w:hAnsi="Times New Roman"/>
          <w:sz w:val="20"/>
        </w:rPr>
      </w:pPr>
      <w:r>
        <w:rPr>
          <w:rFonts w:ascii="Times New Roman" w:hAnsi="Times New Roman"/>
          <w:sz w:val="20"/>
        </w:rPr>
        <w:t xml:space="preserve">Each quarter, most of our customers, and those contracted through Arm China, furnish us (directly or via Arm China) with royalty reports setting forth the actual number of Arm-powered chips they shipped in the immediately preceding quarter. Royalty reports received in the 12-month period from April 1 to March 31 of each year relate to chip shipments made in the period from January 1 to December 31 of each year. We also perform various procedures to assess customer data related to royalties for reasonableness, and our license agreements generally include rights for us to audit the books and records of our customers to verify certain types of customer data. </w:t>
      </w:r>
    </w:p>
    <w:p>
      <w:pPr>
        <w:pStyle w:val="TextBody"/>
        <w:bidi w:val="0"/>
        <w:spacing w:before="240" w:after="0"/>
        <w:jc w:val="left"/>
        <w:rPr>
          <w:rFonts w:ascii="Times New Roman" w:hAnsi="Times New Roman"/>
          <w:sz w:val="20"/>
        </w:rPr>
      </w:pPr>
      <w:r>
        <w:rPr>
          <w:rFonts w:ascii="Times New Roman" w:hAnsi="Times New Roman"/>
          <w:sz w:val="20"/>
        </w:rPr>
        <w:t xml:space="preserve">We consider the number of chips reported as shipped by our customers as a key performance indicator because it represents the acceptance of our products by companies who use chips in their products (e.g., our customers customers). The number of chips shipped also provides insight into chip pricing and volumes in different end markets, which helps inform our pricing models and competitive positioning.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Number of Extant Arm Total Access and Arm Flexible Access Licenses </w:t>
      </w:r>
    </w:p>
    <w:p>
      <w:pPr>
        <w:pStyle w:val="TextBody"/>
        <w:bidi w:val="0"/>
        <w:spacing w:before="120" w:after="0"/>
        <w:jc w:val="left"/>
        <w:rPr>
          <w:rFonts w:ascii="Times New Roman" w:hAnsi="Times New Roman"/>
          <w:sz w:val="20"/>
        </w:rPr>
      </w:pPr>
      <w:r>
        <w:rPr>
          <w:rFonts w:ascii="Times New Roman" w:hAnsi="Times New Roman"/>
          <w:sz w:val="20"/>
        </w:rPr>
        <w:t xml:space="preserve">Each quarter, we track the number of extant Arm Total Access and Arm Flexible Access licenses with our customers, and those contracted through Arm China. We believe that, over time, many of our customers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transition to either an Arm Total Access or Arm Flexible Access license to access our products. This transition enables us and our customers to focus less on contract negotiations and more on how our products can be deployed in our customers future chips. </w:t>
      </w:r>
    </w:p>
    <w:p>
      <w:pPr>
        <w:pStyle w:val="TextBody"/>
        <w:bidi w:val="0"/>
        <w:spacing w:before="240" w:after="0"/>
        <w:jc w:val="left"/>
        <w:rPr>
          <w:rFonts w:ascii="Times New Roman" w:hAnsi="Times New Roman"/>
          <w:sz w:val="20"/>
        </w:rPr>
      </w:pPr>
      <w:r>
        <w:rPr>
          <w:rFonts w:ascii="Times New Roman" w:hAnsi="Times New Roman"/>
          <w:sz w:val="20"/>
        </w:rPr>
        <w:t xml:space="preserve">We consider the number of extant Arm Total Access and Arm Flexible Access licenses as a key performance indicator as it represents the increasing collaboration between us and our customers, which could be a leading indicator to more chips being designed with our products and, accordingly, more recurring royalty revenue in the future, improving our long-term market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Annualized Contract Value </w:t>
      </w:r>
    </w:p>
    <w:p>
      <w:pPr>
        <w:pStyle w:val="TextBody"/>
        <w:bidi w:val="0"/>
        <w:spacing w:before="120" w:after="0"/>
        <w:jc w:val="left"/>
        <w:rPr>
          <w:rFonts w:ascii="Times New Roman" w:hAnsi="Times New Roman"/>
          <w:sz w:val="20"/>
        </w:rPr>
      </w:pPr>
      <w:r>
        <w:rPr>
          <w:rFonts w:ascii="Times New Roman" w:hAnsi="Times New Roman"/>
          <w:sz w:val="20"/>
        </w:rPr>
        <w:t xml:space="preserve">Each quarter, we track the annualized contract value (ACV) relating to licensing agreements signed with our customers and those contracted through Arm China per the aggregate license fee as shared under the IPLA.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TLA, are deemed to be active for, and annualized over, three years based on the historical licensing patterns of our customers. The aggregate license fee shared by Arm China is also deemed to be active for, and annualized over, three years. </w:t>
      </w:r>
    </w:p>
    <w:p>
      <w:pPr>
        <w:pStyle w:val="TextBody"/>
        <w:bidi w:val="0"/>
        <w:spacing w:before="240" w:after="0"/>
        <w:jc w:val="left"/>
        <w:rPr>
          <w:rFonts w:ascii="Times New Roman" w:hAnsi="Times New Roman"/>
          <w:sz w:val="20"/>
        </w:rPr>
      </w:pPr>
      <w:r>
        <w:rPr>
          <w:rFonts w:ascii="Times New Roman" w:hAnsi="Times New Roman"/>
          <w:sz w:val="20"/>
        </w:rPr>
        <w:t xml:space="preserve">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results determined in accordance with GAAP, we utilize and present financial measures that are not calculated and presented in accordance with GAAP. Our non-GAAP financial measures include Non-GAAP operating income, Non-GAAP net income from continuing operations, and Non-GAAP free cash flow, each of which is described below. We believe our non-GAAP financial measures are useful in evaluating our operating performance and liquidity position. We use the non-GAAP financial measures presented below, collectively, to evaluate our ongoing performance and for internal planning, forecasting and budgeting purposes.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 </w:t>
      </w:r>
    </w:p>
    <w:p>
      <w:pPr>
        <w:pStyle w:val="TextBody"/>
        <w:bidi w:val="0"/>
        <w:spacing w:before="240" w:after="0"/>
        <w:jc w:val="left"/>
        <w:rPr>
          <w:rFonts w:ascii="Times New Roman" w:hAnsi="Times New Roman"/>
          <w:sz w:val="20"/>
        </w:rPr>
      </w:pPr>
      <w:r>
        <w:rPr>
          <w:rFonts w:ascii="Times New Roman" w:hAnsi="Times New Roman"/>
          <w:sz w:val="20"/>
        </w:rPr>
        <w:t xml:space="preserve">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each of our non-GAAP financial measures to the most directly comparable financial measure presented in accordance with GAAP is presented below. </w:t>
      </w:r>
    </w:p>
    <w:p>
      <w:pPr>
        <w:pStyle w:val="TextBody"/>
        <w:bidi w:val="0"/>
        <w:spacing w:before="360" w:after="0"/>
        <w:jc w:val="left"/>
        <w:rPr>
          <w:rFonts w:ascii="Times New Roman" w:hAnsi="Times New Roman"/>
          <w:i/>
          <w:sz w:val="20"/>
        </w:rPr>
      </w:pPr>
      <w:r>
        <w:rPr>
          <w:rFonts w:ascii="Times New Roman" w:hAnsi="Times New Roman"/>
          <w:i/>
          <w:sz w:val="20"/>
        </w:rPr>
        <w:t xml:space="preserve">Non-GAAP Operating Income and Non-GAAP Net Income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We utilize Non-GAAP operating income and Non-GAAP net income from continuing operations for the purpose of assessing our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define Non-GAAP operating income as our GAAP operating income excluding purchased intangible asset amortization, share-based compensation expense associated with equity awards where our intent is to issue equity upon vesting (in lieu of cash settlement) following the occurrence of an initial public offering or change in control, costs associated with disposal activities, impairment of long-lived assets, restructuring and related costs, public company readiness costs, and other operating income (expenses), net, which includes costs of COVID-19 response programs. </w:t>
      </w:r>
    </w:p>
    <w:p>
      <w:pPr>
        <w:pStyle w:val="TextBody"/>
        <w:bidi w:val="0"/>
        <w:spacing w:before="240" w:after="0"/>
        <w:jc w:val="left"/>
        <w:rPr>
          <w:rFonts w:ascii="Times New Roman" w:hAnsi="Times New Roman"/>
          <w:sz w:val="20"/>
        </w:rPr>
      </w:pPr>
      <w:r>
        <w:rPr>
          <w:rFonts w:ascii="Times New Roman" w:hAnsi="Times New Roman"/>
          <w:sz w:val="20"/>
        </w:rPr>
        <w:t xml:space="preserve">We define Non-GAAP net income from continuing operations as our GAAP net income excluding acquisition-related intangible asset amortization, share-based compensation expense associated with equity awards where our intent is to issue equity upon vesting (in lieu of cash settlement) following the occurrence of an initial public offering or change in control, costs associated with disposal activities, impairment of long-lived assets, restructuring and related costs, public company readiness costs, other operating income (expenses), net, which includes costs of COVID-19 response programs, (income) loss from equity method investments, and income tax effect on non-GAAP adjustments. We exclude these items from our Non-GAAP operating income and Non-GAAP net income from continuing operations measure because they are non-cash in nature, or because the amount and timing of these items is unpredictable, not driven by core results of operations and renders comparisons with prior periods and competitors less meaningful. We believe Non-GAAP operating income and Non-GAAP net income from continuing operations provide useful information to investors and others in understanding and evaluating our results of operations, as well as provide a useful measure for period-to-period comparisons of our business performance. Moreover, we have included Non-GAAP operating income and Non-GAAP net income from continuing operations in this prospectus because they are key measurements used by our management internally to make operating decisions, including those related to analyzing operating expenses, evaluating performance, and performing strategic planning and annual budgeting. </w:t>
      </w:r>
    </w:p>
    <w:p>
      <w:pPr>
        <w:pStyle w:val="TextBody"/>
        <w:bidi w:val="0"/>
        <w:spacing w:before="240" w:after="0"/>
        <w:jc w:val="left"/>
        <w:rPr>
          <w:rFonts w:ascii="Times New Roman" w:hAnsi="Times New Roman"/>
          <w:sz w:val="20"/>
        </w:rPr>
      </w:pPr>
      <w:r>
        <w:rPr>
          <w:rFonts w:ascii="Times New Roman" w:hAnsi="Times New Roman"/>
          <w:sz w:val="20"/>
        </w:rPr>
        <w:t xml:space="preserve">Non-GAAP operating income and Non-GAAP net income from continuing operations have limitations as financial measures, should be considered as supplemental in nature, and are not meant as a substitute for the related financial information prepared in accordance with GAAP. These limitations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and Non-GAAP net income from continuing operations exclude certain recurring, non-cash charges, such as acquisition-related intangible asset amortization, and although these are non-cash charges, the assets being amortized contribute to revenue generation and may have to be replaced in the future. Non-GAAP operating income and Non-GAAP net income from continuing operations do not reflect all cash requirements for such replacements or for new capital expenditure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and Non-GAAP net income from continuing operations exclude share-based compensation expense associated with equity awards where our intent is to issue equity upon vesting (in lieu of cash settlement) following the occurrence of an initial public offering or change in control. Share-based compensation expense has been, and will continue to be for the foreseeable future, a significant recurring expense in our business and an important part of our compensation strategy.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these limitations, you should consider Non-GAAP operating income and Non-GAAP net income from continuing operations alongside other financial performance measures, including operating income, net income and our other GAAP results. For more information regarding our use of these measures and a reconciliation to the most directly comparable GAAP financial measure, see Reconciliation of Non-GAAP Financial Measures. </w:t>
      </w:r>
    </w:p>
    <w:p>
      <w:pPr>
        <w:pStyle w:val="TextBody"/>
        <w:bidi w:val="0"/>
        <w:spacing w:before="360" w:after="0"/>
        <w:jc w:val="left"/>
        <w:rPr>
          <w:rFonts w:ascii="Times New Roman" w:hAnsi="Times New Roman"/>
          <w:i/>
          <w:sz w:val="20"/>
        </w:rPr>
      </w:pPr>
      <w:r>
        <w:rPr>
          <w:rFonts w:ascii="Times New Roman" w:hAnsi="Times New Roman"/>
          <w:i/>
          <w:sz w:val="20"/>
        </w:rPr>
        <w:t xml:space="preserve">Non-GAAP Free Cash Flow </w:t>
      </w:r>
    </w:p>
    <w:p>
      <w:pPr>
        <w:pStyle w:val="TextBody"/>
        <w:bidi w:val="0"/>
        <w:spacing w:before="120" w:after="0"/>
        <w:jc w:val="left"/>
        <w:rPr>
          <w:rFonts w:ascii="Times New Roman" w:hAnsi="Times New Roman"/>
          <w:sz w:val="20"/>
        </w:rPr>
      </w:pPr>
      <w:r>
        <w:rPr>
          <w:rFonts w:ascii="Times New Roman" w:hAnsi="Times New Roman"/>
          <w:sz w:val="20"/>
        </w:rPr>
        <w:t xml:space="preserve">We monitor Non-GAAP free cash flow for the purpose of measuring our liquidity. We define Non-GAAP free cash flow as cash flow from operations minus capital expenditures and intangibles, offset by proceeds realized from capital disposal activities. We believe that Non-GAAP free cash flow is a meaningful indicator of liquidity that provides information to our management and investors about the amount of cash generated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after purchases of property and equipment and purchases of intangible assets, that can be used for investment in our business and for acquisitions as well as to strengthen our balance sheet. Non-GAAP free cash flow has limitations as an analytical tool and should not be considered in isolation or as a substitute for analysis of other GAAP financial measures, such as net cash provided by operations. Non-GAAP free cash flow does not reflect our ability to meet future contractual commitments and may be calculated differently by other companies in our industry, limiting its usefulness as a comparative measure. For more information regarding our use of this measure and a reconciliation to the most directly comparable GAAP financial measure, see Reconciliation of Non-GAAP Financial Measures. </w:t>
      </w:r>
    </w:p>
    <w:p>
      <w:pPr>
        <w:pStyle w:val="TextBody"/>
        <w:bidi w:val="0"/>
        <w:spacing w:before="360" w:after="0"/>
        <w:jc w:val="left"/>
        <w:rPr>
          <w:rFonts w:ascii="Times New Roman" w:hAnsi="Times New Roman"/>
          <w:i/>
          <w:sz w:val="20"/>
        </w:rPr>
      </w:pPr>
      <w:r>
        <w:rPr>
          <w:rFonts w:ascii="Times New Roman" w:hAnsi="Times New Roman"/>
          <w:i/>
          <w:sz w:val="20"/>
        </w:rPr>
        <w:t xml:space="preserve">Reconciliation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The non-GAAP financial information is presented for supplemental informational purposes only, should not be considered a substitute for financial information presented in accordance with GAAP, and may be different from similarly titled non-GAAP financial measures used by other companies. A reconciliation of each non-GAAP financial measure to the most directly comparable financial measure stated in accordance with GAAP is provided below. We encourage investors and others to review our financial information in its entirety, not to rely on any single financial measure and to view the non-GAAP financial measures in conjunction with their respective related 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reconciliation of Non-GAAP operating income to Operating income, the most directly comparable GAAP financial measure: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16"/>
        <w:gridCol w:w="303"/>
        <w:gridCol w:w="144"/>
        <w:gridCol w:w="394"/>
        <w:gridCol w:w="62"/>
        <w:gridCol w:w="306"/>
        <w:gridCol w:w="144"/>
        <w:gridCol w:w="394"/>
        <w:gridCol w:w="62"/>
        <w:gridCol w:w="306"/>
        <w:gridCol w:w="144"/>
        <w:gridCol w:w="398"/>
        <w:gridCol w:w="60"/>
        <w:gridCol w:w="209"/>
        <w:gridCol w:w="290"/>
        <w:gridCol w:w="760"/>
        <w:gridCol w:w="117"/>
        <w:gridCol w:w="262"/>
        <w:gridCol w:w="290"/>
        <w:gridCol w:w="764"/>
        <w:gridCol w:w="163"/>
      </w:tblGrid>
      <w:tr>
        <w:trPr/>
        <w:tc>
          <w:tcPr>
            <w:tcW w:w="3816"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1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354"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Fiscal Year</w:t>
            </w:r>
            <w:r>
              <w:rPr/>
              <w:br/>
            </w:r>
            <w:r>
              <w:rPr>
                <w:b/>
              </w:rPr>
              <w:t>Ended March 31,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483" w:type="dxa"/>
            <w:gridSpan w:val="6"/>
            <w:tcBorders>
              <w:bottom w:val="single" w:sz="8" w:space="0" w:color="000000"/>
            </w:tcBorders>
            <w:tcMar>
              <w:bottom w:w="28" w:type="dxa"/>
            </w:tcMar>
            <w:vAlign w:val="bottom"/>
          </w:tcPr>
          <w:p>
            <w:pPr>
              <w:pStyle w:val="TableContents"/>
              <w:bidi w:val="0"/>
              <w:spacing w:before="0" w:after="283"/>
              <w:jc w:val="center"/>
              <w:rPr/>
            </w:pPr>
            <w:r>
              <w:rPr>
                <w:b/>
              </w:rPr>
              <w:t>For the Fiscal Quarter</w:t>
            </w:r>
            <w:r>
              <w:rPr/>
              <w:br/>
            </w:r>
            <w:r>
              <w:rPr>
                <w:b/>
              </w:rPr>
              <w:t>Ended June 30,</w:t>
            </w:r>
          </w:p>
        </w:tc>
        <w:tc>
          <w:tcPr>
            <w:tcW w:w="163" w:type="dxa"/>
            <w:tcBorders/>
            <w:vAlign w:val="bottom"/>
          </w:tcPr>
          <w:p>
            <w:pPr>
              <w:pStyle w:val="TableContents"/>
              <w:bidi w:val="0"/>
              <w:spacing w:before="0" w:after="283"/>
              <w:jc w:val="left"/>
              <w:rPr/>
            </w:pPr>
            <w:r>
              <w:rPr/>
              <w:t> </w:t>
            </w:r>
          </w:p>
        </w:tc>
      </w:tr>
      <w:tr>
        <w:trPr/>
        <w:tc>
          <w:tcPr>
            <w:tcW w:w="38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303" w:type="dxa"/>
            <w:tcBorders/>
            <w:vAlign w:val="bottom"/>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1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30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394" w:type="dxa"/>
            <w:tcBorders/>
            <w:shd w:fill="CCEEFF" w:val="clear"/>
            <w:vAlign w:val="bottom"/>
          </w:tcPr>
          <w:p>
            <w:pPr>
              <w:pStyle w:val="TableContents"/>
              <w:bidi w:val="0"/>
              <w:spacing w:before="0" w:after="283"/>
              <w:jc w:val="right"/>
              <w:rPr/>
            </w:pPr>
            <w:r>
              <w:rPr/>
              <w:t>671</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394" w:type="dxa"/>
            <w:tcBorders/>
            <w:shd w:fill="CCEEFF" w:val="clear"/>
            <w:vAlign w:val="bottom"/>
          </w:tcPr>
          <w:p>
            <w:pPr>
              <w:pStyle w:val="TableContents"/>
              <w:bidi w:val="0"/>
              <w:spacing w:before="0" w:after="283"/>
              <w:jc w:val="right"/>
              <w:rPr/>
            </w:pPr>
            <w:r>
              <w:rPr/>
              <w:t>633</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239</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111</w:t>
            </w:r>
          </w:p>
        </w:tc>
        <w:tc>
          <w:tcPr>
            <w:tcW w:w="11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294</w:t>
            </w:r>
          </w:p>
        </w:tc>
        <w:tc>
          <w:tcPr>
            <w:tcW w:w="1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i/>
                <w:sz w:val="20"/>
              </w:rPr>
              <w:t>Adjusted for</w:t>
            </w:r>
            <w:r>
              <w:rPr>
                <w:rFonts w:ascii="Times New Roman" w:hAnsi="Times New Roman"/>
                <w:sz w:val="20"/>
              </w:rPr>
              <w:t>:</w:t>
            </w:r>
          </w:p>
        </w:tc>
        <w:tc>
          <w:tcPr>
            <w:tcW w:w="30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Acquisition-related intangible asset amortization</w:t>
            </w:r>
          </w:p>
        </w:tc>
        <w:tc>
          <w:tcPr>
            <w:tcW w:w="30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5</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9</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w:t>
            </w:r>
          </w:p>
        </w:tc>
        <w:tc>
          <w:tcPr>
            <w:tcW w:w="11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w:t>
            </w:r>
          </w:p>
        </w:tc>
        <w:tc>
          <w:tcPr>
            <w:tcW w:w="1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 (equity settled)(1)</w:t>
            </w:r>
          </w:p>
        </w:tc>
        <w:tc>
          <w:tcPr>
            <w:tcW w:w="30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146</w:t>
            </w:r>
          </w:p>
        </w:tc>
        <w:tc>
          <w:tcPr>
            <w:tcW w:w="11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(7</w:t>
            </w:r>
          </w:p>
        </w:tc>
        <w:tc>
          <w:tcPr>
            <w:tcW w:w="1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associated with disposal activities</w:t>
            </w:r>
          </w:p>
        </w:tc>
        <w:tc>
          <w:tcPr>
            <w:tcW w:w="30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4</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center"/>
              <w:rPr/>
            </w:pPr>
            <w:r>
              <w:rPr/>
              <w:t></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center"/>
              <w:rPr/>
            </w:pPr>
            <w:r>
              <w:rPr/>
              <w:t></w:t>
            </w:r>
          </w:p>
        </w:tc>
        <w:tc>
          <w:tcPr>
            <w:tcW w:w="11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0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center"/>
              <w:rPr/>
            </w:pPr>
            <w:r>
              <w:rPr/>
              <w:t></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center"/>
              <w:rPr/>
            </w:pPr>
            <w:r>
              <w:rPr/>
              <w:t></w:t>
            </w:r>
          </w:p>
        </w:tc>
        <w:tc>
          <w:tcPr>
            <w:tcW w:w="11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center"/>
              <w:rPr/>
            </w:pPr>
            <w:r>
              <w:rPr/>
              <w:t></w:t>
            </w:r>
          </w:p>
        </w:tc>
        <w:tc>
          <w:tcPr>
            <w:tcW w:w="1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and related costs</w:t>
            </w:r>
          </w:p>
        </w:tc>
        <w:tc>
          <w:tcPr>
            <w:tcW w:w="30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26</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center"/>
              <w:rPr/>
            </w:pPr>
            <w:r>
              <w:rPr/>
              <w:t></w:t>
            </w:r>
          </w:p>
        </w:tc>
        <w:tc>
          <w:tcPr>
            <w:tcW w:w="11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Public company readiness costs</w:t>
            </w:r>
          </w:p>
        </w:tc>
        <w:tc>
          <w:tcPr>
            <w:tcW w:w="30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14</w:t>
            </w:r>
          </w:p>
        </w:tc>
        <w:tc>
          <w:tcPr>
            <w:tcW w:w="11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8</w:t>
            </w:r>
          </w:p>
        </w:tc>
        <w:tc>
          <w:tcPr>
            <w:tcW w:w="1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(expenses), net</w:t>
            </w:r>
          </w:p>
        </w:tc>
        <w:tc>
          <w:tcPr>
            <w:tcW w:w="30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center"/>
              <w:rPr/>
            </w:pPr>
            <w:r>
              <w:rPr/>
              <w:t></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center"/>
              <w:rPr/>
            </w:pPr>
            <w:r>
              <w:rPr/>
              <w:t></w:t>
            </w:r>
          </w:p>
        </w:tc>
        <w:tc>
          <w:tcPr>
            <w:tcW w:w="11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center"/>
              <w:rPr/>
            </w:pPr>
            <w:r>
              <w:rPr/>
              <w:t></w:t>
            </w:r>
          </w:p>
        </w:tc>
        <w:tc>
          <w:tcPr>
            <w:tcW w:w="163" w:type="dxa"/>
            <w:tcBorders/>
            <w:shd w:fill="CCEEFF" w:val="clear"/>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30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783</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731</w:t>
            </w:r>
          </w:p>
        </w:tc>
        <w:tc>
          <w:tcPr>
            <w:tcW w:w="6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398" w:type="dxa"/>
            <w:tcBorders/>
            <w:vAlign w:val="bottom"/>
          </w:tcPr>
          <w:p>
            <w:pPr>
              <w:pStyle w:val="TableContents"/>
              <w:bidi w:val="0"/>
              <w:spacing w:before="0" w:after="283"/>
              <w:jc w:val="right"/>
              <w:rPr/>
            </w:pPr>
            <w:r>
              <w:rPr/>
              <w:t>304</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272</w:t>
            </w:r>
          </w:p>
        </w:tc>
        <w:tc>
          <w:tcPr>
            <w:tcW w:w="11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297</w:t>
            </w:r>
          </w:p>
        </w:tc>
        <w:tc>
          <w:tcPr>
            <w:tcW w:w="163" w:type="dxa"/>
            <w:tcBorders/>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share-based compensation expense, including both cash and equity settled awards, was $326 million, $26 million and $54 million for the fiscal years ended March 31, 2023, 2022 and 2021, respectively. In the fiscal year ended March 31, 2022, the equity-settled share-based compensation expense of $30 million was more than the total share-based compensation expense of $26 million due to liability-settled share-based compensation expense credits primarily attributable to executive departures. Total share-based compensation expense, including both cash and equity settled awards, was $158 million and $13 million for the fiscal quarters ended June 30, 2023 and 2022, respectively. In the quarter ended June 30, 2022, the share-based compensation income of $7 million pertains to a decrease in fair value of certain liability-classified awards that will be settled in equity at the time of vesting. For non-GAAP purposes, we adjust for those awards that are currently liability-classified but will be equity settled after the initial public offering. Liability-classified awards are remeasured at the end of each reporting period through the date of settlement to ensure that the expense recognized for each award is equivalent to the amount to be paid in cash or equity settled after the initial public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reconciliation of Non-GAAP net income from continuing operations to Net income from continuing operations, the most directly comparable GAAP financial measure: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51"/>
        <w:gridCol w:w="250"/>
        <w:gridCol w:w="140"/>
        <w:gridCol w:w="500"/>
        <w:gridCol w:w="155"/>
        <w:gridCol w:w="250"/>
        <w:gridCol w:w="140"/>
        <w:gridCol w:w="461"/>
        <w:gridCol w:w="155"/>
        <w:gridCol w:w="250"/>
        <w:gridCol w:w="140"/>
        <w:gridCol w:w="461"/>
        <w:gridCol w:w="155"/>
        <w:gridCol w:w="162"/>
        <w:gridCol w:w="232"/>
        <w:gridCol w:w="847"/>
        <w:gridCol w:w="97"/>
        <w:gridCol w:w="194"/>
        <w:gridCol w:w="232"/>
        <w:gridCol w:w="849"/>
        <w:gridCol w:w="167"/>
      </w:tblGrid>
      <w:tr>
        <w:trPr/>
        <w:tc>
          <w:tcPr>
            <w:tcW w:w="3551"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51"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652"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Fiscal Year</w:t>
            </w:r>
            <w:r>
              <w:rPr/>
              <w:br/>
            </w:r>
            <w:r>
              <w:rPr>
                <w:b/>
              </w:rPr>
              <w:t>Ended March 31,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pPr>
            <w:r>
              <w:rPr>
                <w:b/>
              </w:rPr>
              <w:t>For the Fiscal Quarter</w:t>
            </w:r>
            <w:r>
              <w:rPr/>
              <w:br/>
            </w:r>
            <w:r>
              <w:rPr>
                <w:b/>
              </w:rPr>
              <w:t>Ended June 30,</w:t>
            </w:r>
          </w:p>
        </w:tc>
        <w:tc>
          <w:tcPr>
            <w:tcW w:w="167" w:type="dxa"/>
            <w:tcBorders/>
            <w:vAlign w:val="bottom"/>
          </w:tcPr>
          <w:p>
            <w:pPr>
              <w:pStyle w:val="TableContents"/>
              <w:bidi w:val="0"/>
              <w:spacing w:before="0" w:after="283"/>
              <w:jc w:val="left"/>
              <w:rPr/>
            </w:pPr>
            <w:r>
              <w:rPr/>
              <w:t> </w:t>
            </w:r>
          </w:p>
        </w:tc>
      </w:tr>
      <w:tr>
        <w:trPr/>
        <w:tc>
          <w:tcPr>
            <w:tcW w:w="355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250" w:type="dxa"/>
            <w:tcBorders/>
            <w:vAlign w:val="bottom"/>
          </w:tcPr>
          <w:p>
            <w:pPr>
              <w:pStyle w:val="TableContents"/>
              <w:bidi w:val="0"/>
              <w:spacing w:before="0" w:after="283"/>
              <w:jc w:val="left"/>
              <w:rPr/>
            </w:pPr>
            <w:r>
              <w:rPr/>
              <w:t>  </w:t>
            </w:r>
          </w:p>
        </w:tc>
        <w:tc>
          <w:tcPr>
            <w:tcW w:w="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9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67" w:type="dxa"/>
            <w:tcBorders/>
            <w:vAlign w:val="bottom"/>
          </w:tcPr>
          <w:p>
            <w:pPr>
              <w:pStyle w:val="TableContents"/>
              <w:bidi w:val="0"/>
              <w:spacing w:before="0" w:after="283"/>
              <w:jc w:val="left"/>
              <w:rPr/>
            </w:pPr>
            <w:r>
              <w:rPr/>
              <w:t> </w:t>
            </w:r>
          </w:p>
        </w:tc>
      </w:tr>
      <w:tr>
        <w:trPr/>
        <w:tc>
          <w:tcPr>
            <w:tcW w:w="3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continuing operations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t>  </w:t>
            </w:r>
            <w:r>
              <w:rPr/>
              <w:t>524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1" w:type="dxa"/>
            <w:tcBorders/>
            <w:shd w:fill="CCEEFF" w:val="clear"/>
            <w:vAlign w:val="bottom"/>
          </w:tcPr>
          <w:p>
            <w:pPr>
              <w:pStyle w:val="TableContents"/>
              <w:bidi w:val="0"/>
              <w:spacing w:before="0" w:after="283"/>
              <w:jc w:val="right"/>
              <w:rPr/>
            </w:pPr>
            <w:r>
              <w:rPr/>
              <w:t>676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1" w:type="dxa"/>
            <w:tcBorders/>
            <w:shd w:fill="CCEEFF" w:val="clear"/>
            <w:vAlign w:val="bottom"/>
          </w:tcPr>
          <w:p>
            <w:pPr>
              <w:pStyle w:val="TableContents"/>
              <w:bidi w:val="0"/>
              <w:spacing w:before="0" w:after="283"/>
              <w:jc w:val="right"/>
              <w:rPr/>
            </w:pPr>
            <w:r>
              <w:rPr/>
              <w:t>544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  </w:t>
            </w:r>
            <w:r>
              <w:rPr/>
              <w:t>105</w:t>
            </w:r>
          </w:p>
        </w:tc>
        <w:tc>
          <w:tcPr>
            <w:tcW w:w="9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  </w:t>
            </w:r>
            <w:r>
              <w:rPr/>
              <w:t>225</w:t>
            </w:r>
          </w:p>
        </w:tc>
        <w:tc>
          <w:tcPr>
            <w:tcW w:w="167" w:type="dxa"/>
            <w:tcBorders/>
            <w:shd w:fill="CCEEFF" w:val="clear"/>
            <w:vAlign w:val="bottom"/>
          </w:tcPr>
          <w:p>
            <w:pPr>
              <w:pStyle w:val="TableContents"/>
              <w:bidi w:val="0"/>
              <w:spacing w:before="0" w:after="283"/>
              <w:jc w:val="left"/>
              <w:rPr/>
            </w:pPr>
            <w:r>
              <w:rPr/>
              <w:t> </w:t>
            </w:r>
          </w:p>
        </w:tc>
      </w:tr>
      <w:tr>
        <w:trPr/>
        <w:tc>
          <w:tcPr>
            <w:tcW w:w="3551"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for:</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3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Acquisition-related intangible asset amortization</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w:t>
            </w:r>
          </w:p>
        </w:tc>
        <w:tc>
          <w:tcPr>
            <w:tcW w:w="9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2</w:t>
            </w:r>
          </w:p>
        </w:tc>
        <w:tc>
          <w:tcPr>
            <w:tcW w:w="167" w:type="dxa"/>
            <w:tcBorders/>
            <w:shd w:fill="CCEEFF" w:val="clear"/>
            <w:vAlign w:val="bottom"/>
          </w:tcPr>
          <w:p>
            <w:pPr>
              <w:pStyle w:val="TableContents"/>
              <w:bidi w:val="0"/>
              <w:spacing w:before="0" w:after="283"/>
              <w:jc w:val="left"/>
              <w:rPr/>
            </w:pPr>
            <w:r>
              <w:rPr/>
              <w:t> </w:t>
            </w:r>
          </w:p>
        </w:tc>
      </w:tr>
      <w:tr>
        <w:trPr/>
        <w:tc>
          <w:tcPr>
            <w:tcW w:w="3551"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 (equity settled)(1)</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146</w:t>
            </w:r>
          </w:p>
        </w:tc>
        <w:tc>
          <w:tcPr>
            <w:tcW w:w="9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(7</w:t>
            </w:r>
          </w:p>
        </w:tc>
        <w:tc>
          <w:tcPr>
            <w:tcW w:w="167" w:type="dxa"/>
            <w:tcBorders/>
            <w:vAlign w:val="bottom"/>
          </w:tcPr>
          <w:p>
            <w:pPr>
              <w:pStyle w:val="TableContents"/>
              <w:bidi w:val="0"/>
              <w:spacing w:before="0" w:after="283"/>
              <w:jc w:val="left"/>
              <w:rPr/>
            </w:pPr>
            <w:r>
              <w:rPr/>
              <w:t>) </w:t>
            </w:r>
          </w:p>
        </w:tc>
      </w:tr>
      <w:tr>
        <w:trPr/>
        <w:tc>
          <w:tcPr>
            <w:tcW w:w="3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associated with disposal activities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center"/>
              <w:rPr/>
            </w:pPr>
            <w:r>
              <w:rPr/>
              <w:t></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w:t>
            </w:r>
          </w:p>
        </w:tc>
        <w:tc>
          <w:tcPr>
            <w:tcW w:w="9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w:t>
            </w:r>
          </w:p>
        </w:tc>
        <w:tc>
          <w:tcPr>
            <w:tcW w:w="167" w:type="dxa"/>
            <w:tcBorders/>
            <w:shd w:fill="CCEEFF" w:val="clear"/>
            <w:vAlign w:val="bottom"/>
          </w:tcPr>
          <w:p>
            <w:pPr>
              <w:pStyle w:val="TableContents"/>
              <w:bidi w:val="0"/>
              <w:spacing w:before="0" w:after="283"/>
              <w:jc w:val="left"/>
              <w:rPr/>
            </w:pPr>
            <w:r>
              <w:rPr/>
              <w:t>) </w:t>
            </w:r>
          </w:p>
        </w:tc>
      </w:tr>
      <w:tr>
        <w:trPr/>
        <w:tc>
          <w:tcPr>
            <w:tcW w:w="3551"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disposal of business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w:t>
            </w:r>
          </w:p>
        </w:tc>
        <w:tc>
          <w:tcPr>
            <w:tcW w:w="9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center"/>
              <w:rPr/>
            </w:pPr>
            <w:r>
              <w:rPr/>
              <w:t></w:t>
            </w:r>
          </w:p>
        </w:tc>
        <w:tc>
          <w:tcPr>
            <w:tcW w:w="167" w:type="dxa"/>
            <w:tcBorders/>
            <w:vAlign w:val="bottom"/>
          </w:tcPr>
          <w:p>
            <w:pPr>
              <w:pStyle w:val="TableContents"/>
              <w:bidi w:val="0"/>
              <w:spacing w:before="0" w:after="283"/>
              <w:jc w:val="left"/>
              <w:rPr/>
            </w:pPr>
            <w:r>
              <w:rPr/>
              <w:t> </w:t>
            </w:r>
          </w:p>
        </w:tc>
      </w:tr>
      <w:tr>
        <w:trPr/>
        <w:tc>
          <w:tcPr>
            <w:tcW w:w="3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w:t>
            </w:r>
          </w:p>
        </w:tc>
        <w:tc>
          <w:tcPr>
            <w:tcW w:w="9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center"/>
              <w:rPr/>
            </w:pPr>
            <w:r>
              <w:rPr/>
              <w:t></w:t>
            </w:r>
          </w:p>
        </w:tc>
        <w:tc>
          <w:tcPr>
            <w:tcW w:w="167" w:type="dxa"/>
            <w:tcBorders/>
            <w:shd w:fill="CCEEFF" w:val="clear"/>
            <w:vAlign w:val="bottom"/>
          </w:tcPr>
          <w:p>
            <w:pPr>
              <w:pStyle w:val="TableContents"/>
              <w:bidi w:val="0"/>
              <w:spacing w:before="0" w:after="283"/>
              <w:jc w:val="left"/>
              <w:rPr/>
            </w:pPr>
            <w:r>
              <w:rPr/>
              <w:t> </w:t>
            </w:r>
          </w:p>
        </w:tc>
      </w:tr>
      <w:tr>
        <w:trPr/>
        <w:tc>
          <w:tcPr>
            <w:tcW w:w="355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and related costs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w:t>
            </w:r>
          </w:p>
        </w:tc>
        <w:tc>
          <w:tcPr>
            <w:tcW w:w="9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w:t>
            </w:r>
          </w:p>
        </w:tc>
        <w:tc>
          <w:tcPr>
            <w:tcW w:w="167" w:type="dxa"/>
            <w:tcBorders/>
            <w:vAlign w:val="bottom"/>
          </w:tcPr>
          <w:p>
            <w:pPr>
              <w:pStyle w:val="TableContents"/>
              <w:bidi w:val="0"/>
              <w:spacing w:before="0" w:after="283"/>
              <w:jc w:val="left"/>
              <w:rPr/>
            </w:pPr>
            <w:r>
              <w:rPr/>
              <w:t> </w:t>
            </w:r>
          </w:p>
        </w:tc>
      </w:tr>
      <w:tr>
        <w:trPr/>
        <w:tc>
          <w:tcPr>
            <w:tcW w:w="3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company readiness costs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14</w:t>
            </w:r>
          </w:p>
        </w:tc>
        <w:tc>
          <w:tcPr>
            <w:tcW w:w="9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8</w:t>
            </w:r>
          </w:p>
        </w:tc>
        <w:tc>
          <w:tcPr>
            <w:tcW w:w="167" w:type="dxa"/>
            <w:tcBorders/>
            <w:shd w:fill="CCEEFF" w:val="clear"/>
            <w:vAlign w:val="bottom"/>
          </w:tcPr>
          <w:p>
            <w:pPr>
              <w:pStyle w:val="TableContents"/>
              <w:bidi w:val="0"/>
              <w:spacing w:before="0" w:after="283"/>
              <w:jc w:val="left"/>
              <w:rPr/>
            </w:pPr>
            <w:r>
              <w:rPr/>
              <w:t> </w:t>
            </w:r>
          </w:p>
        </w:tc>
      </w:tr>
      <w:tr>
        <w:trPr/>
        <w:tc>
          <w:tcPr>
            <w:tcW w:w="3551"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 (expenses), net</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w:t>
            </w:r>
          </w:p>
        </w:tc>
        <w:tc>
          <w:tcPr>
            <w:tcW w:w="9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center"/>
              <w:rPr/>
            </w:pPr>
            <w:r>
              <w:rPr/>
              <w:t></w:t>
            </w:r>
          </w:p>
        </w:tc>
        <w:tc>
          <w:tcPr>
            <w:tcW w:w="167" w:type="dxa"/>
            <w:tcBorders/>
            <w:vAlign w:val="bottom"/>
          </w:tcPr>
          <w:p>
            <w:pPr>
              <w:pStyle w:val="TableContents"/>
              <w:bidi w:val="0"/>
              <w:spacing w:before="0" w:after="283"/>
              <w:jc w:val="left"/>
              <w:rPr/>
            </w:pPr>
            <w:r>
              <w:rPr/>
              <w:t> </w:t>
            </w:r>
          </w:p>
        </w:tc>
      </w:tr>
      <w:tr>
        <w:trPr/>
        <w:tc>
          <w:tcPr>
            <w:tcW w:w="3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equity method investments, net</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(476</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7</w:t>
            </w:r>
          </w:p>
        </w:tc>
        <w:tc>
          <w:tcPr>
            <w:tcW w:w="9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14</w:t>
            </w:r>
          </w:p>
        </w:tc>
        <w:tc>
          <w:tcPr>
            <w:tcW w:w="167" w:type="dxa"/>
            <w:tcBorders/>
            <w:shd w:fill="CCEEFF" w:val="clear"/>
            <w:vAlign w:val="bottom"/>
          </w:tcPr>
          <w:p>
            <w:pPr>
              <w:pStyle w:val="TableContents"/>
              <w:bidi w:val="0"/>
              <w:spacing w:before="0" w:after="283"/>
              <w:jc w:val="left"/>
              <w:rPr/>
            </w:pPr>
            <w:r>
              <w:rPr/>
              <w:t> </w:t>
            </w:r>
          </w:p>
        </w:tc>
      </w:tr>
      <w:tr>
        <w:trPr/>
        <w:tc>
          <w:tcPr>
            <w:tcW w:w="3551"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551" w:type="dxa"/>
            <w:tcBorders/>
          </w:tcPr>
          <w:p>
            <w:pPr>
              <w:pStyle w:val="TableContents"/>
              <w:bidi w:val="0"/>
              <w:spacing w:before="0" w:after="0"/>
              <w:jc w:val="left"/>
              <w:rPr>
                <w:rFonts w:ascii="Times New Roman" w:hAnsi="Times New Roman"/>
                <w:sz w:val="20"/>
              </w:rPr>
            </w:pPr>
            <w:r>
              <w:rPr>
                <w:rFonts w:ascii="Times New Roman" w:hAnsi="Times New Roman"/>
                <w:sz w:val="20"/>
              </w:rPr>
              <w:t>Pre-tax total non-GAAP adjustments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153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(411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168</w:t>
            </w:r>
          </w:p>
        </w:tc>
        <w:tc>
          <w:tcPr>
            <w:tcW w:w="9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17</w:t>
            </w:r>
          </w:p>
        </w:tc>
        <w:tc>
          <w:tcPr>
            <w:tcW w:w="167" w:type="dxa"/>
            <w:tcBorders/>
            <w:vAlign w:val="bottom"/>
          </w:tcPr>
          <w:p>
            <w:pPr>
              <w:pStyle w:val="TableContents"/>
              <w:bidi w:val="0"/>
              <w:spacing w:before="0" w:after="283"/>
              <w:jc w:val="left"/>
              <w:rPr/>
            </w:pPr>
            <w:r>
              <w:rPr/>
              <w:t> </w:t>
            </w:r>
          </w:p>
        </w:tc>
      </w:tr>
      <w:tr>
        <w:trPr/>
        <w:tc>
          <w:tcPr>
            <w:tcW w:w="3551"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effects on non-GAAP adjustments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(27)</w:t>
            </w:r>
          </w:p>
        </w:tc>
        <w:tc>
          <w:tcPr>
            <w:tcW w:w="9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(6</w:t>
            </w:r>
          </w:p>
        </w:tc>
        <w:tc>
          <w:tcPr>
            <w:tcW w:w="167" w:type="dxa"/>
            <w:tcBorders/>
            <w:shd w:fill="CCEEFF" w:val="clear"/>
            <w:vAlign w:val="bottom"/>
          </w:tcPr>
          <w:p>
            <w:pPr>
              <w:pStyle w:val="TableContents"/>
              <w:bidi w:val="0"/>
              <w:spacing w:before="0" w:after="283"/>
              <w:jc w:val="left"/>
              <w:rPr/>
            </w:pPr>
            <w:r>
              <w:rPr/>
              <w:t>) </w:t>
            </w:r>
          </w:p>
        </w:tc>
      </w:tr>
      <w:tr>
        <w:trPr/>
        <w:tc>
          <w:tcPr>
            <w:tcW w:w="3551"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551"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from continuing operations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t>657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1" w:type="dxa"/>
            <w:tcBorders/>
            <w:vAlign w:val="bottom"/>
          </w:tcPr>
          <w:p>
            <w:pPr>
              <w:pStyle w:val="TableContents"/>
              <w:bidi w:val="0"/>
              <w:spacing w:before="0" w:after="283"/>
              <w:jc w:val="right"/>
              <w:rPr/>
            </w:pPr>
            <w:r>
              <w:rPr/>
              <w:t>663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1"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246</w:t>
            </w:r>
          </w:p>
        </w:tc>
        <w:tc>
          <w:tcPr>
            <w:tcW w:w="9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236</w:t>
            </w:r>
          </w:p>
        </w:tc>
        <w:tc>
          <w:tcPr>
            <w:tcW w:w="167" w:type="dxa"/>
            <w:tcBorders/>
            <w:vAlign w:val="bottom"/>
          </w:tcPr>
          <w:p>
            <w:pPr>
              <w:pStyle w:val="TableContents"/>
              <w:bidi w:val="0"/>
              <w:spacing w:before="0" w:after="283"/>
              <w:jc w:val="left"/>
              <w:rPr/>
            </w:pPr>
            <w:r>
              <w:rPr/>
              <w:t> </w:t>
            </w:r>
          </w:p>
        </w:tc>
      </w:tr>
      <w:tr>
        <w:trPr/>
        <w:tc>
          <w:tcPr>
            <w:tcW w:w="3551"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share-based compensation expense, including both cash and equity settled awards, was $326 million, $26 million and $54 million for the fiscal years ended March 31, 2023, 2022 and 2021, respectively. In the fiscal year ended March 31, 2022, the equity-settled share-based compensation expense of $30 million was more than the total share-based compensation expense of $26 million due to liability-settled share-based compensation expense credits primarily attributable to executive departures. Total share-based compensation expense, including both cash and equity settled awards, was $158 million and $13 million for the fiscal quarters ended June 30, 2023 and 2022, respectively. In the quarter ended June 30, 2022, the share-based compensation income of $7 million pertains to a decrease in fair value of certain liability-classified awards that will be settled in equity at the time of vesting. For non-GAAP purposes, we adjust for those awards that are currently liability-classified but will be equity settled after the initial public offering. Liability-classified awards are remeasured at the end of each reporting period through the date of settlement to ensure that the expense recognized for each award is equivalent to the amount to be paid in cash or equity settled after the initial public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reconciliation of Non-GAAP free cash flow to Net cash provided by operating activities, the most directly comparable GAAP cash flow measure: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23"/>
        <w:gridCol w:w="276"/>
        <w:gridCol w:w="140"/>
        <w:gridCol w:w="382"/>
        <w:gridCol w:w="155"/>
        <w:gridCol w:w="276"/>
        <w:gridCol w:w="140"/>
        <w:gridCol w:w="382"/>
        <w:gridCol w:w="155"/>
        <w:gridCol w:w="276"/>
        <w:gridCol w:w="140"/>
        <w:gridCol w:w="585"/>
        <w:gridCol w:w="155"/>
        <w:gridCol w:w="180"/>
        <w:gridCol w:w="247"/>
        <w:gridCol w:w="792"/>
        <w:gridCol w:w="268"/>
        <w:gridCol w:w="214"/>
        <w:gridCol w:w="247"/>
        <w:gridCol w:w="795"/>
        <w:gridCol w:w="160"/>
      </w:tblGrid>
      <w:tr>
        <w:trPr/>
        <w:tc>
          <w:tcPr>
            <w:tcW w:w="3423"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631"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Fiscal Year</w:t>
            </w:r>
            <w:r>
              <w:rPr/>
              <w:br/>
            </w:r>
            <w:r>
              <w:rPr>
                <w:b/>
              </w:rPr>
              <w:t>Ended March 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563" w:type="dxa"/>
            <w:gridSpan w:val="6"/>
            <w:tcBorders>
              <w:bottom w:val="single" w:sz="8" w:space="0" w:color="000000"/>
            </w:tcBorders>
            <w:tcMar>
              <w:bottom w:w="28" w:type="dxa"/>
            </w:tcMar>
            <w:vAlign w:val="bottom"/>
          </w:tcPr>
          <w:p>
            <w:pPr>
              <w:pStyle w:val="TableContents"/>
              <w:bidi w:val="0"/>
              <w:spacing w:before="0" w:after="283"/>
              <w:jc w:val="center"/>
              <w:rPr/>
            </w:pPr>
            <w:r>
              <w:rPr>
                <w:b/>
              </w:rPr>
              <w:t>For the Fiscal Quarter</w:t>
            </w:r>
            <w:r>
              <w:rPr/>
              <w:br/>
            </w:r>
            <w:r>
              <w:rPr>
                <w:b/>
              </w:rPr>
              <w:t>Ended June 30,</w:t>
            </w:r>
          </w:p>
        </w:tc>
        <w:tc>
          <w:tcPr>
            <w:tcW w:w="160" w:type="dxa"/>
            <w:tcBorders/>
            <w:vAlign w:val="bottom"/>
          </w:tcPr>
          <w:p>
            <w:pPr>
              <w:pStyle w:val="TableContents"/>
              <w:bidi w:val="0"/>
              <w:spacing w:before="0" w:after="283"/>
              <w:jc w:val="left"/>
              <w:rPr/>
            </w:pPr>
            <w:r>
              <w:rPr/>
              <w:t> </w:t>
            </w:r>
          </w:p>
        </w:tc>
      </w:tr>
      <w:tr>
        <w:trPr/>
        <w:tc>
          <w:tcPr>
            <w:tcW w:w="342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276"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6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60" w:type="dxa"/>
            <w:tcBorders/>
            <w:vAlign w:val="bottom"/>
          </w:tcPr>
          <w:p>
            <w:pPr>
              <w:pStyle w:val="TableContents"/>
              <w:bidi w:val="0"/>
              <w:spacing w:before="0" w:after="283"/>
              <w:jc w:val="left"/>
              <w:rPr/>
            </w:pPr>
            <w:r>
              <w:rPr/>
              <w:t> </w:t>
            </w:r>
          </w:p>
        </w:tc>
      </w:tr>
      <w:tr>
        <w:trPr/>
        <w:tc>
          <w:tcPr>
            <w:tcW w:w="34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for) operating activities</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739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458</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1,233</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(114</w:t>
            </w:r>
          </w:p>
        </w:tc>
        <w:tc>
          <w:tcPr>
            <w:tcW w:w="26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(231</w:t>
            </w:r>
          </w:p>
        </w:tc>
        <w:tc>
          <w:tcPr>
            <w:tcW w:w="160" w:type="dxa"/>
            <w:tcBorders/>
            <w:shd w:fill="CCEEFF" w:val="clear"/>
            <w:vAlign w:val="bottom"/>
          </w:tcPr>
          <w:p>
            <w:pPr>
              <w:pStyle w:val="TableContents"/>
              <w:bidi w:val="0"/>
              <w:spacing w:before="0" w:after="283"/>
              <w:jc w:val="left"/>
              <w:rPr/>
            </w:pPr>
            <w:r>
              <w:rPr/>
              <w:t>) </w:t>
            </w:r>
          </w:p>
        </w:tc>
      </w:tr>
      <w:tr>
        <w:trPr/>
        <w:tc>
          <w:tcPr>
            <w:tcW w:w="3423"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for:</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4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(104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(26</w:t>
            </w:r>
          </w:p>
        </w:tc>
        <w:tc>
          <w:tcPr>
            <w:tcW w:w="26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(12</w:t>
            </w:r>
          </w:p>
        </w:tc>
        <w:tc>
          <w:tcPr>
            <w:tcW w:w="160" w:type="dxa"/>
            <w:tcBorders/>
            <w:shd w:fill="CCEEFF" w:val="clear"/>
            <w:vAlign w:val="bottom"/>
          </w:tcPr>
          <w:p>
            <w:pPr>
              <w:pStyle w:val="TableContents"/>
              <w:bidi w:val="0"/>
              <w:spacing w:before="0" w:after="283"/>
              <w:jc w:val="left"/>
              <w:rPr/>
            </w:pPr>
            <w:r>
              <w:rPr/>
              <w:t>) </w:t>
            </w:r>
          </w:p>
        </w:tc>
      </w:tr>
      <w:tr>
        <w:trPr/>
        <w:tc>
          <w:tcPr>
            <w:tcW w:w="3423"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intangible assets</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26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(14</w:t>
            </w:r>
          </w:p>
        </w:tc>
        <w:tc>
          <w:tcPr>
            <w:tcW w:w="160" w:type="dxa"/>
            <w:tcBorders/>
            <w:vAlign w:val="bottom"/>
          </w:tcPr>
          <w:p>
            <w:pPr>
              <w:pStyle w:val="TableContents"/>
              <w:bidi w:val="0"/>
              <w:spacing w:before="0" w:after="283"/>
              <w:jc w:val="left"/>
              <w:rPr/>
            </w:pPr>
            <w:r>
              <w:rPr/>
              <w:t>) </w:t>
            </w:r>
          </w:p>
        </w:tc>
      </w:tr>
      <w:tr>
        <w:trPr/>
        <w:tc>
          <w:tcPr>
            <w:tcW w:w="34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intangible asset obligations</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(10</w:t>
            </w:r>
          </w:p>
        </w:tc>
        <w:tc>
          <w:tcPr>
            <w:tcW w:w="26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(11</w:t>
            </w:r>
          </w:p>
        </w:tc>
        <w:tc>
          <w:tcPr>
            <w:tcW w:w="160" w:type="dxa"/>
            <w:tcBorders/>
            <w:shd w:fill="CCEEFF" w:val="clear"/>
            <w:vAlign w:val="bottom"/>
          </w:tcPr>
          <w:p>
            <w:pPr>
              <w:pStyle w:val="TableContents"/>
              <w:bidi w:val="0"/>
              <w:spacing w:before="0" w:after="283"/>
              <w:jc w:val="left"/>
              <w:rPr/>
            </w:pPr>
            <w:r>
              <w:rPr/>
              <w:t>) </w:t>
            </w:r>
          </w:p>
        </w:tc>
      </w:tr>
      <w:tr>
        <w:trPr/>
        <w:tc>
          <w:tcPr>
            <w:tcW w:w="3423"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268"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23" w:type="dxa"/>
            <w:tcBorders/>
          </w:tcPr>
          <w:p>
            <w:pPr>
              <w:pStyle w:val="TableContents"/>
              <w:bidi w:val="0"/>
              <w:spacing w:before="0" w:after="0"/>
              <w:jc w:val="left"/>
              <w:rPr>
                <w:rFonts w:ascii="Times New Roman" w:hAnsi="Times New Roman"/>
                <w:sz w:val="20"/>
              </w:rPr>
            </w:pPr>
            <w:r>
              <w:rPr>
                <w:rFonts w:ascii="Times New Roman" w:hAnsi="Times New Roman"/>
                <w:sz w:val="20"/>
              </w:rPr>
              <w:t>Non-GAAP free cash flow</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606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346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1,030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792" w:type="dxa"/>
            <w:tcBorders/>
            <w:vAlign w:val="bottom"/>
          </w:tcPr>
          <w:p>
            <w:pPr>
              <w:pStyle w:val="TableContents"/>
              <w:bidi w:val="0"/>
              <w:spacing w:before="0" w:after="283"/>
              <w:jc w:val="right"/>
              <w:rPr/>
            </w:pPr>
            <w:r>
              <w:rPr/>
              <w:t>(150</w:t>
            </w:r>
          </w:p>
        </w:tc>
        <w:tc>
          <w:tcPr>
            <w:tcW w:w="26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795" w:type="dxa"/>
            <w:tcBorders/>
            <w:vAlign w:val="bottom"/>
          </w:tcPr>
          <w:p>
            <w:pPr>
              <w:pStyle w:val="TableContents"/>
              <w:bidi w:val="0"/>
              <w:spacing w:before="0" w:after="283"/>
              <w:jc w:val="right"/>
              <w:rPr/>
            </w:pPr>
            <w:r>
              <w:rPr/>
              <w:t>(268</w:t>
            </w:r>
          </w:p>
        </w:tc>
        <w:tc>
          <w:tcPr>
            <w:tcW w:w="160" w:type="dxa"/>
            <w:tcBorders/>
            <w:vAlign w:val="bottom"/>
          </w:tcPr>
          <w:p>
            <w:pPr>
              <w:pStyle w:val="TableContents"/>
              <w:bidi w:val="0"/>
              <w:spacing w:before="0" w:after="283"/>
              <w:jc w:val="left"/>
              <w:rPr/>
            </w:pPr>
            <w:r>
              <w:rPr/>
              <w:t>) </w:t>
            </w:r>
          </w:p>
        </w:tc>
      </w:tr>
      <w:tr>
        <w:trPr/>
        <w:tc>
          <w:tcPr>
            <w:tcW w:w="3423"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268"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 one-time $750 million non-cancellable and non-refundable prepayment from a large technology customer.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Total Revenue </w:t>
      </w:r>
    </w:p>
    <w:p>
      <w:pPr>
        <w:pStyle w:val="TextBody"/>
        <w:bidi w:val="0"/>
        <w:spacing w:before="120" w:after="0"/>
        <w:jc w:val="left"/>
        <w:rPr>
          <w:rFonts w:ascii="Times New Roman" w:hAnsi="Times New Roman"/>
          <w:sz w:val="20"/>
        </w:rPr>
      </w:pPr>
      <w:r>
        <w:rPr>
          <w:rFonts w:ascii="Times New Roman" w:hAnsi="Times New Roman"/>
          <w:sz w:val="20"/>
        </w:rPr>
        <w:t xml:space="preserve">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 </w:t>
      </w:r>
    </w:p>
    <w:p>
      <w:pPr>
        <w:pStyle w:val="TextBody"/>
        <w:bidi w:val="0"/>
        <w:spacing w:before="240" w:after="0"/>
        <w:jc w:val="left"/>
        <w:rPr>
          <w:rFonts w:ascii="Times New Roman" w:hAnsi="Times New Roman"/>
          <w:sz w:val="20"/>
        </w:rPr>
      </w:pPr>
      <w:r>
        <w:rPr>
          <w:rFonts w:ascii="Times New Roman" w:hAnsi="Times New Roman"/>
          <w:sz w:val="20"/>
        </w:rPr>
        <w:t xml:space="preserve">We disaggregate revenue into the following major categories: </w:t>
      </w:r>
    </w:p>
    <w:p>
      <w:pPr>
        <w:pStyle w:val="TextBody"/>
        <w:bidi w:val="0"/>
        <w:spacing w:before="360" w:after="0"/>
        <w:jc w:val="left"/>
        <w:rPr>
          <w:rFonts w:ascii="Times New Roman" w:hAnsi="Times New Roman"/>
          <w:i/>
          <w:sz w:val="20"/>
        </w:rPr>
      </w:pPr>
      <w:r>
        <w:rPr>
          <w:rFonts w:ascii="Times New Roman" w:hAnsi="Times New Roman"/>
          <w:i/>
          <w:sz w:val="20"/>
        </w:rPr>
        <w:t xml:space="preserve">License and Other Revenue </w:t>
      </w:r>
    </w:p>
    <w:p>
      <w:pPr>
        <w:pStyle w:val="TextBody"/>
        <w:bidi w:val="0"/>
        <w:spacing w:before="120" w:after="0"/>
        <w:jc w:val="left"/>
        <w:rPr>
          <w:rFonts w:ascii="Times New Roman" w:hAnsi="Times New Roman"/>
          <w:sz w:val="20"/>
        </w:rPr>
      </w:pPr>
      <w:r>
        <w:rPr>
          <w:rFonts w:ascii="Times New Roman" w:hAnsi="Times New Roman"/>
          <w:sz w:val="20"/>
        </w:rPr>
        <w:t xml:space="preserve">License and other revenue includes revenue from licensing, software development tools, design services, training, support, and all other fees that do not constitute royalty revenue. The products licensed by us consists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revenues from a relatively small number of customers. </w:t>
      </w:r>
    </w:p>
    <w:p>
      <w:pPr>
        <w:pStyle w:val="TextBody"/>
        <w:bidi w:val="0"/>
        <w:spacing w:before="240" w:after="0"/>
        <w:jc w:val="left"/>
        <w:rPr>
          <w:rFonts w:ascii="Times New Roman" w:hAnsi="Times New Roman"/>
          <w:sz w:val="20"/>
        </w:rPr>
      </w:pPr>
      <w:r>
        <w:rPr>
          <w:rFonts w:ascii="Times New Roman" w:hAnsi="Times New Roman"/>
          <w:sz w:val="20"/>
        </w:rPr>
        <w:t xml:space="preserve">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Revenues from customer service support are recorded within other revenues. </w:t>
      </w:r>
    </w:p>
    <w:p>
      <w:pPr>
        <w:pStyle w:val="TextBody"/>
        <w:bidi w:val="0"/>
        <w:spacing w:before="240" w:after="0"/>
        <w:jc w:val="left"/>
        <w:rPr>
          <w:rFonts w:ascii="Times New Roman" w:hAnsi="Times New Roman"/>
          <w:sz w:val="20"/>
        </w:rPr>
      </w:pPr>
      <w:r>
        <w:rPr>
          <w:rFonts w:ascii="Times New Roman" w:hAnsi="Times New Roman"/>
          <w:sz w:val="20"/>
        </w:rPr>
        <w:t xml:space="preserve">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 As of June 30, 2023, we had 214 extant Arm Flexible Access agreements with our customers, reflecting an increase of 85 from 129 as of March 31, 2021. </w:t>
      </w:r>
    </w:p>
    <w:p>
      <w:pPr>
        <w:pStyle w:val="TextBody"/>
        <w:bidi w:val="0"/>
        <w:spacing w:before="240" w:after="0"/>
        <w:jc w:val="left"/>
        <w:rPr>
          <w:rFonts w:ascii="Times New Roman" w:hAnsi="Times New Roman"/>
          <w:sz w:val="20"/>
        </w:rPr>
      </w:pPr>
      <w:r>
        <w:rPr>
          <w:rFonts w:ascii="Times New Roman" w:hAnsi="Times New Roman"/>
          <w:sz w:val="20"/>
        </w:rPr>
        <w:t xml:space="preserve">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 As of June 30, 2023, we had 20 extant Arm Total Access agreements with our customers, reflecting an increase of 16 from 4 as of March 31, 2021. </w:t>
      </w:r>
    </w:p>
    <w:p>
      <w:pPr>
        <w:pStyle w:val="TextBody"/>
        <w:bidi w:val="0"/>
        <w:spacing w:before="240" w:after="0"/>
        <w:jc w:val="left"/>
        <w:rPr>
          <w:rFonts w:ascii="Times New Roman" w:hAnsi="Times New Roman"/>
          <w:sz w:val="20"/>
        </w:rPr>
      </w:pPr>
      <w:r>
        <w:rPr>
          <w:rFonts w:ascii="Times New Roman" w:hAnsi="Times New Roman"/>
          <w:sz w:val="20"/>
        </w:rPr>
        <w:t xml:space="preserve">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w:t>
      </w:r>
    </w:p>
    <w:p>
      <w:pPr>
        <w:pStyle w:val="TextBody"/>
        <w:bidi w:val="0"/>
        <w:spacing w:before="0" w:after="0"/>
        <w:jc w:val="left"/>
        <w:rPr>
          <w:rFonts w:ascii="Times New Roman" w:hAnsi="Times New Roman"/>
          <w:sz w:val="20"/>
        </w:rPr>
      </w:pPr>
      <w:r>
        <w:rPr>
          <w:rFonts w:ascii="Times New Roman" w:hAnsi="Times New Roman"/>
          <w:sz w:val="20"/>
        </w:rPr>
        <w:t xml:space="preserve">towards customers specific needs, (iii) training on our products and how to write software to utilize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functionality and capability, and (iv) support and maintenance, for which we generally require an annual fee for a minimum of one year. </w:t>
      </w:r>
    </w:p>
    <w:p>
      <w:pPr>
        <w:pStyle w:val="TextBody"/>
        <w:bidi w:val="0"/>
        <w:spacing w:before="360" w:after="0"/>
        <w:jc w:val="left"/>
        <w:rPr>
          <w:rFonts w:ascii="Times New Roman" w:hAnsi="Times New Roman"/>
          <w:i/>
          <w:sz w:val="20"/>
        </w:rPr>
      </w:pPr>
      <w:r>
        <w:rPr>
          <w:rFonts w:ascii="Times New Roman" w:hAnsi="Times New Roman"/>
          <w:i/>
          <w:sz w:val="20"/>
        </w:rPr>
        <w:t xml:space="preserve">Royalty Revenue </w:t>
      </w:r>
    </w:p>
    <w:p>
      <w:pPr>
        <w:pStyle w:val="TextBody"/>
        <w:bidi w:val="0"/>
        <w:spacing w:before="120" w:after="0"/>
        <w:jc w:val="left"/>
        <w:rPr>
          <w:rFonts w:ascii="Times New Roman" w:hAnsi="Times New Roman"/>
          <w:sz w:val="20"/>
        </w:rPr>
      </w:pPr>
      <w:r>
        <w:rPr>
          <w:rFonts w:ascii="Times New Roman" w:hAnsi="Times New Roman"/>
          <w:sz w:val="20"/>
        </w:rPr>
        <w:t xml:space="preserve">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Key Factors and Trends Affecting Our Operating ResultsAbility to Provide Our Customers with More Value Per Chip above for examples of how customers may incorporate multiple products in a single chip. License contracts require the licensee to issue royalty reports, including details of chip sales, to us on a quarterly basis. </w:t>
      </w:r>
    </w:p>
    <w:p>
      <w:pPr>
        <w:pStyle w:val="TextBody"/>
        <w:bidi w:val="0"/>
        <w:spacing w:before="240" w:after="0"/>
        <w:jc w:val="left"/>
        <w:rPr>
          <w:rFonts w:ascii="Times New Roman" w:hAnsi="Times New Roman"/>
          <w:sz w:val="20"/>
        </w:rPr>
      </w:pPr>
      <w:r>
        <w:rPr>
          <w:rFonts w:ascii="Times New Roman" w:hAnsi="Times New Roman"/>
          <w:sz w:val="20"/>
        </w:rPr>
        <w:t xml:space="preserve">Royalty revenue is recognized on an accrual basis in the quarter in which the customers ship chips containing our products, using an estimate based on sales trends and judgment for several key attributes, including industry estimates of expected shipments, the percentage of markets using our products, and average selling price (with a true-up in the following quarter based on actual sales data once received). </w:t>
      </w:r>
    </w:p>
    <w:p>
      <w:pPr>
        <w:pStyle w:val="TextBody"/>
        <w:bidi w:val="0"/>
        <w:spacing w:before="360" w:after="0"/>
        <w:jc w:val="left"/>
        <w:rPr>
          <w:rFonts w:ascii="Times New Roman" w:hAnsi="Times New Roman"/>
          <w:i/>
          <w:sz w:val="20"/>
        </w:rPr>
      </w:pPr>
      <w:r>
        <w:rPr>
          <w:rFonts w:ascii="Times New Roman" w:hAnsi="Times New Roman"/>
          <w:i/>
          <w:sz w:val="20"/>
        </w:rPr>
        <w:t xml:space="preserve">Revenues from External Customers and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We also separately present revenues derived from contracts with our external customers and those derived from related parties. Revenues from related parties are derived from Arm China and customers in which we have an equity method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Sales </w:t>
      </w:r>
    </w:p>
    <w:p>
      <w:pPr>
        <w:pStyle w:val="TextBody"/>
        <w:bidi w:val="0"/>
        <w:spacing w:before="120" w:after="0"/>
        <w:jc w:val="left"/>
        <w:rPr>
          <w:rFonts w:ascii="Times New Roman" w:hAnsi="Times New Roman"/>
          <w:sz w:val="20"/>
        </w:rPr>
      </w:pPr>
      <w:r>
        <w:rPr>
          <w:rFonts w:ascii="Times New Roman" w:hAnsi="Times New Roman"/>
          <w:sz w:val="20"/>
        </w:rPr>
        <w:t xml:space="preserve">Cost of sales (COS) is comprised primarily of the costs of providing technical support and training to our customers. Occasionally, some Research and Development costs may be classified as COS if one of our IP products is being customized as part of professional and design services.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is at the heart of our business and critical to our future success. Accordingly, we have always invested, and will continue to invest, significant resources in our R&amp;D program.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 </w:t>
      </w:r>
    </w:p>
    <w:p>
      <w:pPr>
        <w:pStyle w:val="TextBody"/>
        <w:bidi w:val="0"/>
        <w:spacing w:before="240" w:after="0"/>
        <w:jc w:val="left"/>
        <w:rPr>
          <w:rFonts w:ascii="Times New Roman" w:hAnsi="Times New Roman"/>
          <w:sz w:val="20"/>
        </w:rPr>
      </w:pPr>
      <w:r>
        <w:rPr>
          <w:rFonts w:ascii="Times New Roman" w:hAnsi="Times New Roman"/>
          <w:sz w:val="20"/>
        </w:rPr>
        <w:t xml:space="preserve">We have substantially increased our R&amp;D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R&amp;D investment in line with the increased development needs of the next generation of products. Engineers are in high demand and well-remunerated, and accordingly our increased R&amp;D activity will continue to result in an increase in costs, principally driven by salaries for such technical employees and the costs of tools they need.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R&amp;D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R&amp;D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Disposal, Restructuring and Other Operating Expenses, Net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we have invested in new systems for our commercial and finance teams to streamline our operations and create efficiencies. In March 2022, we announced a restructuring plan to align our selling, general and administrative workforce with strategic business activities. The expenses associated with this plan are included within Disposal, restructuring and other operating expenses, net in the consolidated income statements and consist of employee termination benefits and other related costs. Disposal expenses consist primarily of transaction costs, such as legal and professional fees, relating to various disposal activities.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Impairment of long-lived assets includes impairments recognized on certain property and equipment and acquired intangibles as a result of lower than anticipated operating results and a deterioration in projected results. For purposes of determining the impairment, we relied on the income approach utilizing discounted cash flows to arrive at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(loss) from Equity Investments, Net </w:t>
      </w:r>
    </w:p>
    <w:p>
      <w:pPr>
        <w:pStyle w:val="TextBody"/>
        <w:bidi w:val="0"/>
        <w:spacing w:before="120" w:after="0"/>
        <w:jc w:val="left"/>
        <w:rPr>
          <w:rFonts w:ascii="Times New Roman" w:hAnsi="Times New Roman"/>
          <w:sz w:val="20"/>
        </w:rPr>
      </w:pPr>
      <w:r>
        <w:rPr>
          <w:rFonts w:ascii="Times New Roman" w:hAnsi="Times New Roman"/>
          <w:sz w:val="20"/>
        </w:rPr>
        <w:t xml:space="preserve">Income (loss) from equity investments, net includes changes in the fair value of certain equity method investments for which we elect to apply fair value accounting or at the net asset value,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under GAAP and is recognized in the quarter following the quarter in which such income or loss is recognized by our investee.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primarily of interest received on cash and cash equivalents, short-term investments that we hold with various financial institutions, and loans receivable. Interest expense consists primarily of interest on finance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Non-Operating Income (Loss), Net </w:t>
      </w:r>
    </w:p>
    <w:p>
      <w:pPr>
        <w:pStyle w:val="TextBody"/>
        <w:bidi w:val="0"/>
        <w:spacing w:before="120" w:after="0"/>
        <w:jc w:val="left"/>
        <w:rPr>
          <w:rFonts w:ascii="Times New Roman" w:hAnsi="Times New Roman"/>
          <w:sz w:val="20"/>
        </w:rPr>
      </w:pPr>
      <w:r>
        <w:rPr>
          <w:rFonts w:ascii="Times New Roman" w:hAnsi="Times New Roman"/>
          <w:sz w:val="20"/>
        </w:rPr>
        <w:t xml:space="preserve">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exchange contracts and changes in the fair value of convertible loans receivable.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income taxes using the asset and liability method under GAAP, whereby deferred income taxes are recognized for the tax consequences of temporary differences between financial statement carrying amounts and the tax basis of assets and liabilities. Income tax expense reflects income earned and taxed, in jurisdictions in which we conduct business, which mainly include U.K. and U.S. federal and state income taxes. We benefit from the U.K.s patent box regime, which allows certain profits attributable to revenue from patented products (and other qualifying income) to be taxed at an effective corporation tax rate of 10%.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components of continued operations from our consolidated income statements and such data as a percentage of total revenue on an absolute basis, for the periods indicated: </w:t>
      </w:r>
    </w:p>
    <w:p>
      <w:pPr>
        <w:pStyle w:val="TextBody"/>
        <w:bidi w:val="0"/>
        <w:spacing w:before="0" w:after="0"/>
        <w:jc w:val="left"/>
        <w:rPr/>
      </w:pPr>
      <w:r>
        <w:rPr/>
        <w:t> </w:t>
      </w:r>
    </w:p>
    <w:tbl>
      <w:tblPr>
        <w:tblW w:w="13815" w:type="dxa"/>
        <w:jc w:val="center"/>
        <w:tblInd w:w="0" w:type="dxa"/>
        <w:tblLayout w:type="fixed"/>
        <w:tblCellMar>
          <w:top w:w="0" w:type="dxa"/>
          <w:left w:w="0" w:type="dxa"/>
          <w:bottom w:w="0" w:type="dxa"/>
          <w:right w:w="0" w:type="dxa"/>
        </w:tblCellMar>
      </w:tblPr>
      <w:tblGrid>
        <w:gridCol w:w="2270"/>
        <w:gridCol w:w="60"/>
        <w:gridCol w:w="140"/>
        <w:gridCol w:w="635"/>
        <w:gridCol w:w="155"/>
        <w:gridCol w:w="60"/>
        <w:gridCol w:w="113"/>
        <w:gridCol w:w="717"/>
        <w:gridCol w:w="275"/>
        <w:gridCol w:w="60"/>
        <w:gridCol w:w="140"/>
        <w:gridCol w:w="635"/>
        <w:gridCol w:w="155"/>
        <w:gridCol w:w="60"/>
        <w:gridCol w:w="113"/>
        <w:gridCol w:w="717"/>
        <w:gridCol w:w="275"/>
        <w:gridCol w:w="60"/>
        <w:gridCol w:w="140"/>
        <w:gridCol w:w="635"/>
        <w:gridCol w:w="155"/>
        <w:gridCol w:w="60"/>
        <w:gridCol w:w="113"/>
        <w:gridCol w:w="717"/>
        <w:gridCol w:w="275"/>
        <w:gridCol w:w="60"/>
        <w:gridCol w:w="202"/>
        <w:gridCol w:w="658"/>
        <w:gridCol w:w="155"/>
        <w:gridCol w:w="60"/>
        <w:gridCol w:w="162"/>
        <w:gridCol w:w="1028"/>
        <w:gridCol w:w="275"/>
        <w:gridCol w:w="60"/>
        <w:gridCol w:w="202"/>
        <w:gridCol w:w="658"/>
        <w:gridCol w:w="155"/>
        <w:gridCol w:w="60"/>
        <w:gridCol w:w="145"/>
        <w:gridCol w:w="925"/>
        <w:gridCol w:w="27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3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 xml:space="preserve">For the Fiscal Year Ended March 31,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Fiscal Quarter Ended June 30,</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t>   </w:t>
            </w:r>
            <w:r>
              <w:rPr>
                <w:b/>
              </w:rPr>
              <w:t>revenue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t>  </w:t>
            </w:r>
            <w:r>
              <w:rPr>
                <w:b/>
              </w:rPr>
              <w:t>revenue  </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2,219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1,579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658"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658" w:type="dxa"/>
            <w:tcBorders/>
            <w:vAlign w:val="bottom"/>
          </w:tcPr>
          <w:p>
            <w:pPr>
              <w:pStyle w:val="TableContents"/>
              <w:bidi w:val="0"/>
              <w:spacing w:before="0" w:after="283"/>
              <w:jc w:val="right"/>
              <w:rPr/>
            </w:pPr>
            <w:r>
              <w:rPr/>
              <w:t>524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76</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related parties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2,679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2,703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2,027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675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692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2,572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1,882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644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667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96</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37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(814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(337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(897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(826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(196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Disposal, restructuring and other operating expenses,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72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(533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(373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equity investments,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 (loss),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from continuing operations before income taxes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127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from continuing operations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524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544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225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Comparison of Performance for the Fiscal Quarters Ended June 30, 2023 and 2022 </w:t>
      </w:r>
    </w:p>
    <w:p>
      <w:pPr>
        <w:pStyle w:val="TextBody"/>
        <w:bidi w:val="0"/>
        <w:spacing w:before="120" w:after="0"/>
        <w:jc w:val="left"/>
        <w:rPr>
          <w:rFonts w:ascii="Times New Roman" w:hAnsi="Times New Roman"/>
          <w:i/>
          <w:sz w:val="20"/>
        </w:rPr>
      </w:pPr>
      <w:r>
        <w:rPr>
          <w:rFonts w:ascii="Times New Roman" w:hAnsi="Times New Roman"/>
          <w:i/>
          <w:sz w:val="20"/>
        </w:rPr>
        <w:t xml:space="preserve">Total 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1"/>
        <w:gridCol w:w="208"/>
        <w:gridCol w:w="140"/>
        <w:gridCol w:w="380"/>
        <w:gridCol w:w="60"/>
        <w:gridCol w:w="208"/>
        <w:gridCol w:w="199"/>
        <w:gridCol w:w="1261"/>
        <w:gridCol w:w="275"/>
        <w:gridCol w:w="149"/>
        <w:gridCol w:w="140"/>
        <w:gridCol w:w="380"/>
        <w:gridCol w:w="60"/>
        <w:gridCol w:w="207"/>
        <w:gridCol w:w="199"/>
        <w:gridCol w:w="1261"/>
        <w:gridCol w:w="275"/>
        <w:gridCol w:w="149"/>
        <w:gridCol w:w="205"/>
        <w:gridCol w:w="1151"/>
        <w:gridCol w:w="357"/>
      </w:tblGrid>
      <w:tr>
        <w:trPr/>
        <w:tc>
          <w:tcPr>
            <w:tcW w:w="2941"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491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Fiscal Quarter Ended June 30,</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Period-Over-</w:t>
              <w:br/>
              <w:t>Period</w:t>
              <w:br/>
              <w:t>Change</w:t>
            </w:r>
          </w:p>
        </w:tc>
        <w:tc>
          <w:tcPr>
            <w:tcW w:w="357" w:type="dxa"/>
            <w:tcBorders/>
            <w:vAlign w:val="bottom"/>
          </w:tcPr>
          <w:p>
            <w:pPr>
              <w:pStyle w:val="TableContents"/>
              <w:bidi w:val="0"/>
              <w:spacing w:before="0" w:after="283"/>
              <w:jc w:val="left"/>
              <w:rPr/>
            </w:pPr>
            <w:r>
              <w:rPr/>
              <w:t> </w:t>
            </w:r>
          </w:p>
        </w:tc>
      </w:tr>
      <w:tr>
        <w:trPr/>
        <w:tc>
          <w:tcPr>
            <w:tcW w:w="294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208"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357" w:type="dxa"/>
            <w:tcBorders/>
            <w:vAlign w:val="bottom"/>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535</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79</w:t>
            </w:r>
          </w:p>
        </w:tc>
        <w:tc>
          <w:tcPr>
            <w:tcW w:w="2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524</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76</w:t>
            </w:r>
          </w:p>
        </w:tc>
        <w:tc>
          <w:tcPr>
            <w:tcW w:w="2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w:t>
            </w:r>
          </w:p>
        </w:tc>
        <w:tc>
          <w:tcPr>
            <w:tcW w:w="357" w:type="dxa"/>
            <w:tcBorders/>
            <w:shd w:fill="CCEEFF" w:val="clear"/>
            <w:vAlign w:val="bottom"/>
          </w:tcPr>
          <w:p>
            <w:pPr>
              <w:pStyle w:val="TableContents"/>
              <w:bidi w:val="0"/>
              <w:spacing w:before="0" w:after="283"/>
              <w:jc w:val="left"/>
              <w:rPr/>
            </w:pPr>
            <w:r>
              <w:rPr/>
              <w:t>% </w:t>
            </w:r>
          </w:p>
        </w:tc>
      </w:tr>
      <w:tr>
        <w:trPr/>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License and Other Revenue</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180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27</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147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22</w:t>
            </w:r>
          </w:p>
        </w:tc>
        <w:tc>
          <w:tcPr>
            <w:tcW w:w="357" w:type="dxa"/>
            <w:tcBorders/>
            <w:vAlign w:val="bottom"/>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Revenue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355</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377</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(6</w:t>
            </w:r>
          </w:p>
        </w:tc>
        <w:tc>
          <w:tcPr>
            <w:tcW w:w="357" w:type="dxa"/>
            <w:tcBorders/>
            <w:shd w:fill="CCEEFF" w:val="clear"/>
            <w:vAlign w:val="bottom"/>
          </w:tcPr>
          <w:p>
            <w:pPr>
              <w:pStyle w:val="TableContents"/>
              <w:bidi w:val="0"/>
              <w:spacing w:before="0" w:after="283"/>
              <w:jc w:val="left"/>
              <w:rPr/>
            </w:pPr>
            <w:r>
              <w:rPr/>
              <w:t>%) </w:t>
            </w:r>
          </w:p>
        </w:tc>
      </w:tr>
      <w:tr>
        <w:trPr/>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related parties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168</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24</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(17</w:t>
            </w:r>
          </w:p>
        </w:tc>
        <w:tc>
          <w:tcPr>
            <w:tcW w:w="357" w:type="dxa"/>
            <w:tcBorders/>
            <w:vAlign w:val="bottom"/>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and Other Revenue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111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(14</w:t>
            </w:r>
          </w:p>
        </w:tc>
        <w:tc>
          <w:tcPr>
            <w:tcW w:w="357" w:type="dxa"/>
            <w:tcBorders/>
            <w:shd w:fill="CCEEFF" w:val="clear"/>
            <w:vAlign w:val="bottom"/>
          </w:tcPr>
          <w:p>
            <w:pPr>
              <w:pStyle w:val="TableContents"/>
              <w:bidi w:val="0"/>
              <w:spacing w:before="0" w:after="283"/>
              <w:jc w:val="left"/>
              <w:rPr/>
            </w:pPr>
            <w:r>
              <w:rPr/>
              <w:t>%) </w:t>
            </w:r>
          </w:p>
        </w:tc>
      </w:tr>
      <w:tr>
        <w:trPr/>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Royalty Revenue</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(21</w:t>
            </w:r>
          </w:p>
        </w:tc>
        <w:tc>
          <w:tcPr>
            <w:tcW w:w="357" w:type="dxa"/>
            <w:tcBorders/>
            <w:vAlign w:val="bottom"/>
          </w:tcPr>
          <w:p>
            <w:pPr>
              <w:pStyle w:val="TableContents"/>
              <w:bidi w:val="0"/>
              <w:spacing w:before="0" w:after="283"/>
              <w:jc w:val="left"/>
              <w:rPr/>
            </w:pPr>
            <w:r>
              <w:rPr/>
              <w:t>%) </w:t>
            </w:r>
          </w:p>
        </w:tc>
      </w:tr>
      <w:tr>
        <w:trPr/>
        <w:tc>
          <w:tcPr>
            <w:tcW w:w="294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692</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w:t>
            </w:r>
          </w:p>
        </w:tc>
        <w:tc>
          <w:tcPr>
            <w:tcW w:w="357" w:type="dxa"/>
            <w:tcBorders/>
            <w:shd w:fill="CCEEFF" w:val="clear"/>
            <w:vAlign w:val="bottom"/>
          </w:tcPr>
          <w:p>
            <w:pPr>
              <w:pStyle w:val="TableContents"/>
              <w:bidi w:val="0"/>
              <w:spacing w:before="0" w:after="283"/>
              <w:jc w:val="left"/>
              <w:rPr/>
            </w:pPr>
            <w:r>
              <w:rPr/>
              <w:t>%) </w:t>
            </w:r>
          </w:p>
        </w:tc>
      </w:tr>
      <w:tr>
        <w:trPr/>
        <w:tc>
          <w:tcPr>
            <w:tcW w:w="294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revenue was $675 million and $692 million for the fiscal quarters ended June 30, 2023 and 2022, respectively. License and other revenue was $275 million and $258 million for the fiscal quarters ended June 30, 2023 and 2022, respectively. The increase in license and other revenues was primarily driven by new licensing deals as well as renewals of our existing license arrangement by customers to gain access to the latest versions of our technology IPs. Royalty revenue was approximately $400 million and approximately $434 million for the fiscal quarters ended June 30, 2023 and 2022, respectively. The decrease in royalty revenue was driven primarily by the macroeconomic slowdown and lower shipments to normalize inventory levels. </w:t>
      </w:r>
    </w:p>
    <w:p>
      <w:pPr>
        <w:pStyle w:val="TextBody"/>
        <w:bidi w:val="0"/>
        <w:spacing w:before="240" w:after="0"/>
        <w:jc w:val="left"/>
        <w:rPr>
          <w:rFonts w:ascii="Times New Roman" w:hAnsi="Times New Roman"/>
          <w:sz w:val="20"/>
        </w:rPr>
      </w:pPr>
      <w:r>
        <w:rPr>
          <w:rFonts w:ascii="Times New Roman" w:hAnsi="Times New Roman"/>
          <w:sz w:val="20"/>
        </w:rPr>
        <w:t xml:space="preserve">Revenue from external customers increased by $11 million during the fiscal quarter ended June 30, 2023 as compared to the fiscal quarter ended June 30, 2022, driven primarily by a $33 million increase in license and other revenue, which was partially offset by a $22 million decrease in royalty revenue. Revenue from related parties decreased by $28 million during the fiscal quarter ended June 30, 2023 as compared to the fiscal quarter ended June 30, 2022, primarily driven by a $16 million decrease in license and other revenue and a $12 million decrease in royalty revenue as a result of trade protection and national security policies of the U.S. and PRC governments, which adversely affected PRC semiconductor suppliers and customers. </w:t>
      </w:r>
    </w:p>
    <w:p>
      <w:pPr>
        <w:pStyle w:val="TextBody"/>
        <w:bidi w:val="0"/>
        <w:spacing w:before="240" w:after="0"/>
        <w:jc w:val="left"/>
        <w:rPr>
          <w:rFonts w:ascii="Times New Roman" w:hAnsi="Times New Roman"/>
          <w:sz w:val="20"/>
        </w:rPr>
      </w:pPr>
      <w:r>
        <w:rPr>
          <w:rFonts w:ascii="Times New Roman" w:hAnsi="Times New Roman"/>
          <w:sz w:val="20"/>
        </w:rPr>
        <w:t xml:space="preserve">During the fiscal quarters ended June 30, 2023 and 2022 revenue from sales to customers outside of the U.S. accounted for approximately 57% and approximately 62% of total revenue, respectively. Less than 2% of our total revenue is denominated in currencies other than U.S. dollars, and the impact of changes in foreign exchange rates on our revenues and results of operations for the fiscal quarters ended June 30, 2023 and 2022 was immaterial. </w:t>
      </w:r>
    </w:p>
    <w:p>
      <w:pPr>
        <w:pStyle w:val="TextBody"/>
        <w:bidi w:val="0"/>
        <w:spacing w:before="360" w:after="0"/>
        <w:jc w:val="left"/>
        <w:rPr>
          <w:rFonts w:ascii="Times New Roman" w:hAnsi="Times New Roman"/>
          <w:i/>
          <w:sz w:val="20"/>
        </w:rPr>
      </w:pPr>
      <w:r>
        <w:rPr>
          <w:rFonts w:ascii="Times New Roman" w:hAnsi="Times New Roman"/>
          <w:i/>
          <w:sz w:val="20"/>
        </w:rPr>
        <w:t xml:space="preserve">Cost of sales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0"/>
        <w:gridCol w:w="251"/>
        <w:gridCol w:w="148"/>
        <w:gridCol w:w="352"/>
        <w:gridCol w:w="163"/>
        <w:gridCol w:w="196"/>
        <w:gridCol w:w="249"/>
        <w:gridCol w:w="581"/>
        <w:gridCol w:w="289"/>
        <w:gridCol w:w="196"/>
        <w:gridCol w:w="148"/>
        <w:gridCol w:w="351"/>
        <w:gridCol w:w="163"/>
        <w:gridCol w:w="196"/>
        <w:gridCol w:w="245"/>
        <w:gridCol w:w="585"/>
        <w:gridCol w:w="275"/>
        <w:gridCol w:w="193"/>
        <w:gridCol w:w="254"/>
        <w:gridCol w:w="1101"/>
        <w:gridCol w:w="279"/>
      </w:tblGrid>
      <w:tr>
        <w:trPr/>
        <w:tc>
          <w:tcPr>
            <w:tcW w:w="399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862"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27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Period-Over-</w:t>
            </w:r>
            <w:r>
              <w:rPr/>
              <w:br/>
            </w:r>
            <w:r>
              <w:rPr>
                <w:b/>
              </w:rPr>
              <w:t>Period</w:t>
            </w:r>
            <w:r>
              <w:rPr/>
              <w:br/>
            </w:r>
            <w:r>
              <w:rPr>
                <w:b/>
              </w:rPr>
              <w:t>Change</w:t>
            </w:r>
          </w:p>
        </w:tc>
        <w:tc>
          <w:tcPr>
            <w:tcW w:w="279" w:type="dxa"/>
            <w:tcBorders/>
            <w:vAlign w:val="bottom"/>
          </w:tcPr>
          <w:p>
            <w:pPr>
              <w:pStyle w:val="TableContents"/>
              <w:bidi w:val="0"/>
              <w:spacing w:before="0" w:after="283"/>
              <w:jc w:val="left"/>
              <w:rPr/>
            </w:pPr>
            <w:r>
              <w:rPr/>
              <w:t> </w:t>
            </w:r>
          </w:p>
        </w:tc>
      </w:tr>
      <w:tr>
        <w:trPr/>
        <w:tc>
          <w:tcPr>
            <w:tcW w:w="399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25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r>
            <w:r>
              <w:rPr>
                <w:b/>
              </w:rPr>
              <w:t>revenue</w:t>
            </w:r>
          </w:p>
        </w:tc>
        <w:tc>
          <w:tcPr>
            <w:tcW w:w="28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r>
            <w:r>
              <w:rPr>
                <w:b/>
              </w:rPr>
              <w:t>revenue</w:t>
            </w:r>
          </w:p>
        </w:tc>
        <w:tc>
          <w:tcPr>
            <w:tcW w:w="27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279"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352" w:type="dxa"/>
            <w:tcBorders/>
            <w:shd w:fill="CCEEFF" w:val="clear"/>
            <w:vAlign w:val="bottom"/>
          </w:tcPr>
          <w:p>
            <w:pPr>
              <w:pStyle w:val="TableContents"/>
              <w:bidi w:val="0"/>
              <w:spacing w:before="0" w:after="283"/>
              <w:jc w:val="right"/>
              <w:rPr/>
            </w:pPr>
            <w:r>
              <w:rPr/>
              <w:t>(31</w:t>
            </w:r>
          </w:p>
        </w:tc>
        <w:tc>
          <w:tcPr>
            <w:tcW w:w="16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5</w:t>
            </w:r>
          </w:p>
        </w:tc>
        <w:tc>
          <w:tcPr>
            <w:tcW w:w="28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351" w:type="dxa"/>
            <w:tcBorders/>
            <w:shd w:fill="CCEEFF" w:val="clear"/>
            <w:vAlign w:val="bottom"/>
          </w:tcPr>
          <w:p>
            <w:pPr>
              <w:pStyle w:val="TableContents"/>
              <w:bidi w:val="0"/>
              <w:spacing w:before="0" w:after="283"/>
              <w:jc w:val="right"/>
              <w:rPr/>
            </w:pPr>
            <w:r>
              <w:rPr/>
              <w:t>(25</w:t>
            </w:r>
          </w:p>
        </w:tc>
        <w:tc>
          <w:tcPr>
            <w:tcW w:w="16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24</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Cost of sales were $31 million and $25 million for the fiscal quarters ended June 30, 2023 and 2022, respectively. Cost of sales increased by $6 million during the fiscal quarter ended June 30, 2023 as compared to the fiscal quarter ended June 30, 2022, primarily due to increases in employee share-based compensation, professional service fees, and activities associated with professional and design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Research and development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37"/>
        <w:gridCol w:w="244"/>
        <w:gridCol w:w="140"/>
        <w:gridCol w:w="464"/>
        <w:gridCol w:w="155"/>
        <w:gridCol w:w="186"/>
        <w:gridCol w:w="155"/>
        <w:gridCol w:w="676"/>
        <w:gridCol w:w="275"/>
        <w:gridCol w:w="186"/>
        <w:gridCol w:w="140"/>
        <w:gridCol w:w="464"/>
        <w:gridCol w:w="155"/>
        <w:gridCol w:w="186"/>
        <w:gridCol w:w="155"/>
        <w:gridCol w:w="676"/>
        <w:gridCol w:w="275"/>
        <w:gridCol w:w="186"/>
        <w:gridCol w:w="253"/>
        <w:gridCol w:w="1113"/>
        <w:gridCol w:w="284"/>
      </w:tblGrid>
      <w:tr>
        <w:trPr/>
        <w:tc>
          <w:tcPr>
            <w:tcW w:w="3837"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8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4013"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27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pPr>
            <w:r>
              <w:rPr>
                <w:b/>
              </w:rPr>
              <w:t>Period-Over-</w:t>
            </w:r>
            <w:r>
              <w:rPr/>
              <w:br/>
            </w:r>
            <w:r>
              <w:rPr>
                <w:b/>
              </w:rPr>
              <w:t>Period</w:t>
            </w:r>
            <w:r>
              <w:rPr/>
              <w:br/>
            </w:r>
            <w:r>
              <w:rPr>
                <w:b/>
              </w:rPr>
              <w:t>Change</w:t>
            </w:r>
          </w:p>
        </w:tc>
        <w:tc>
          <w:tcPr>
            <w:tcW w:w="284"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244" w:type="dxa"/>
            <w:tcBorders/>
            <w:vAlign w:val="bottom"/>
          </w:tcPr>
          <w:p>
            <w:pPr>
              <w:pStyle w:val="TableContents"/>
              <w:bidi w:val="0"/>
              <w:spacing w:before="0" w:after="283"/>
              <w:jc w:val="left"/>
              <w:rPr/>
            </w:pPr>
            <w:r>
              <w:rPr/>
              <w:t>  </w:t>
            </w:r>
          </w:p>
        </w:tc>
        <w:tc>
          <w:tcPr>
            <w:tcW w:w="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284" w:type="dxa"/>
            <w:tcBorders/>
            <w:vAlign w:val="bottom"/>
          </w:tcPr>
          <w:p>
            <w:pPr>
              <w:pStyle w:val="TableContents"/>
              <w:bidi w:val="0"/>
              <w:spacing w:before="0" w:after="283"/>
              <w:jc w:val="left"/>
              <w:rPr/>
            </w:pPr>
            <w:r>
              <w:rPr/>
              <w:t> </w:t>
            </w:r>
          </w:p>
        </w:tc>
      </w:tr>
      <w:tr>
        <w:trPr/>
        <w:tc>
          <w:tcPr>
            <w:tcW w:w="38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4"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4"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55</w:t>
            </w:r>
          </w:p>
        </w:tc>
        <w:tc>
          <w:tcPr>
            <w:tcW w:w="28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$337 million and $218 million for the fiscal quarters ended June 30, 2023 and 2022, respectively. Research and development expenses increased by $119 million during the fiscal quarters ended June 30, 2023 as compared to the fiscal quarter ended June 30, 2022, due to increased investments in next generation of products. The increase was primarily due to employee share-based compensation, salaries and related expenses due to headcount increases from hiring as well as increases in cloud engineering expenses, including cloud services, depreciation, and allocated facility overheads, partially offset by increases in research and development tax credits and gains from cash flow hedge activity.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37"/>
        <w:gridCol w:w="244"/>
        <w:gridCol w:w="140"/>
        <w:gridCol w:w="464"/>
        <w:gridCol w:w="155"/>
        <w:gridCol w:w="186"/>
        <w:gridCol w:w="155"/>
        <w:gridCol w:w="676"/>
        <w:gridCol w:w="275"/>
        <w:gridCol w:w="186"/>
        <w:gridCol w:w="140"/>
        <w:gridCol w:w="464"/>
        <w:gridCol w:w="155"/>
        <w:gridCol w:w="186"/>
        <w:gridCol w:w="155"/>
        <w:gridCol w:w="676"/>
        <w:gridCol w:w="275"/>
        <w:gridCol w:w="186"/>
        <w:gridCol w:w="253"/>
        <w:gridCol w:w="1113"/>
        <w:gridCol w:w="284"/>
      </w:tblGrid>
      <w:tr>
        <w:trPr/>
        <w:tc>
          <w:tcPr>
            <w:tcW w:w="3837"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8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4013"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27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Period-Over-</w:t>
              <w:br/>
              <w:t>Period</w:t>
              <w:br/>
              <w:t>Change</w:t>
            </w:r>
          </w:p>
        </w:tc>
        <w:tc>
          <w:tcPr>
            <w:tcW w:w="284"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(in millions, except percentages)</w:t>
            </w:r>
          </w:p>
        </w:tc>
        <w:tc>
          <w:tcPr>
            <w:tcW w:w="244" w:type="dxa"/>
            <w:tcBorders/>
            <w:vAlign w:val="bottom"/>
          </w:tcPr>
          <w:p>
            <w:pPr>
              <w:pStyle w:val="TableContents"/>
              <w:bidi w:val="0"/>
              <w:spacing w:before="0" w:after="283"/>
              <w:jc w:val="left"/>
              <w:rPr/>
            </w:pPr>
            <w:r>
              <w:rPr/>
              <w:t>  </w:t>
            </w:r>
          </w:p>
        </w:tc>
        <w:tc>
          <w:tcPr>
            <w:tcW w:w="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284" w:type="dxa"/>
            <w:tcBorders/>
            <w:vAlign w:val="bottom"/>
          </w:tcPr>
          <w:p>
            <w:pPr>
              <w:pStyle w:val="TableContents"/>
              <w:bidi w:val="0"/>
              <w:spacing w:before="0" w:after="283"/>
              <w:jc w:val="left"/>
              <w:rPr/>
            </w:pPr>
            <w:r>
              <w:rPr/>
              <w:t> </w:t>
            </w:r>
          </w:p>
        </w:tc>
      </w:tr>
      <w:tr>
        <w:trPr/>
        <w:tc>
          <w:tcPr>
            <w:tcW w:w="38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4" w:type="dxa"/>
            <w:tcBorders/>
            <w:shd w:fill="CCEEFF" w:val="clear"/>
            <w:vAlign w:val="bottom"/>
          </w:tcPr>
          <w:p>
            <w:pPr>
              <w:pStyle w:val="TableContents"/>
              <w:bidi w:val="0"/>
              <w:spacing w:before="0" w:after="283"/>
              <w:jc w:val="right"/>
              <w:rPr/>
            </w:pPr>
            <w:r>
              <w:rPr/>
              <w:t>(196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4" w:type="dxa"/>
            <w:tcBorders/>
            <w:shd w:fill="CCEEFF" w:val="clear"/>
            <w:vAlign w:val="bottom"/>
          </w:tcPr>
          <w:p>
            <w:pPr>
              <w:pStyle w:val="TableContents"/>
              <w:bidi w:val="0"/>
              <w:spacing w:before="0" w:after="283"/>
              <w:jc w:val="right"/>
              <w:rPr/>
            </w:pPr>
            <w:r>
              <w:rPr/>
              <w:t>(153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28</w:t>
            </w:r>
          </w:p>
        </w:tc>
        <w:tc>
          <w:tcPr>
            <w:tcW w:w="28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were $196 million and $153 million for the fiscal quarters ended June 30, 2023 and 2022, respectively. Selling, general and administrative expenses increased by $43 million during the fiscal quarter ended June 30, 2023 as compared to the fiscal quarter ended June 30, 2022, primarily due to increases in employee share-based compensation, public company readiness costs, professional service expenses and related charges, legal fees, and provision for current expected loss on accounts receivable and were partially offset by decreases in sales commission expenses, employee related bonus awards, lease rental costs and gains from cash flow hedge activity. </w:t>
      </w:r>
    </w:p>
    <w:p>
      <w:pPr>
        <w:pStyle w:val="TextBody"/>
        <w:bidi w:val="0"/>
        <w:spacing w:before="360" w:after="0"/>
        <w:jc w:val="left"/>
        <w:rPr>
          <w:rFonts w:ascii="Times New Roman" w:hAnsi="Times New Roman"/>
          <w:i/>
          <w:sz w:val="20"/>
        </w:rPr>
      </w:pPr>
      <w:r>
        <w:rPr>
          <w:rFonts w:ascii="Times New Roman" w:hAnsi="Times New Roman"/>
          <w:i/>
          <w:sz w:val="20"/>
        </w:rPr>
        <w:t xml:space="preserve">Disposal, restructuring and other operating expenses, net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0"/>
        <w:gridCol w:w="251"/>
        <w:gridCol w:w="250"/>
        <w:gridCol w:w="250"/>
        <w:gridCol w:w="60"/>
        <w:gridCol w:w="251"/>
        <w:gridCol w:w="249"/>
        <w:gridCol w:w="581"/>
        <w:gridCol w:w="275"/>
        <w:gridCol w:w="192"/>
        <w:gridCol w:w="240"/>
        <w:gridCol w:w="260"/>
        <w:gridCol w:w="155"/>
        <w:gridCol w:w="191"/>
        <w:gridCol w:w="249"/>
        <w:gridCol w:w="581"/>
        <w:gridCol w:w="275"/>
        <w:gridCol w:w="192"/>
        <w:gridCol w:w="157"/>
        <w:gridCol w:w="1200"/>
        <w:gridCol w:w="356"/>
      </w:tblGrid>
      <w:tr>
        <w:trPr/>
        <w:tc>
          <w:tcPr>
            <w:tcW w:w="399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9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784"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27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Period-Over-</w:t>
              <w:br/>
              <w:t>Period</w:t>
              <w:br/>
              <w:t>Change</w:t>
            </w:r>
          </w:p>
        </w:tc>
        <w:tc>
          <w:tcPr>
            <w:tcW w:w="356" w:type="dxa"/>
            <w:tcBorders/>
            <w:vAlign w:val="bottom"/>
          </w:tcPr>
          <w:p>
            <w:pPr>
              <w:pStyle w:val="TableContents"/>
              <w:bidi w:val="0"/>
              <w:spacing w:before="0" w:after="283"/>
              <w:jc w:val="left"/>
              <w:rPr/>
            </w:pPr>
            <w:r>
              <w:rPr/>
              <w:t> </w:t>
            </w:r>
          </w:p>
        </w:tc>
      </w:tr>
      <w:tr>
        <w:trPr/>
        <w:tc>
          <w:tcPr>
            <w:tcW w:w="399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25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356"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Disposal, restructuring and other operating expenses, net</w:t>
            </w:r>
          </w:p>
        </w:tc>
        <w:tc>
          <w:tcPr>
            <w:tcW w:w="251"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26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(100</w:t>
            </w:r>
          </w:p>
        </w:tc>
        <w:tc>
          <w:tcPr>
            <w:tcW w:w="35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Disposal, restructuring and other operating expenses, net were zero million and $2 million for the fiscal quarters ended June 30, 2023 and 2022, respectively. Disposal, restructuring and other operating expenses, net decreased by $2 million for the fiscal quarter ended June 30, 2023 as compared to the fiscal quarter ended June 30, 2022, primarily due to a decrease in restructuring activities. Restructuring activities were completed in the first two quarters of the fiscal year ended March 31, 2023 for the restructuring plan announced in March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Income (loss) from equity investments, net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1"/>
        <w:gridCol w:w="247"/>
        <w:gridCol w:w="212"/>
        <w:gridCol w:w="288"/>
        <w:gridCol w:w="155"/>
        <w:gridCol w:w="189"/>
        <w:gridCol w:w="249"/>
        <w:gridCol w:w="581"/>
        <w:gridCol w:w="275"/>
        <w:gridCol w:w="189"/>
        <w:gridCol w:w="165"/>
        <w:gridCol w:w="335"/>
        <w:gridCol w:w="155"/>
        <w:gridCol w:w="189"/>
        <w:gridCol w:w="249"/>
        <w:gridCol w:w="581"/>
        <w:gridCol w:w="275"/>
        <w:gridCol w:w="188"/>
        <w:gridCol w:w="205"/>
        <w:gridCol w:w="1153"/>
        <w:gridCol w:w="354"/>
      </w:tblGrid>
      <w:tr>
        <w:trPr/>
        <w:tc>
          <w:tcPr>
            <w:tcW w:w="397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97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812"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b/>
              </w:rPr>
              <w:t>Period-Over-</w:t>
            </w:r>
            <w:r>
              <w:rPr/>
              <w:br/>
            </w:r>
            <w:r>
              <w:rPr>
                <w:b/>
              </w:rPr>
              <w:t>Period</w:t>
              <w:br/>
              <w:t>Change</w:t>
            </w:r>
          </w:p>
        </w:tc>
        <w:tc>
          <w:tcPr>
            <w:tcW w:w="354" w:type="dxa"/>
            <w:tcBorders/>
            <w:vAlign w:val="bottom"/>
          </w:tcPr>
          <w:p>
            <w:pPr>
              <w:pStyle w:val="TableContents"/>
              <w:bidi w:val="0"/>
              <w:spacing w:before="0" w:after="283"/>
              <w:jc w:val="left"/>
              <w:rPr/>
            </w:pPr>
            <w:r>
              <w:rPr/>
              <w:t> </w:t>
            </w:r>
          </w:p>
        </w:tc>
      </w:tr>
      <w:tr>
        <w:trPr/>
        <w:tc>
          <w:tcPr>
            <w:tcW w:w="397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247"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354" w:type="dxa"/>
            <w:tcBorders/>
            <w:vAlign w:val="bottom"/>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equity investments, net</w:t>
            </w:r>
          </w:p>
        </w:tc>
        <w:tc>
          <w:tcPr>
            <w:tcW w:w="24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28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35"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(50</w:t>
            </w:r>
          </w:p>
        </w:tc>
        <w:tc>
          <w:tcPr>
            <w:tcW w:w="35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(loss) from equity investments, net was $7 million and $14 million for the fiscal quarters ended June 30, 2023 and 2022, respectively. Loss from equity investments, net decreased by $7 million for the fiscal quarter ended June 30, 2023 as compared to the fiscal quarter ended June 30, 2022, primarily due to a reduction in unrealized losses related to equity method investments accounted for at fair value, and non-marketable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net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64"/>
        <w:gridCol w:w="258"/>
        <w:gridCol w:w="239"/>
        <w:gridCol w:w="261"/>
        <w:gridCol w:w="60"/>
        <w:gridCol w:w="258"/>
        <w:gridCol w:w="249"/>
        <w:gridCol w:w="581"/>
        <w:gridCol w:w="275"/>
        <w:gridCol w:w="200"/>
        <w:gridCol w:w="250"/>
        <w:gridCol w:w="250"/>
        <w:gridCol w:w="60"/>
        <w:gridCol w:w="258"/>
        <w:gridCol w:w="249"/>
        <w:gridCol w:w="580"/>
        <w:gridCol w:w="275"/>
        <w:gridCol w:w="200"/>
        <w:gridCol w:w="131"/>
        <w:gridCol w:w="1226"/>
        <w:gridCol w:w="281"/>
      </w:tblGrid>
      <w:tr>
        <w:trPr/>
        <w:tc>
          <w:tcPr>
            <w:tcW w:w="4064"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0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3770"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2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Period-Over-</w:t>
              <w:br/>
              <w:t>Period</w:t>
              <w:br/>
              <w:t>Change</w:t>
            </w:r>
          </w:p>
        </w:tc>
        <w:tc>
          <w:tcPr>
            <w:tcW w:w="281" w:type="dxa"/>
            <w:tcBorders/>
            <w:vAlign w:val="bottom"/>
          </w:tcPr>
          <w:p>
            <w:pPr>
              <w:pStyle w:val="TableContents"/>
              <w:bidi w:val="0"/>
              <w:spacing w:before="0" w:after="283"/>
              <w:jc w:val="left"/>
              <w:rPr/>
            </w:pPr>
            <w:r>
              <w:rPr/>
              <w:t> </w:t>
            </w:r>
          </w:p>
        </w:tc>
      </w:tr>
      <w:tr>
        <w:trPr/>
        <w:tc>
          <w:tcPr>
            <w:tcW w:w="406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258"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281" w:type="dxa"/>
            <w:tcBorders/>
            <w:vAlign w:val="bottom"/>
          </w:tcPr>
          <w:p>
            <w:pPr>
              <w:pStyle w:val="TableContents"/>
              <w:bidi w:val="0"/>
              <w:spacing w:before="0" w:after="283"/>
              <w:jc w:val="left"/>
              <w:rPr/>
            </w:pPr>
            <w:r>
              <w:rPr/>
              <w:t> </w:t>
            </w:r>
          </w:p>
        </w:tc>
      </w:tr>
      <w:tr>
        <w:trPr/>
        <w:tc>
          <w:tcPr>
            <w:tcW w:w="4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25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261"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1,100</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Interest income, net was $24 million and $2 million for the fiscal quarters ended June 30, 2023 and 2022, respectively. Interest income, net increased by $22 million for the fiscal quarter ended June 30, 2023 as compared to the fiscal quarter ended June 30, 2022, primarily due to favorable interest rate yields recognized on short-term investments and cash equivalents.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non-operating income (loss), net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05"/>
        <w:gridCol w:w="248"/>
        <w:gridCol w:w="240"/>
        <w:gridCol w:w="260"/>
        <w:gridCol w:w="155"/>
        <w:gridCol w:w="189"/>
        <w:gridCol w:w="249"/>
        <w:gridCol w:w="581"/>
        <w:gridCol w:w="275"/>
        <w:gridCol w:w="189"/>
        <w:gridCol w:w="250"/>
        <w:gridCol w:w="250"/>
        <w:gridCol w:w="60"/>
        <w:gridCol w:w="248"/>
        <w:gridCol w:w="249"/>
        <w:gridCol w:w="580"/>
        <w:gridCol w:w="275"/>
        <w:gridCol w:w="189"/>
        <w:gridCol w:w="157"/>
        <w:gridCol w:w="1200"/>
        <w:gridCol w:w="356"/>
      </w:tblGrid>
      <w:tr>
        <w:trPr/>
        <w:tc>
          <w:tcPr>
            <w:tcW w:w="400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00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3775"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2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b/>
              </w:rPr>
              <w:t>Period-Over-</w:t>
            </w:r>
            <w:r>
              <w:rPr/>
              <w:br/>
            </w:r>
            <w:r>
              <w:rPr>
                <w:b/>
              </w:rPr>
              <w:t>Period</w:t>
              <w:br/>
              <w:t>Change</w:t>
            </w:r>
          </w:p>
        </w:tc>
        <w:tc>
          <w:tcPr>
            <w:tcW w:w="356" w:type="dxa"/>
            <w:tcBorders/>
            <w:vAlign w:val="bottom"/>
          </w:tcPr>
          <w:p>
            <w:pPr>
              <w:pStyle w:val="TableContents"/>
              <w:bidi w:val="0"/>
              <w:spacing w:before="0" w:after="283"/>
              <w:jc w:val="left"/>
              <w:rPr/>
            </w:pPr>
            <w:r>
              <w:rPr/>
              <w:t> </w:t>
            </w:r>
          </w:p>
        </w:tc>
      </w:tr>
      <w:tr>
        <w:trPr/>
        <w:tc>
          <w:tcPr>
            <w:tcW w:w="400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248"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356" w:type="dxa"/>
            <w:tcBorders/>
            <w:vAlign w:val="bottom"/>
          </w:tcPr>
          <w:p>
            <w:pPr>
              <w:pStyle w:val="TableContents"/>
              <w:bidi w:val="0"/>
              <w:spacing w:before="0" w:after="283"/>
              <w:jc w:val="left"/>
              <w:rPr/>
            </w:pPr>
            <w:r>
              <w:rPr/>
              <w:t> </w:t>
            </w:r>
          </w:p>
        </w:tc>
      </w:tr>
      <w:tr>
        <w:trPr/>
        <w:tc>
          <w:tcPr>
            <w:tcW w:w="40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(loss), net</w:t>
            </w:r>
          </w:p>
        </w:tc>
        <w:tc>
          <w:tcPr>
            <w:tcW w:w="24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26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(125</w:t>
            </w:r>
          </w:p>
        </w:tc>
        <w:tc>
          <w:tcPr>
            <w:tcW w:w="35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non-operating income (loss), net was $(1) million and $4 million for the fiscal quarters ended June 30, 2023 and 2022, respectively. Other non-operating income (loss), net decreased by $5 million for the fiscal quarter ended June 30, 2023 as compared to the fiscal quarter ended June 30, 2022, primarily due to realized and unrealized foreign exchanges losses, partially offset by realized and unrealized foreign exchange gains, along with fair value changes in derivative financial instruments and convertible loans receivables.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63"/>
        <w:gridCol w:w="249"/>
        <w:gridCol w:w="165"/>
        <w:gridCol w:w="335"/>
        <w:gridCol w:w="155"/>
        <w:gridCol w:w="190"/>
        <w:gridCol w:w="249"/>
        <w:gridCol w:w="581"/>
        <w:gridCol w:w="275"/>
        <w:gridCol w:w="190"/>
        <w:gridCol w:w="165"/>
        <w:gridCol w:w="335"/>
        <w:gridCol w:w="155"/>
        <w:gridCol w:w="190"/>
        <w:gridCol w:w="249"/>
        <w:gridCol w:w="581"/>
        <w:gridCol w:w="275"/>
        <w:gridCol w:w="190"/>
        <w:gridCol w:w="205"/>
        <w:gridCol w:w="1153"/>
        <w:gridCol w:w="355"/>
      </w:tblGrid>
      <w:tr>
        <w:trPr/>
        <w:tc>
          <w:tcPr>
            <w:tcW w:w="3963"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96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3815" w:type="dxa"/>
            <w:gridSpan w:val="14"/>
            <w:tcBorders>
              <w:bottom w:val="single" w:sz="8" w:space="0" w:color="000000"/>
            </w:tcBorders>
            <w:tcMar>
              <w:bottom w:w="28" w:type="dxa"/>
            </w:tcMar>
            <w:vAlign w:val="bottom"/>
          </w:tcPr>
          <w:p>
            <w:pPr>
              <w:pStyle w:val="TableContents"/>
              <w:bidi w:val="0"/>
              <w:spacing w:before="0" w:after="283"/>
              <w:jc w:val="center"/>
              <w:rPr/>
            </w:pPr>
            <w:r>
              <w:rPr>
                <w:b/>
              </w:rPr>
              <w:t>For the Fiscal Quarter Ended</w:t>
            </w:r>
            <w:r>
              <w:rPr/>
              <w:br/>
            </w:r>
            <w:r>
              <w:rPr>
                <w:b/>
              </w:rPr>
              <w:t>June 30,</w:t>
            </w:r>
          </w:p>
        </w:tc>
        <w:tc>
          <w:tcPr>
            <w:tcW w:w="27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b/>
              </w:rPr>
              <w:t>Period-Over-</w:t>
            </w:r>
            <w:r>
              <w:rPr/>
              <w:br/>
            </w:r>
            <w:r>
              <w:rPr>
                <w:b/>
              </w:rPr>
              <w:t>Period</w:t>
              <w:br/>
              <w:t>Change</w:t>
            </w:r>
          </w:p>
        </w:tc>
        <w:tc>
          <w:tcPr>
            <w:tcW w:w="355" w:type="dxa"/>
            <w:tcBorders/>
            <w:vAlign w:val="bottom"/>
          </w:tcPr>
          <w:p>
            <w:pPr>
              <w:pStyle w:val="TableContents"/>
              <w:bidi w:val="0"/>
              <w:spacing w:before="0" w:after="283"/>
              <w:jc w:val="left"/>
              <w:rPr/>
            </w:pPr>
            <w:r>
              <w:rPr/>
              <w:t> </w:t>
            </w:r>
          </w:p>
        </w:tc>
      </w:tr>
      <w:tr>
        <w:trPr/>
        <w:tc>
          <w:tcPr>
            <w:tcW w:w="396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249"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355" w:type="dxa"/>
            <w:tcBorders/>
            <w:vAlign w:val="bottom"/>
          </w:tcPr>
          <w:p>
            <w:pPr>
              <w:pStyle w:val="TableContents"/>
              <w:bidi w:val="0"/>
              <w:spacing w:before="0" w:after="283"/>
              <w:jc w:val="left"/>
              <w:rPr/>
            </w:pPr>
            <w:r>
              <w:rPr/>
              <w:t> </w:t>
            </w:r>
          </w:p>
        </w:tc>
      </w:tr>
      <w:tr>
        <w:trPr/>
        <w:tc>
          <w:tcPr>
            <w:tcW w:w="3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4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35"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35"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9</w:t>
            </w:r>
          </w:p>
        </w:tc>
        <w:tc>
          <w:tcPr>
            <w:tcW w:w="27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(64</w:t>
            </w:r>
          </w:p>
        </w:tc>
        <w:tc>
          <w:tcPr>
            <w:tcW w:w="3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fiscal quarters ended June 30, 2023 and 2022, income tax expense was $22 million and $61 million, respectively. The income tax expense as a percentage of income before taxes was 17% and 21% for the fiscal quarters ended June 30, 2023 and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tax expense decreased compared to the same period last fiscal year primarily due to lower pre-tax income and a reduction in irrecoverable overseas withholding taxes. The effective tax rate decreased compared to the same period last fiscal year primarily due to a reduction in irrecoverable overseas withholding taxes. Although the statutory rate in the United Kingdom increased to 25% from 19%, there was an increase in patent box benefit, which offset the increase.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2022, the Inflation Reduction Act of 2022 was enacted into U.S. law. The legislation includes a new corporate alternative minimum tax (CAMT) of 15% on the adjusted financial statement income (AFSI) of corporations with average AFSI exceeding $1.0 billion over a three-year period. The CAMT is effective for the Company for the fiscal year ending March 31, 2024. The Company has assessed the potential impact of the CAMT and does not expect the CAMT will have a material impact on the financial statements or results of operations. </w:t>
      </w:r>
    </w:p>
    <w:p>
      <w:pPr>
        <w:pStyle w:val="TextBody"/>
        <w:bidi w:val="0"/>
        <w:spacing w:before="240" w:after="0"/>
        <w:jc w:val="left"/>
        <w:rPr>
          <w:rFonts w:ascii="Times New Roman" w:hAnsi="Times New Roman"/>
          <w:b/>
          <w:sz w:val="20"/>
        </w:rPr>
      </w:pPr>
      <w:r>
        <w:rPr>
          <w:rFonts w:ascii="Times New Roman" w:hAnsi="Times New Roman"/>
          <w:b/>
          <w:sz w:val="20"/>
        </w:rPr>
        <w:t xml:space="preserve">Comparison of Performance for the Fiscal Years Ended March 31, 2023, 2022 and 2021 </w:t>
      </w:r>
    </w:p>
    <w:p>
      <w:pPr>
        <w:pStyle w:val="TextBody"/>
        <w:bidi w:val="0"/>
        <w:spacing w:before="120" w:after="0"/>
        <w:jc w:val="left"/>
        <w:rPr>
          <w:rFonts w:ascii="Times New Roman" w:hAnsi="Times New Roman"/>
          <w:i/>
          <w:sz w:val="20"/>
        </w:rPr>
      </w:pPr>
      <w:r>
        <w:rPr>
          <w:rFonts w:ascii="Times New Roman" w:hAnsi="Times New Roman"/>
          <w:i/>
          <w:sz w:val="20"/>
        </w:rPr>
        <w:t xml:space="preserve">Total revenue </w:t>
      </w:r>
    </w:p>
    <w:p>
      <w:pPr>
        <w:pStyle w:val="TextBody"/>
        <w:bidi w:val="0"/>
        <w:spacing w:before="0" w:after="0"/>
        <w:jc w:val="left"/>
        <w:rPr/>
      </w:pPr>
      <w:r>
        <w:rPr/>
        <w:t> </w:t>
      </w:r>
    </w:p>
    <w:tbl>
      <w:tblPr>
        <w:tblW w:w="11918" w:type="dxa"/>
        <w:jc w:val="center"/>
        <w:tblInd w:w="0" w:type="dxa"/>
        <w:tblLayout w:type="fixed"/>
        <w:tblCellMar>
          <w:top w:w="0" w:type="dxa"/>
          <w:left w:w="0" w:type="dxa"/>
          <w:bottom w:w="0" w:type="dxa"/>
          <w:right w:w="0" w:type="dxa"/>
        </w:tblCellMar>
      </w:tblPr>
      <w:tblGrid>
        <w:gridCol w:w="2270"/>
        <w:gridCol w:w="60"/>
        <w:gridCol w:w="140"/>
        <w:gridCol w:w="560"/>
        <w:gridCol w:w="60"/>
        <w:gridCol w:w="60"/>
        <w:gridCol w:w="113"/>
        <w:gridCol w:w="717"/>
        <w:gridCol w:w="275"/>
        <w:gridCol w:w="60"/>
        <w:gridCol w:w="140"/>
        <w:gridCol w:w="560"/>
        <w:gridCol w:w="60"/>
        <w:gridCol w:w="60"/>
        <w:gridCol w:w="113"/>
        <w:gridCol w:w="717"/>
        <w:gridCol w:w="275"/>
        <w:gridCol w:w="60"/>
        <w:gridCol w:w="140"/>
        <w:gridCol w:w="560"/>
        <w:gridCol w:w="60"/>
        <w:gridCol w:w="60"/>
        <w:gridCol w:w="113"/>
        <w:gridCol w:w="717"/>
        <w:gridCol w:w="275"/>
        <w:gridCol w:w="60"/>
        <w:gridCol w:w="196"/>
        <w:gridCol w:w="1099"/>
        <w:gridCol w:w="592"/>
        <w:gridCol w:w="101"/>
        <w:gridCol w:w="195"/>
        <w:gridCol w:w="1100"/>
        <w:gridCol w:w="35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w:t>
              <w:br/>
              <w:t>Change</w:t>
            </w:r>
          </w:p>
        </w:tc>
        <w:tc>
          <w:tcPr>
            <w:tcW w:w="350"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 of</w:t>
            </w:r>
            <w:r>
              <w:rPr/>
              <w:br/>
            </w: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2023 to 2022</w:t>
            </w:r>
            <w:r>
              <w:rPr/>
              <w:br/>
            </w:r>
            <w:r>
              <w:rPr>
                <w:b/>
              </w:rPr>
              <w:t>% Change</w:t>
            </w:r>
          </w:p>
        </w:tc>
        <w:tc>
          <w:tcPr>
            <w:tcW w:w="59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2022 to 2021</w:t>
            </w:r>
            <w:r>
              <w:rPr/>
              <w:br/>
            </w:r>
            <w:r>
              <w:rPr>
                <w:b/>
              </w:rPr>
              <w:t>% Change</w:t>
            </w:r>
          </w:p>
        </w:tc>
        <w:tc>
          <w:tcPr>
            <w:tcW w:w="35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76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(9</w:t>
            </w:r>
          </w:p>
        </w:tc>
        <w:tc>
          <w:tcPr>
            <w:tcW w:w="59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w:t>
            </w:r>
          </w:p>
        </w:tc>
        <w:tc>
          <w:tcPr>
            <w:tcW w:w="350" w:type="dxa"/>
            <w:tcBorders/>
            <w:shd w:fill="CCEEFF" w:val="clear"/>
            <w:vAlign w:val="bottom"/>
          </w:tcPr>
          <w:p>
            <w:pPr>
              <w:pStyle w:val="TableContents"/>
              <w:bidi w:val="0"/>
              <w:spacing w:before="0" w:after="283"/>
              <w:jc w:val="left"/>
              <w:rPr/>
            </w:pPr>
            <w:r>
              <w:rPr/>
              <w:t>% </w:t>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License and Other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33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(37</w:t>
            </w:r>
          </w:p>
        </w:tc>
        <w:tc>
          <w:tcPr>
            <w:tcW w:w="59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w:t>
            </w:r>
          </w:p>
        </w:tc>
        <w:tc>
          <w:tcPr>
            <w:tcW w:w="35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49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11</w:t>
            </w:r>
          </w:p>
        </w:tc>
        <w:tc>
          <w:tcPr>
            <w:tcW w:w="59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w:t>
            </w:r>
          </w:p>
        </w:tc>
        <w:tc>
          <w:tcPr>
            <w:tcW w:w="350" w:type="dxa"/>
            <w:tcBorders/>
            <w:shd w:fill="CCEEFF" w:val="clear"/>
            <w:vAlign w:val="bottom"/>
          </w:tcPr>
          <w:p>
            <w:pPr>
              <w:pStyle w:val="TableContents"/>
              <w:bidi w:val="0"/>
              <w:spacing w:before="0" w:after="283"/>
              <w:jc w:val="left"/>
              <w:rPr/>
            </w:pPr>
            <w:r>
              <w:rPr/>
              <w:t>% </w:t>
            </w:r>
          </w:p>
        </w:tc>
      </w:tr>
      <w:tr>
        <w:trPr>
          <w:trHeight w:val="120" w:hRule="atLeast"/>
        </w:trPr>
        <w:tc>
          <w:tcPr>
            <w:tcW w:w="2270" w:type="dxa"/>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947" w:type="dxa"/>
            <w:gridSpan w:val="4"/>
            <w:tcBorders/>
            <w:vAlign w:val="center"/>
          </w:tcPr>
          <w:p>
            <w:pPr>
              <w:pStyle w:val="TableContents"/>
              <w:bidi w:val="0"/>
              <w:spacing w:before="0" w:after="283"/>
              <w:jc w:val="left"/>
              <w:rPr>
                <w:sz w:val="4"/>
                <w:szCs w:val="4"/>
              </w:rPr>
            </w:pPr>
            <w:r>
              <w:rPr>
                <w:sz w:val="4"/>
                <w:szCs w:val="4"/>
              </w:rPr>
            </w:r>
          </w:p>
        </w:tc>
        <w:tc>
          <w:tcPr>
            <w:tcW w:w="1746" w:type="dxa"/>
            <w:gridSpan w:val="4"/>
            <w:tcBorders/>
            <w:vAlign w:val="center"/>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related parties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35</w:t>
            </w:r>
          </w:p>
        </w:tc>
        <w:tc>
          <w:tcPr>
            <w:tcW w:w="59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and Other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82</w:t>
            </w:r>
          </w:p>
        </w:tc>
        <w:tc>
          <w:tcPr>
            <w:tcW w:w="59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w:t>
            </w:r>
          </w:p>
        </w:tc>
        <w:tc>
          <w:tcPr>
            <w:tcW w:w="350" w:type="dxa"/>
            <w:tcBorders/>
            <w:shd w:fill="CCEEFF" w:val="clear"/>
            <w:vAlign w:val="bottom"/>
          </w:tcPr>
          <w:p>
            <w:pPr>
              <w:pStyle w:val="TableContents"/>
              <w:bidi w:val="0"/>
              <w:spacing w:before="0" w:after="283"/>
              <w:jc w:val="left"/>
              <w:rPr/>
            </w:pPr>
            <w:r>
              <w:rPr/>
              <w:t>% </w:t>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Royalty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(11</w:t>
            </w:r>
          </w:p>
        </w:tc>
        <w:tc>
          <w:tcPr>
            <w:tcW w:w="59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w:t>
            </w:r>
          </w:p>
        </w:tc>
        <w:tc>
          <w:tcPr>
            <w:tcW w:w="350"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592"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120" w:hRule="atLeast"/>
        </w:trPr>
        <w:tc>
          <w:tcPr>
            <w:tcW w:w="2270" w:type="dxa"/>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947" w:type="dxa"/>
            <w:gridSpan w:val="4"/>
            <w:tcBorders/>
            <w:vAlign w:val="center"/>
          </w:tcPr>
          <w:p>
            <w:pPr>
              <w:pStyle w:val="TableContents"/>
              <w:bidi w:val="0"/>
              <w:spacing w:before="0" w:after="283"/>
              <w:jc w:val="left"/>
              <w:rPr>
                <w:sz w:val="4"/>
                <w:szCs w:val="4"/>
              </w:rPr>
            </w:pPr>
            <w:r>
              <w:rPr>
                <w:sz w:val="4"/>
                <w:szCs w:val="4"/>
              </w:rPr>
            </w:r>
          </w:p>
        </w:tc>
        <w:tc>
          <w:tcPr>
            <w:tcW w:w="1746" w:type="dxa"/>
            <w:gridSpan w:val="4"/>
            <w:tcBorders/>
            <w:vAlign w:val="center"/>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2,679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w:t>
            </w:r>
          </w:p>
        </w:tc>
        <w:tc>
          <w:tcPr>
            <w:tcW w:w="59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w:t>
            </w:r>
          </w:p>
        </w:tc>
        <w:tc>
          <w:tcPr>
            <w:tcW w:w="350"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099" w:type="dxa"/>
            <w:tcBorders/>
            <w:vAlign w:val="bottom"/>
          </w:tcPr>
          <w:p>
            <w:pPr>
              <w:pStyle w:val="TableContents"/>
              <w:pBdr>
                <w:top w:val="double" w:sz="6" w:space="1" w:color="000000"/>
              </w:pBdr>
              <w:bidi w:val="0"/>
              <w:spacing w:before="0" w:after="0"/>
              <w:jc w:val="left"/>
              <w:rPr/>
            </w:pPr>
            <w:r>
              <w:rPr/>
              <w:t> </w:t>
            </w:r>
          </w:p>
        </w:tc>
        <w:tc>
          <w:tcPr>
            <w:tcW w:w="592"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Total revenue was $2,679 million and $2,703 million for the fiscal years ended March 31, 2023 and 2022, respectively. License and other revenue was $1,004 million and $1,141 million for the fiscal years ended March 31, 2023 and 2022, respectively. The decrease in license and other revenue primarily was due to marginal decrease in size and timing of new licensing deals. License revenue may potentially be volatile across periods due to variability of large deals between fiscal years, which historically have had a large license revenue impact. Royalty revenue was approximately $1,675 million and approximately $1,562 million for the fiscal years ended March 31, 2023 and 2022, respectively. The increase in royalty revenue was driven primarily by continued organic growth as a result of higher net ASP per chip and increased adoption of our products by customers in their chips. </w:t>
      </w:r>
    </w:p>
    <w:p>
      <w:pPr>
        <w:pStyle w:val="TextBody"/>
        <w:bidi w:val="0"/>
        <w:spacing w:before="240" w:after="0"/>
        <w:jc w:val="left"/>
        <w:rPr>
          <w:rFonts w:ascii="Times New Roman" w:hAnsi="Times New Roman"/>
          <w:sz w:val="20"/>
        </w:rPr>
      </w:pPr>
      <w:r>
        <w:rPr>
          <w:rFonts w:ascii="Times New Roman" w:hAnsi="Times New Roman"/>
          <w:sz w:val="20"/>
        </w:rPr>
        <w:t xml:space="preserve">Revenue from external customers decreased by $194 million during the fiscal years ended March 31, 2023 as compared to the fiscal year ended March 31, 2022, driven primarily by a $333 million decrease in license and other revenue, which was partially offset by a $139 million increase in royalty revenue. Revenue from related parties increased by $170 million during the fiscal years ended March 31, 2023 as compared to the fiscal year ended March 31, 2022, primarily driven by a $196 million increase in license and other revenue, which was partially offset by a $26 million decrease in royalty revenue as a result of economic and national security issues currently ongoing in the PRC. </w:t>
      </w:r>
    </w:p>
    <w:p>
      <w:pPr>
        <w:pStyle w:val="TextBody"/>
        <w:bidi w:val="0"/>
        <w:spacing w:before="240" w:after="0"/>
        <w:jc w:val="left"/>
        <w:rPr>
          <w:rFonts w:ascii="Times New Roman" w:hAnsi="Times New Roman"/>
          <w:sz w:val="20"/>
        </w:rPr>
      </w:pPr>
      <w:r>
        <w:rPr>
          <w:rFonts w:ascii="Times New Roman" w:hAnsi="Times New Roman"/>
          <w:sz w:val="20"/>
        </w:rPr>
        <w:t xml:space="preserve">During the fiscal years ended March 31, 2023 and 2022, revenue from sales to customers outside of the U.S. accounted for approximately 59% and approximately 54% of total revenue, respectively. Less than 2% of our total revenue is denominated in currencies other than U.S. dollars, and the impact of changes in foreign exchange rates on our revenues and results of operations for the fiscal years ended March 31, 2023, 2022 and 2021 was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Total revenue was $2,703 million and $2,027 million for the fiscal years ended March 31, 2022 and 2021, respectively. License and other revenue was $1,141 million and $714 million for the fiscal years ended March 31, 2022 and 2021, respectively. The increase in license and other revenue primarily was due to an increase in licensing revenue from three high-value license agreements and as we introduced new approaches to licensing certain of our products to provide more customers with more reasons and more ways to license. Royalty revenue was approximately $1,562 million and approximately $1,313 million for the fiscal years ended March 31, 2022 and 2021, respectively. The increase in royalty revenue was driven primarily by continued organic growth as a result of higher net ASP per chip and increased adoption of our products by customers in their chips. </w:t>
      </w:r>
    </w:p>
    <w:p>
      <w:pPr>
        <w:pStyle w:val="TextBody"/>
        <w:bidi w:val="0"/>
        <w:spacing w:before="240" w:after="0"/>
        <w:jc w:val="left"/>
        <w:rPr>
          <w:rFonts w:ascii="Times New Roman" w:hAnsi="Times New Roman"/>
          <w:sz w:val="20"/>
        </w:rPr>
      </w:pPr>
      <w:r>
        <w:rPr>
          <w:rFonts w:ascii="Times New Roman" w:hAnsi="Times New Roman"/>
          <w:sz w:val="20"/>
        </w:rPr>
        <w:t xml:space="preserve">Revenue from external customers increased by $640 million during the fiscal years ended March 31, 2022 as compared to the fiscal year ended March 31, 2021, driven primarily by a $328 million increase in license and other revenue and a $312 million increase in royalty revenue. Revenue from related parties increased by $36 million during the fiscal years ended March 31, 2022 as compared to the fiscal year ended March 31, 2021, primarily driven by a $99 million increase in license and other revenue, which were partially offset by a $63 million decrease in royalty revenue as a result of trade protection and national security policies of the U.S. and PRC governments, which adversely affected PRC semiconductor suppliers and customers. </w:t>
      </w:r>
    </w:p>
    <w:p>
      <w:pPr>
        <w:pStyle w:val="TextBody"/>
        <w:bidi w:val="0"/>
        <w:spacing w:before="240" w:after="0"/>
        <w:jc w:val="left"/>
        <w:rPr>
          <w:rFonts w:ascii="Times New Roman" w:hAnsi="Times New Roman"/>
          <w:sz w:val="20"/>
        </w:rPr>
      </w:pPr>
      <w:r>
        <w:rPr>
          <w:rFonts w:ascii="Times New Roman" w:hAnsi="Times New Roman"/>
          <w:sz w:val="20"/>
        </w:rPr>
        <w:t xml:space="preserve">During the fiscal years ended March 31, 2022 and 2021 revenues from sales to customers outside of the U.S. accounted for approximately 54% and approximately 58% of total revenue, respectively. Less than 2% of our total revenue is denominated in currencies other than U.S. dollars, and the impact of changes in foreign exchange rates on our revenues and results of operations for the fiscal years ended March 31, 2022 and 2021 was immaterial. </w:t>
      </w:r>
    </w:p>
    <w:p>
      <w:pPr>
        <w:pStyle w:val="TextBody"/>
        <w:bidi w:val="0"/>
        <w:spacing w:before="360" w:after="0"/>
        <w:jc w:val="left"/>
        <w:rPr>
          <w:rFonts w:ascii="Times New Roman" w:hAnsi="Times New Roman"/>
          <w:i/>
          <w:sz w:val="20"/>
        </w:rPr>
      </w:pPr>
      <w:r>
        <w:rPr>
          <w:rFonts w:ascii="Times New Roman" w:hAnsi="Times New Roman"/>
          <w:i/>
          <w:sz w:val="20"/>
        </w:rPr>
        <w:t xml:space="preserve">Cost of sales </w:t>
      </w:r>
    </w:p>
    <w:p>
      <w:pPr>
        <w:pStyle w:val="TextBody"/>
        <w:bidi w:val="0"/>
        <w:spacing w:before="0" w:after="0"/>
        <w:jc w:val="left"/>
        <w:rPr/>
      </w:pPr>
      <w:r>
        <w:rPr/>
        <w:t> </w:t>
      </w:r>
    </w:p>
    <w:tbl>
      <w:tblPr>
        <w:tblW w:w="11948" w:type="dxa"/>
        <w:jc w:val="center"/>
        <w:tblInd w:w="0" w:type="dxa"/>
        <w:tblLayout w:type="fixed"/>
        <w:tblCellMar>
          <w:top w:w="0" w:type="dxa"/>
          <w:left w:w="0" w:type="dxa"/>
          <w:bottom w:w="0" w:type="dxa"/>
          <w:right w:w="0" w:type="dxa"/>
        </w:tblCellMar>
      </w:tblPr>
      <w:tblGrid>
        <w:gridCol w:w="2270"/>
        <w:gridCol w:w="120"/>
        <w:gridCol w:w="140"/>
        <w:gridCol w:w="455"/>
        <w:gridCol w:w="155"/>
        <w:gridCol w:w="60"/>
        <w:gridCol w:w="249"/>
        <w:gridCol w:w="581"/>
        <w:gridCol w:w="275"/>
        <w:gridCol w:w="60"/>
        <w:gridCol w:w="140"/>
        <w:gridCol w:w="455"/>
        <w:gridCol w:w="155"/>
        <w:gridCol w:w="60"/>
        <w:gridCol w:w="249"/>
        <w:gridCol w:w="581"/>
        <w:gridCol w:w="275"/>
        <w:gridCol w:w="60"/>
        <w:gridCol w:w="140"/>
        <w:gridCol w:w="455"/>
        <w:gridCol w:w="155"/>
        <w:gridCol w:w="60"/>
        <w:gridCol w:w="249"/>
        <w:gridCol w:w="581"/>
        <w:gridCol w:w="275"/>
        <w:gridCol w:w="60"/>
        <w:gridCol w:w="196"/>
        <w:gridCol w:w="1099"/>
        <w:gridCol w:w="592"/>
        <w:gridCol w:w="101"/>
        <w:gridCol w:w="195"/>
        <w:gridCol w:w="1100"/>
        <w:gridCol w:w="35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9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w:t>
              <w:br/>
              <w:t>Change</w:t>
            </w:r>
          </w:p>
        </w:tc>
        <w:tc>
          <w:tcPr>
            <w:tcW w:w="350"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12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59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w:t>
              <w:br/>
              <w:t>% Change</w:t>
            </w:r>
          </w:p>
        </w:tc>
        <w:tc>
          <w:tcPr>
            <w:tcW w:w="35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(19</w:t>
            </w:r>
          </w:p>
        </w:tc>
        <w:tc>
          <w:tcPr>
            <w:tcW w:w="59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Cost of sales were $106 million and $131 million for the fiscal years ended March 31, 2023 and 2022, respectively. Cost of sales decreased by $25 million during the fiscal year ended March 31, 2023 as compared to the fiscal year ended March 31, 2022, primarily due to decreases in activities associated with professional and design services, and employee and related retention awards, offset by increases in employee share-based compensation. </w:t>
      </w:r>
    </w:p>
    <w:p>
      <w:pPr>
        <w:pStyle w:val="TextBody"/>
        <w:bidi w:val="0"/>
        <w:spacing w:before="36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Cost of sales were $131 million and $145 million for the fiscal years ended March 31, 2022 and 2021, respectively. Cost of sales decreased by $14 million during the fiscal year ended March 31, 2022 as compared to the fiscal year ended March 31, 2021, primarily due to decreases in activities associated with professional and design services as well as a decrease in developed technology intangibles asset amortization due to certain assets coming to end of life. This decrease was partially offset by general increases in salaries and related expenses, professional services expenses, among other miscellaneous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0" w:after="0"/>
        <w:jc w:val="left"/>
        <w:rPr/>
      </w:pPr>
      <w:r>
        <w:rPr/>
        <w:t> </w:t>
      </w:r>
    </w:p>
    <w:tbl>
      <w:tblPr>
        <w:tblW w:w="12056" w:type="dxa"/>
        <w:jc w:val="center"/>
        <w:tblInd w:w="0" w:type="dxa"/>
        <w:tblLayout w:type="fixed"/>
        <w:tblCellMar>
          <w:top w:w="0" w:type="dxa"/>
          <w:left w:w="0" w:type="dxa"/>
          <w:bottom w:w="0" w:type="dxa"/>
          <w:right w:w="0" w:type="dxa"/>
        </w:tblCellMar>
      </w:tblPr>
      <w:tblGrid>
        <w:gridCol w:w="2270"/>
        <w:gridCol w:w="120"/>
        <w:gridCol w:w="140"/>
        <w:gridCol w:w="635"/>
        <w:gridCol w:w="155"/>
        <w:gridCol w:w="60"/>
        <w:gridCol w:w="155"/>
        <w:gridCol w:w="675"/>
        <w:gridCol w:w="275"/>
        <w:gridCol w:w="60"/>
        <w:gridCol w:w="140"/>
        <w:gridCol w:w="455"/>
        <w:gridCol w:w="155"/>
        <w:gridCol w:w="60"/>
        <w:gridCol w:w="155"/>
        <w:gridCol w:w="675"/>
        <w:gridCol w:w="275"/>
        <w:gridCol w:w="60"/>
        <w:gridCol w:w="140"/>
        <w:gridCol w:w="455"/>
        <w:gridCol w:w="155"/>
        <w:gridCol w:w="60"/>
        <w:gridCol w:w="155"/>
        <w:gridCol w:w="675"/>
        <w:gridCol w:w="275"/>
        <w:gridCol w:w="60"/>
        <w:gridCol w:w="241"/>
        <w:gridCol w:w="1054"/>
        <w:gridCol w:w="572"/>
        <w:gridCol w:w="124"/>
        <w:gridCol w:w="240"/>
        <w:gridCol w:w="1055"/>
        <w:gridCol w:w="2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7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w:t>
              <w:br/>
              <w:t>Change</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12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57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w:t>
              <w:br/>
              <w:t>% Change</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(1,133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(995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14</w:t>
            </w:r>
          </w:p>
        </w:tc>
        <w:tc>
          <w:tcPr>
            <w:tcW w:w="57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were $1,133 million and $995 million for the fiscal years ended March 31, 2023 and 2022, respectively. Research and development expenses increased by $138 million during the fiscal year ended March 31, 2023 as compared to the fiscal year ended March 31, 2022, due to increased investments in next generation of products. The increase was due to general increases in salaries and related expenses and share-based compensation, increases in cloud engineering expenses, including cloud services, depreciation, and allocated facility overheads, partially offset by decreases in employee related retention awards and increases in research and development tax credits. </w:t>
      </w:r>
    </w:p>
    <w:p>
      <w:pPr>
        <w:pStyle w:val="TextBody"/>
        <w:bidi w:val="0"/>
        <w:spacing w:before="36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were $995 million and $814 million for the fiscal years ended March 31, 2022 and 2021, respectively. Research and development expenses increased by $181 million during the fiscal year ended March 31, 2022 as compared to the fiscal year ended March 31, 2021, primarily due to general increases in salaries and related retention awards, partially offset by decreases in government research grant income from the Innovate U.K. grant due to a reduction in the relevant qualifying expenses for which the Innovate U.K. grant is intended to compensate.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0" w:after="0"/>
        <w:jc w:val="left"/>
        <w:rPr/>
      </w:pPr>
      <w:r>
        <w:rPr/>
        <w:t> </w:t>
      </w:r>
    </w:p>
    <w:tbl>
      <w:tblPr>
        <w:tblW w:w="11947" w:type="dxa"/>
        <w:jc w:val="center"/>
        <w:tblInd w:w="0" w:type="dxa"/>
        <w:tblLayout w:type="fixed"/>
        <w:tblCellMar>
          <w:top w:w="0" w:type="dxa"/>
          <w:left w:w="0" w:type="dxa"/>
          <w:bottom w:w="0" w:type="dxa"/>
          <w:right w:w="0" w:type="dxa"/>
        </w:tblCellMar>
      </w:tblPr>
      <w:tblGrid>
        <w:gridCol w:w="2270"/>
        <w:gridCol w:w="60"/>
        <w:gridCol w:w="140"/>
        <w:gridCol w:w="455"/>
        <w:gridCol w:w="155"/>
        <w:gridCol w:w="60"/>
        <w:gridCol w:w="155"/>
        <w:gridCol w:w="675"/>
        <w:gridCol w:w="275"/>
        <w:gridCol w:w="60"/>
        <w:gridCol w:w="140"/>
        <w:gridCol w:w="455"/>
        <w:gridCol w:w="155"/>
        <w:gridCol w:w="60"/>
        <w:gridCol w:w="155"/>
        <w:gridCol w:w="675"/>
        <w:gridCol w:w="275"/>
        <w:gridCol w:w="60"/>
        <w:gridCol w:w="140"/>
        <w:gridCol w:w="455"/>
        <w:gridCol w:w="155"/>
        <w:gridCol w:w="60"/>
        <w:gridCol w:w="155"/>
        <w:gridCol w:w="675"/>
        <w:gridCol w:w="275"/>
        <w:gridCol w:w="60"/>
        <w:gridCol w:w="196"/>
        <w:gridCol w:w="1099"/>
        <w:gridCol w:w="706"/>
        <w:gridCol w:w="121"/>
        <w:gridCol w:w="385"/>
        <w:gridCol w:w="910"/>
        <w:gridCol w:w="27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9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w:t>
              <w:br/>
              <w:t>Change</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70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w:t>
              <w:br/>
              <w:t>% Change</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(897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(826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(15</w:t>
            </w:r>
          </w:p>
        </w:tc>
        <w:tc>
          <w:tcPr>
            <w:tcW w:w="70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9</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were $762 million and $897 million for the fiscal years ended March 31, 2023 and 2022, respectively. Selling, general and administrative expenses decreased by $135 million during the fiscal year ended March 31, 2023 as compared to the fiscal year ended March 31, 2022, primarily due to decreases in salaries and related expenses and employee retention awards, due in part to restructuring activities announced in March 2022, along with decreases in provisions for current expected credit losses on accounts receivable and recoveries, decreases in depreciation and amortization, general cloud service expenses, and allocated facility overheads, partially offset by increases in employee share-based compensation, public company readiness costs, professional services expenses and related charges, litigation provisions and related legal fees, travel expenses, and other miscellaneous items. </w:t>
      </w:r>
    </w:p>
    <w:p>
      <w:pPr>
        <w:pStyle w:val="TextBody"/>
        <w:bidi w:val="0"/>
        <w:spacing w:before="36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were $897 million and $826 million for the fiscal years ended March 31, 2022 and 2021, respectively. Selling, general and administrative expenses increased by $71 million during the fiscal year ended March 31, 2022 as compared to the fiscal year ended March 31, 2021, primarily due to general increases in salaries and related retention awards, increases in professional services expenses and related charges, cloud infrastructure costs, and provisions for current expected credit losses on accounts receivable. These increases were partially offset by decreases in acquisition related costs, depreciation and amortization and other miscellaneous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0" w:after="0"/>
        <w:jc w:val="left"/>
        <w:rPr/>
      </w:pPr>
      <w:r>
        <w:rPr/>
        <w:t> </w:t>
      </w:r>
    </w:p>
    <w:tbl>
      <w:tblPr>
        <w:tblW w:w="11469" w:type="dxa"/>
        <w:jc w:val="center"/>
        <w:tblInd w:w="0" w:type="dxa"/>
        <w:tblLayout w:type="fixed"/>
        <w:tblCellMar>
          <w:top w:w="0" w:type="dxa"/>
          <w:left w:w="0" w:type="dxa"/>
          <w:bottom w:w="0" w:type="dxa"/>
          <w:right w:w="0" w:type="dxa"/>
        </w:tblCellMar>
      </w:tblPr>
      <w:tblGrid>
        <w:gridCol w:w="2270"/>
        <w:gridCol w:w="120"/>
        <w:gridCol w:w="250"/>
        <w:gridCol w:w="250"/>
        <w:gridCol w:w="60"/>
        <w:gridCol w:w="120"/>
        <w:gridCol w:w="249"/>
        <w:gridCol w:w="581"/>
        <w:gridCol w:w="275"/>
        <w:gridCol w:w="60"/>
        <w:gridCol w:w="165"/>
        <w:gridCol w:w="335"/>
        <w:gridCol w:w="155"/>
        <w:gridCol w:w="60"/>
        <w:gridCol w:w="249"/>
        <w:gridCol w:w="581"/>
        <w:gridCol w:w="275"/>
        <w:gridCol w:w="60"/>
        <w:gridCol w:w="197"/>
        <w:gridCol w:w="303"/>
        <w:gridCol w:w="155"/>
        <w:gridCol w:w="60"/>
        <w:gridCol w:w="249"/>
        <w:gridCol w:w="581"/>
        <w:gridCol w:w="275"/>
        <w:gridCol w:w="60"/>
        <w:gridCol w:w="150"/>
        <w:gridCol w:w="1145"/>
        <w:gridCol w:w="520"/>
        <w:gridCol w:w="89"/>
        <w:gridCol w:w="175"/>
        <w:gridCol w:w="1120"/>
        <w:gridCol w:w="2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7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w:t>
              <w:br/>
              <w:t>Change</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12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52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w:t>
              <w:br/>
              <w:t>% Change</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3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30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(100</w:t>
            </w:r>
          </w:p>
        </w:tc>
        <w:tc>
          <w:tcPr>
            <w:tcW w:w="52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600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Impairment of long-lived assets was zero and $21 million for the fiscal years ended March 31, 2023 and 2022, respectively. Impairment of long-lived assets decreased by $21 million during the fiscal year ended March 31, 2023 as compared to the fiscal year ended March 31, 2022, as there was no impairment of property and equipment or operating lease right-of-use assets in the fiscal year ended March 31, 2023. </w:t>
      </w:r>
    </w:p>
    <w:p>
      <w:pPr>
        <w:pStyle w:val="TextBody"/>
        <w:bidi w:val="0"/>
        <w:spacing w:before="36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Impairment of long-lived assets was $21 million and $3 million for the fiscal years ended March 31, 2022 and 2021, respectively. Impairment of long-lived assets increased by $18 million during the fiscal year ended March 31, 2022 as compared to the fiscal year ended March 31, 2021, primarily related to impairment of certain property and equipment, intangible assets and operating lease right-of-use assets. </w:t>
      </w:r>
    </w:p>
    <w:p>
      <w:pPr>
        <w:pStyle w:val="TextBody"/>
        <w:bidi w:val="0"/>
        <w:spacing w:before="360" w:after="0"/>
        <w:jc w:val="left"/>
        <w:rPr>
          <w:rFonts w:ascii="Times New Roman" w:hAnsi="Times New Roman"/>
          <w:i/>
          <w:sz w:val="20"/>
        </w:rPr>
      </w:pPr>
      <w:r>
        <w:rPr>
          <w:rFonts w:ascii="Times New Roman" w:hAnsi="Times New Roman"/>
          <w:i/>
          <w:sz w:val="20"/>
        </w:rPr>
        <w:t xml:space="preserve">Disposal, restructuring and other operating expenses, net </w:t>
      </w:r>
    </w:p>
    <w:p>
      <w:pPr>
        <w:pStyle w:val="TextBody"/>
        <w:bidi w:val="0"/>
        <w:spacing w:before="0" w:after="0"/>
        <w:jc w:val="left"/>
        <w:rPr/>
      </w:pPr>
      <w:r>
        <w:rPr/>
        <w:t> </w:t>
      </w:r>
    </w:p>
    <w:tbl>
      <w:tblPr>
        <w:tblW w:w="11407" w:type="dxa"/>
        <w:jc w:val="center"/>
        <w:tblInd w:w="0" w:type="dxa"/>
        <w:tblLayout w:type="fixed"/>
        <w:tblCellMar>
          <w:top w:w="0" w:type="dxa"/>
          <w:left w:w="0" w:type="dxa"/>
          <w:bottom w:w="0" w:type="dxa"/>
          <w:right w:w="0" w:type="dxa"/>
        </w:tblCellMar>
      </w:tblPr>
      <w:tblGrid>
        <w:gridCol w:w="2270"/>
        <w:gridCol w:w="60"/>
        <w:gridCol w:w="197"/>
        <w:gridCol w:w="303"/>
        <w:gridCol w:w="155"/>
        <w:gridCol w:w="60"/>
        <w:gridCol w:w="249"/>
        <w:gridCol w:w="581"/>
        <w:gridCol w:w="275"/>
        <w:gridCol w:w="60"/>
        <w:gridCol w:w="165"/>
        <w:gridCol w:w="335"/>
        <w:gridCol w:w="155"/>
        <w:gridCol w:w="60"/>
        <w:gridCol w:w="249"/>
        <w:gridCol w:w="581"/>
        <w:gridCol w:w="275"/>
        <w:gridCol w:w="60"/>
        <w:gridCol w:w="250"/>
        <w:gridCol w:w="250"/>
        <w:gridCol w:w="60"/>
        <w:gridCol w:w="60"/>
        <w:gridCol w:w="249"/>
        <w:gridCol w:w="581"/>
        <w:gridCol w:w="275"/>
        <w:gridCol w:w="60"/>
        <w:gridCol w:w="195"/>
        <w:gridCol w:w="1100"/>
        <w:gridCol w:w="570"/>
        <w:gridCol w:w="97"/>
        <w:gridCol w:w="174"/>
        <w:gridCol w:w="1121"/>
        <w:gridCol w:w="27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w:t>
              <w:br/>
              <w:t>Change</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57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w:t>
              <w:br/>
              <w:t>% Change</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Disposal, restructuring and other operating expenses, net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303"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35"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(73</w:t>
            </w:r>
          </w:p>
        </w:tc>
        <w:tc>
          <w:tcPr>
            <w:tcW w:w="57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Disposal, restructuring and other operating expenses, net were $7 million and $26 million for the fiscal years ended March 31, 2023 and 2022, respectively. Disposal, restructuring and other operating expenses, net decreased by $19 million for the fiscal year ended March 31, 2023 as compared to the fiscal year ended March 31, 2022, primarily due to a decrease in restructuring activities, which was partially offset by an increase in disposal expenses. Restructuring activities were completed in the first two quarters of the fiscal year ended March 31, 2023 for the restructuring plan announced in March 2022. </w:t>
      </w:r>
    </w:p>
    <w:p>
      <w:pPr>
        <w:pStyle w:val="TextBody"/>
        <w:bidi w:val="0"/>
        <w:spacing w:before="36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Disposal, restructuring and other operating expenses, net were $26 million and zero for the fiscal years ended March 31, 2022. Disposal, restructuring and other operating expenses, net increased by $26 million for the fiscal year ended March 31, 2022 as compared to the fiscal year ended March 31, 2021, primarily due to the announcement of a restructuring plan in March 2022 to align our selling, general and administrative workforce with strategic business activities and to improve efficiencies in our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Income (loss) from equity investments, net </w:t>
      </w:r>
    </w:p>
    <w:p>
      <w:pPr>
        <w:pStyle w:val="TextBody"/>
        <w:bidi w:val="0"/>
        <w:spacing w:before="0" w:after="0"/>
        <w:jc w:val="left"/>
        <w:rPr/>
      </w:pPr>
      <w:r>
        <w:rPr/>
        <w:t> </w:t>
      </w:r>
    </w:p>
    <w:tbl>
      <w:tblPr>
        <w:tblW w:w="11420" w:type="dxa"/>
        <w:jc w:val="center"/>
        <w:tblInd w:w="0" w:type="dxa"/>
        <w:tblLayout w:type="fixed"/>
        <w:tblCellMar>
          <w:top w:w="0" w:type="dxa"/>
          <w:left w:w="0" w:type="dxa"/>
          <w:bottom w:w="0" w:type="dxa"/>
          <w:right w:w="0" w:type="dxa"/>
        </w:tblCellMar>
      </w:tblPr>
      <w:tblGrid>
        <w:gridCol w:w="2270"/>
        <w:gridCol w:w="120"/>
        <w:gridCol w:w="154"/>
        <w:gridCol w:w="346"/>
        <w:gridCol w:w="155"/>
        <w:gridCol w:w="60"/>
        <w:gridCol w:w="249"/>
        <w:gridCol w:w="581"/>
        <w:gridCol w:w="275"/>
        <w:gridCol w:w="60"/>
        <w:gridCol w:w="140"/>
        <w:gridCol w:w="380"/>
        <w:gridCol w:w="60"/>
        <w:gridCol w:w="120"/>
        <w:gridCol w:w="249"/>
        <w:gridCol w:w="581"/>
        <w:gridCol w:w="275"/>
        <w:gridCol w:w="60"/>
        <w:gridCol w:w="140"/>
        <w:gridCol w:w="380"/>
        <w:gridCol w:w="60"/>
        <w:gridCol w:w="120"/>
        <w:gridCol w:w="155"/>
        <w:gridCol w:w="675"/>
        <w:gridCol w:w="275"/>
        <w:gridCol w:w="60"/>
        <w:gridCol w:w="150"/>
        <w:gridCol w:w="1145"/>
        <w:gridCol w:w="410"/>
        <w:gridCol w:w="70"/>
        <w:gridCol w:w="194"/>
        <w:gridCol w:w="1101"/>
        <w:gridCol w:w="35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7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w:t>
              <w:br/>
              <w:t>Period Change</w:t>
            </w:r>
          </w:p>
        </w:tc>
        <w:tc>
          <w:tcPr>
            <w:tcW w:w="350"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12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4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w:t>
              <w:br/>
              <w:t>% Change</w:t>
            </w:r>
          </w:p>
        </w:tc>
        <w:tc>
          <w:tcPr>
            <w:tcW w:w="35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equity investments, net</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346"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141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476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(132</w:t>
            </w:r>
          </w:p>
        </w:tc>
        <w:tc>
          <w:tcPr>
            <w:tcW w:w="41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(70</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Income (loss) from equity investments, net was $(45) million and $141 million for the fiscal years ended March 31, 2023 and 2022, respectively. Income from equity investments, net decreased by $186 million for the fiscal year ended March 31, 2023 as compared to the fiscal year ended March 31, 2022, primarily due to unrealized losses related to equity method investments accounted for at fair value, and non-marketable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Income from equity investments, net was $141 million and $476 million for the fiscal years ended March 31, 2022 and 2021, respectively. Income from equity investments, net decreased by $335 million for the fiscal year ended March 31, 2022 as compared to the fiscal year ended March 31, 2021, primarily due to unrealized gains related to equity method investments accounted for at fair value, and non-marketable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net </w:t>
      </w:r>
    </w:p>
    <w:p>
      <w:pPr>
        <w:pStyle w:val="TextBody"/>
        <w:bidi w:val="0"/>
        <w:spacing w:before="0" w:after="0"/>
        <w:jc w:val="left"/>
        <w:rPr/>
      </w:pPr>
      <w:r>
        <w:rPr/>
        <w:t> </w:t>
      </w:r>
    </w:p>
    <w:tbl>
      <w:tblPr>
        <w:tblW w:w="11378" w:type="dxa"/>
        <w:jc w:val="center"/>
        <w:tblInd w:w="0" w:type="dxa"/>
        <w:tblLayout w:type="fixed"/>
        <w:tblCellMar>
          <w:top w:w="0" w:type="dxa"/>
          <w:left w:w="0" w:type="dxa"/>
          <w:bottom w:w="0" w:type="dxa"/>
          <w:right w:w="0" w:type="dxa"/>
        </w:tblCellMar>
      </w:tblPr>
      <w:tblGrid>
        <w:gridCol w:w="2270"/>
        <w:gridCol w:w="120"/>
        <w:gridCol w:w="193"/>
        <w:gridCol w:w="307"/>
        <w:gridCol w:w="60"/>
        <w:gridCol w:w="120"/>
        <w:gridCol w:w="249"/>
        <w:gridCol w:w="581"/>
        <w:gridCol w:w="275"/>
        <w:gridCol w:w="60"/>
        <w:gridCol w:w="250"/>
        <w:gridCol w:w="250"/>
        <w:gridCol w:w="60"/>
        <w:gridCol w:w="120"/>
        <w:gridCol w:w="249"/>
        <w:gridCol w:w="581"/>
        <w:gridCol w:w="275"/>
        <w:gridCol w:w="60"/>
        <w:gridCol w:w="250"/>
        <w:gridCol w:w="250"/>
        <w:gridCol w:w="60"/>
        <w:gridCol w:w="120"/>
        <w:gridCol w:w="249"/>
        <w:gridCol w:w="581"/>
        <w:gridCol w:w="275"/>
        <w:gridCol w:w="60"/>
        <w:gridCol w:w="124"/>
        <w:gridCol w:w="1171"/>
        <w:gridCol w:w="483"/>
        <w:gridCol w:w="105"/>
        <w:gridCol w:w="385"/>
        <w:gridCol w:w="910"/>
        <w:gridCol w:w="2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0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w:t>
              <w:br/>
              <w:t>Change</w:t>
            </w:r>
          </w:p>
        </w:tc>
        <w:tc>
          <w:tcPr>
            <w:tcW w:w="275"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12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48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w:t>
              <w:br/>
              <w:t>% Change</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2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307"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2,000</w:t>
            </w:r>
          </w:p>
        </w:tc>
        <w:tc>
          <w:tcPr>
            <w:tcW w:w="4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net was $42 million and $2 million for the fiscal years ended March 31, 2023 and 2022. Interest income, net increased by $40 million for the fiscal year ended March 31, 2023 as compared to the fiscal year ended March 31, 2022, primarily due to favorable interest rate yields recognized on short-term investments and cash equivalents. </w:t>
      </w:r>
    </w:p>
    <w:p>
      <w:pPr>
        <w:pStyle w:val="TextBody"/>
        <w:bidi w:val="0"/>
        <w:spacing w:before="36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net was $2 million for each of the fiscal years ended March 31, 2022 and 2021. No material changes in interest income or expenses were realized in the fiscal year ended March 31, 2022 as compared to the fiscal year ended March 31, 2021. </w:t>
      </w:r>
    </w:p>
    <w:p>
      <w:pPr>
        <w:pStyle w:val="TextBody"/>
        <w:bidi w:val="0"/>
        <w:spacing w:before="360" w:after="0"/>
        <w:jc w:val="left"/>
        <w:rPr>
          <w:rFonts w:ascii="Times New Roman" w:hAnsi="Times New Roman"/>
          <w:i/>
          <w:sz w:val="20"/>
        </w:rPr>
      </w:pPr>
      <w:r>
        <w:rPr>
          <w:rFonts w:ascii="Times New Roman" w:hAnsi="Times New Roman"/>
          <w:i/>
          <w:sz w:val="20"/>
        </w:rPr>
        <w:t xml:space="preserve">Other non-operating income (loss), net </w:t>
      </w:r>
    </w:p>
    <w:p>
      <w:pPr>
        <w:pStyle w:val="TextBody"/>
        <w:bidi w:val="0"/>
        <w:spacing w:before="0" w:after="0"/>
        <w:jc w:val="left"/>
        <w:rPr/>
      </w:pPr>
      <w:r>
        <w:rPr/>
        <w:t> </w:t>
      </w:r>
    </w:p>
    <w:tbl>
      <w:tblPr>
        <w:tblW w:w="11605" w:type="dxa"/>
        <w:jc w:val="center"/>
        <w:tblInd w:w="0" w:type="dxa"/>
        <w:tblLayout w:type="fixed"/>
        <w:tblCellMar>
          <w:top w:w="0" w:type="dxa"/>
          <w:left w:w="0" w:type="dxa"/>
          <w:bottom w:w="0" w:type="dxa"/>
          <w:right w:w="0" w:type="dxa"/>
        </w:tblCellMar>
      </w:tblPr>
      <w:tblGrid>
        <w:gridCol w:w="2270"/>
        <w:gridCol w:w="120"/>
        <w:gridCol w:w="250"/>
        <w:gridCol w:w="250"/>
        <w:gridCol w:w="60"/>
        <w:gridCol w:w="120"/>
        <w:gridCol w:w="249"/>
        <w:gridCol w:w="581"/>
        <w:gridCol w:w="275"/>
        <w:gridCol w:w="60"/>
        <w:gridCol w:w="175"/>
        <w:gridCol w:w="325"/>
        <w:gridCol w:w="60"/>
        <w:gridCol w:w="120"/>
        <w:gridCol w:w="249"/>
        <w:gridCol w:w="581"/>
        <w:gridCol w:w="275"/>
        <w:gridCol w:w="60"/>
        <w:gridCol w:w="165"/>
        <w:gridCol w:w="335"/>
        <w:gridCol w:w="155"/>
        <w:gridCol w:w="60"/>
        <w:gridCol w:w="181"/>
        <w:gridCol w:w="649"/>
        <w:gridCol w:w="350"/>
        <w:gridCol w:w="60"/>
        <w:gridCol w:w="196"/>
        <w:gridCol w:w="1099"/>
        <w:gridCol w:w="538"/>
        <w:gridCol w:w="92"/>
        <w:gridCol w:w="150"/>
        <w:gridCol w:w="1145"/>
        <w:gridCol w:w="35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3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w:t>
              <w:br/>
              <w:t>Change</w:t>
            </w:r>
          </w:p>
        </w:tc>
        <w:tc>
          <w:tcPr>
            <w:tcW w:w="350"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12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w:t>
              <w:br/>
              <w:t>% Change</w:t>
            </w:r>
          </w:p>
        </w:tc>
        <w:tc>
          <w:tcPr>
            <w:tcW w:w="53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w:t>
              <w:br/>
              <w:t>% Change</w:t>
            </w:r>
          </w:p>
        </w:tc>
        <w:tc>
          <w:tcPr>
            <w:tcW w:w="35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(loss), net</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35"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(70</w:t>
            </w:r>
          </w:p>
        </w:tc>
        <w:tc>
          <w:tcPr>
            <w:tcW w:w="53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(150</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Other non-operating income (loss), net was $3 million and $10 million for the fiscal years ended March 31, 2023 and 2022, respectively. Other non-operating income (loss), net decreased by $7 million for the fiscal year ended March 31, 2023 as compared to the fiscal year ended March 31, 2022, primarily due to realized and unrealized foreign exchanges gains, along with fair value changes in derivative financial instruments, convertible loans receivable, and a gain recognized upon the sale of certain net assets that meets the definition of a business, partially offset by realized and unrealized foreign exchange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Other non-operating income (loss), net was $10 million and $(20) million for the fiscal years ended March 31, 2022 and 2021, respectively. Other non-operating income (loss), net increased by $30 million for the fiscal year ended March 31, 2022 as compared to the fiscal year ended March 31, 2021, primarily due to realized and unrealized foreign exchanges gains, along with fair value changes in derivative financial instruments and convertible loans receivable, partially offset by realized and unrealized foreign exchange losses.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0" w:after="0"/>
        <w:jc w:val="left"/>
        <w:rPr/>
      </w:pPr>
      <w:r>
        <w:rPr/>
        <w:t> </w:t>
      </w:r>
    </w:p>
    <w:tbl>
      <w:tblPr>
        <w:tblW w:w="12022" w:type="dxa"/>
        <w:jc w:val="center"/>
        <w:tblInd w:w="0" w:type="dxa"/>
        <w:tblLayout w:type="fixed"/>
        <w:tblCellMar>
          <w:top w:w="0" w:type="dxa"/>
          <w:left w:w="0" w:type="dxa"/>
          <w:bottom w:w="0" w:type="dxa"/>
          <w:right w:w="0" w:type="dxa"/>
        </w:tblCellMar>
      </w:tblPr>
      <w:tblGrid>
        <w:gridCol w:w="2270"/>
        <w:gridCol w:w="120"/>
        <w:gridCol w:w="140"/>
        <w:gridCol w:w="455"/>
        <w:gridCol w:w="155"/>
        <w:gridCol w:w="60"/>
        <w:gridCol w:w="249"/>
        <w:gridCol w:w="581"/>
        <w:gridCol w:w="275"/>
        <w:gridCol w:w="60"/>
        <w:gridCol w:w="140"/>
        <w:gridCol w:w="455"/>
        <w:gridCol w:w="155"/>
        <w:gridCol w:w="60"/>
        <w:gridCol w:w="249"/>
        <w:gridCol w:w="581"/>
        <w:gridCol w:w="275"/>
        <w:gridCol w:w="60"/>
        <w:gridCol w:w="140"/>
        <w:gridCol w:w="455"/>
        <w:gridCol w:w="155"/>
        <w:gridCol w:w="60"/>
        <w:gridCol w:w="249"/>
        <w:gridCol w:w="581"/>
        <w:gridCol w:w="275"/>
        <w:gridCol w:w="60"/>
        <w:gridCol w:w="254"/>
        <w:gridCol w:w="1101"/>
        <w:gridCol w:w="531"/>
        <w:gridCol w:w="116"/>
        <w:gridCol w:w="205"/>
        <w:gridCol w:w="1150"/>
        <w:gridCol w:w="35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9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Fiscal Year Ended March 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Period-Over-Period Change</w:t>
            </w:r>
          </w:p>
        </w:tc>
        <w:tc>
          <w:tcPr>
            <w:tcW w:w="350" w:type="dxa"/>
            <w:tcBorders/>
            <w:vAlign w:val="bottom"/>
          </w:tcPr>
          <w:p>
            <w:pPr>
              <w:pStyle w:val="TableContents"/>
              <w:bidi w:val="0"/>
              <w:spacing w:before="0" w:after="283"/>
              <w:jc w:val="left"/>
              <w:rPr/>
            </w:pPr>
            <w:r>
              <w:rPr/>
              <w:t> </w:t>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percentages)</w:t>
            </w:r>
          </w:p>
        </w:tc>
        <w:tc>
          <w:tcPr>
            <w:tcW w:w="12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 of </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 of </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 of </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to 2022 </w:t>
              <w:br/>
              <w:t>% Change</w:t>
            </w:r>
          </w:p>
        </w:tc>
        <w:tc>
          <w:tcPr>
            <w:tcW w:w="53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to 2021 </w:t>
              <w:br/>
              <w:t>% Change</w:t>
            </w:r>
          </w:p>
        </w:tc>
        <w:tc>
          <w:tcPr>
            <w:tcW w:w="35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34</w:t>
            </w:r>
          </w:p>
        </w:tc>
        <w:tc>
          <w:tcPr>
            <w:tcW w:w="531"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compared to 2022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was $147 million and $110 million for the fiscal years ended March 31, 2023 and 2022, respectively. Our effective tax rate for the fiscal years ended March 31, 2023 and 2022 was 22% and 14%, respectively. In the fiscal year ended March 31, 2023, our effective tax rate increased by approximately 8%, primarily due to significant irrecoverable withholding taxes and decreased profits qualifying for the U.K. patent box regime in the fiscal year ended March 31, 2023. </w:t>
      </w:r>
    </w:p>
    <w:p>
      <w:pPr>
        <w:pStyle w:val="TextBody"/>
        <w:bidi w:val="0"/>
        <w:spacing w:before="360" w:after="0"/>
        <w:jc w:val="left"/>
        <w:rPr>
          <w:rFonts w:ascii="Times New Roman" w:hAnsi="Times New Roman"/>
          <w:i/>
          <w:sz w:val="20"/>
        </w:rPr>
      </w:pPr>
      <w:r>
        <w:rPr>
          <w:rFonts w:ascii="Times New Roman" w:hAnsi="Times New Roman"/>
          <w:i/>
          <w:sz w:val="20"/>
        </w:rPr>
        <w:t xml:space="preserve">2022 compared to 2021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was $110 million and $153 million for the fiscal years ended March 31, 2022 and 2021, respectively. Our effective tax rate for the fiscal years ended March 31, 2022 and 2021 was 14% and 22%, respectively. In the fiscal year ended March 31, 2022, our effective tax rate decreased by approximately 8%, primarily due to significant unrecoverable withholding taxes as a result of insufficient specific U.K. profits in the fiscal year ended March 31, 2021 and increased profits qualifying for the U.K. patent box regime in the fiscal year ended March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Quarterly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each of the three-month periods indicated, selected financial data from our unaudited consolidated income statements and consolidated balance sheets. The information for each of these quarters has been prepared on the same basis as the audited annual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data should be read in conjunction with our annual consolidated financial statements and unaudited consolidated interim condensed financial statements and the related notes, all of which are included elsewhere in this prospectus. The results of historical periods are not necessarily indicative of the results in any future period and the results of a particular quarter or other interim period are not necessarily indicative of the results for a full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5"/>
        <w:gridCol w:w="159"/>
        <w:gridCol w:w="214"/>
        <w:gridCol w:w="858"/>
        <w:gridCol w:w="155"/>
        <w:gridCol w:w="102"/>
        <w:gridCol w:w="175"/>
        <w:gridCol w:w="709"/>
        <w:gridCol w:w="155"/>
        <w:gridCol w:w="102"/>
        <w:gridCol w:w="295"/>
        <w:gridCol w:w="1195"/>
        <w:gridCol w:w="155"/>
        <w:gridCol w:w="102"/>
        <w:gridCol w:w="283"/>
        <w:gridCol w:w="1150"/>
        <w:gridCol w:w="155"/>
        <w:gridCol w:w="102"/>
        <w:gridCol w:w="214"/>
        <w:gridCol w:w="857"/>
        <w:gridCol w:w="155"/>
        <w:gridCol w:w="102"/>
        <w:gridCol w:w="175"/>
        <w:gridCol w:w="709"/>
        <w:gridCol w:w="162"/>
      </w:tblGrid>
      <w:tr>
        <w:trPr/>
        <w:tc>
          <w:tcPr>
            <w:tcW w:w="176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6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119"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2" w:type="dxa"/>
            <w:tcBorders/>
            <w:vAlign w:val="bottom"/>
          </w:tcPr>
          <w:p>
            <w:pPr>
              <w:pStyle w:val="TableContents"/>
              <w:bidi w:val="0"/>
              <w:spacing w:before="0" w:after="283"/>
              <w:jc w:val="left"/>
              <w:rPr/>
            </w:pPr>
            <w:r>
              <w:rPr/>
              <w:t> </w:t>
            </w:r>
          </w:p>
        </w:tc>
      </w:tr>
      <w:tr>
        <w:trPr/>
        <w:tc>
          <w:tcPr>
            <w:tcW w:w="176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62" w:type="dxa"/>
            <w:tcBorders/>
            <w:vAlign w:val="bottom"/>
          </w:tcPr>
          <w:p>
            <w:pPr>
              <w:pStyle w:val="TableContents"/>
              <w:bidi w:val="0"/>
              <w:spacing w:before="0" w:after="283"/>
              <w:jc w:val="left"/>
              <w:rPr/>
            </w:pPr>
            <w:r>
              <w:rPr/>
              <w:t> </w:t>
            </w:r>
          </w:p>
        </w:tc>
      </w:tr>
      <w:tr>
        <w:trPr/>
        <w:tc>
          <w:tcPr>
            <w:tcW w:w="176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119" w:type="dxa"/>
            <w:gridSpan w:val="22"/>
            <w:tcBorders/>
            <w:vAlign w:val="bottom"/>
          </w:tcPr>
          <w:p>
            <w:pPr>
              <w:pStyle w:val="TableContents"/>
              <w:bidi w:val="0"/>
              <w:spacing w:before="0" w:after="283"/>
              <w:jc w:val="center"/>
              <w:rPr>
                <w:b/>
              </w:rPr>
            </w:pPr>
            <w:r>
              <w:rPr>
                <w:b/>
              </w:rPr>
              <w:t>(in millions)</w:t>
            </w:r>
          </w:p>
        </w:tc>
        <w:tc>
          <w:tcPr>
            <w:tcW w:w="162" w:type="dxa"/>
            <w:tcBorders/>
            <w:vAlign w:val="bottom"/>
          </w:tcPr>
          <w:p>
            <w:pPr>
              <w:pStyle w:val="TableContents"/>
              <w:bidi w:val="0"/>
              <w:spacing w:before="0" w:after="283"/>
              <w:jc w:val="left"/>
              <w:rPr/>
            </w:pPr>
            <w:r>
              <w:rPr/>
              <w:t> </w:t>
            </w:r>
          </w:p>
        </w:tc>
      </w:tr>
      <w:tr>
        <w:trPr/>
        <w:tc>
          <w:tcPr>
            <w:tcW w:w="17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Income Statements Data:</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1765" w:type="dxa"/>
            <w:tcBorders/>
          </w:tcPr>
          <w:p>
            <w:pPr>
              <w:pStyle w:val="TableContents"/>
              <w:bidi w:val="0"/>
              <w:spacing w:before="0" w:after="0"/>
              <w:jc w:val="left"/>
              <w:rPr>
                <w:rFonts w:ascii="Times New Roman" w:hAnsi="Times New Roman"/>
                <w:sz w:val="20"/>
              </w:rPr>
            </w:pPr>
            <w:r>
              <w:rPr>
                <w:rFonts w:ascii="Times New Roman" w:hAnsi="Times New Roman"/>
                <w:sz w:val="20"/>
              </w:rPr>
              <w:t>License and Other Revenue</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258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188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299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259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275</w:t>
            </w:r>
          </w:p>
        </w:tc>
        <w:tc>
          <w:tcPr>
            <w:tcW w:w="162" w:type="dxa"/>
            <w:tcBorders/>
            <w:vAlign w:val="bottom"/>
          </w:tcPr>
          <w:p>
            <w:pPr>
              <w:pStyle w:val="TableContents"/>
              <w:bidi w:val="0"/>
              <w:spacing w:before="0" w:after="283"/>
              <w:jc w:val="left"/>
              <w:rPr/>
            </w:pPr>
            <w:r>
              <w:rPr/>
              <w:t> </w:t>
            </w:r>
          </w:p>
        </w:tc>
      </w:tr>
      <w:tr>
        <w:trPr/>
        <w:tc>
          <w:tcPr>
            <w:tcW w:w="1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Revenue</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424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442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374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400</w:t>
            </w:r>
          </w:p>
        </w:tc>
        <w:tc>
          <w:tcPr>
            <w:tcW w:w="162" w:type="dxa"/>
            <w:tcBorders/>
            <w:shd w:fill="CCEEFF" w:val="clear"/>
            <w:vAlign w:val="bottom"/>
          </w:tcPr>
          <w:p>
            <w:pPr>
              <w:pStyle w:val="TableContents"/>
              <w:bidi w:val="0"/>
              <w:spacing w:before="0" w:after="283"/>
              <w:jc w:val="left"/>
              <w:rPr/>
            </w:pPr>
            <w:r>
              <w:rPr/>
              <w:t> </w:t>
            </w:r>
          </w:p>
        </w:tc>
      </w:tr>
      <w:tr>
        <w:trPr/>
        <w:tc>
          <w:tcPr>
            <w:tcW w:w="1765"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657</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692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630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724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633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675</w:t>
            </w:r>
          </w:p>
        </w:tc>
        <w:tc>
          <w:tcPr>
            <w:tcW w:w="162" w:type="dxa"/>
            <w:tcBorders/>
            <w:vAlign w:val="bottom"/>
          </w:tcPr>
          <w:p>
            <w:pPr>
              <w:pStyle w:val="TableContents"/>
              <w:bidi w:val="0"/>
              <w:spacing w:before="0" w:after="283"/>
              <w:jc w:val="left"/>
              <w:rPr/>
            </w:pPr>
            <w:r>
              <w:rPr/>
              <w:t> </w:t>
            </w:r>
          </w:p>
        </w:tc>
      </w:tr>
      <w:tr>
        <w:trPr/>
        <w:tc>
          <w:tcPr>
            <w:tcW w:w="1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(31</w:t>
            </w:r>
          </w:p>
        </w:tc>
        <w:tc>
          <w:tcPr>
            <w:tcW w:w="162" w:type="dxa"/>
            <w:tcBorders/>
            <w:shd w:fill="CCEEFF" w:val="clear"/>
            <w:vAlign w:val="bottom"/>
          </w:tcPr>
          <w:p>
            <w:pPr>
              <w:pStyle w:val="TableContents"/>
              <w:bidi w:val="0"/>
              <w:spacing w:before="0" w:after="283"/>
              <w:jc w:val="left"/>
              <w:rPr/>
            </w:pPr>
            <w:r>
              <w:rPr/>
              <w:t>) </w:t>
            </w:r>
          </w:p>
        </w:tc>
      </w:tr>
      <w:tr>
        <w:trPr/>
        <w:tc>
          <w:tcPr>
            <w:tcW w:w="1765"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620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667</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695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606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644</w:t>
            </w:r>
          </w:p>
        </w:tc>
        <w:tc>
          <w:tcPr>
            <w:tcW w:w="162" w:type="dxa"/>
            <w:tcBorders/>
            <w:vAlign w:val="bottom"/>
          </w:tcPr>
          <w:p>
            <w:pPr>
              <w:pStyle w:val="TableContents"/>
              <w:bidi w:val="0"/>
              <w:spacing w:before="0" w:after="283"/>
              <w:jc w:val="left"/>
              <w:rPr/>
            </w:pPr>
            <w:r>
              <w:rPr/>
              <w:t> </w:t>
            </w:r>
          </w:p>
        </w:tc>
      </w:tr>
      <w:tr>
        <w:trPr/>
        <w:tc>
          <w:tcPr>
            <w:tcW w:w="1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(704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(373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(422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(451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(656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(533</w:t>
            </w:r>
          </w:p>
        </w:tc>
        <w:tc>
          <w:tcPr>
            <w:tcW w:w="162" w:type="dxa"/>
            <w:tcBorders/>
            <w:shd w:fill="CCEEFF" w:val="clear"/>
            <w:vAlign w:val="bottom"/>
          </w:tcPr>
          <w:p>
            <w:pPr>
              <w:pStyle w:val="TableContents"/>
              <w:bidi w:val="0"/>
              <w:spacing w:before="0" w:after="283"/>
              <w:jc w:val="left"/>
              <w:rPr/>
            </w:pPr>
            <w:r>
              <w:rPr/>
              <w:t>) </w:t>
            </w:r>
          </w:p>
        </w:tc>
      </w:tr>
      <w:tr>
        <w:trPr/>
        <w:tc>
          <w:tcPr>
            <w:tcW w:w="1765"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294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183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244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111</w:t>
            </w:r>
          </w:p>
        </w:tc>
        <w:tc>
          <w:tcPr>
            <w:tcW w:w="162" w:type="dxa"/>
            <w:tcBorders/>
            <w:vAlign w:val="bottom"/>
          </w:tcPr>
          <w:p>
            <w:pPr>
              <w:pStyle w:val="TableContents"/>
              <w:bidi w:val="0"/>
              <w:spacing w:before="0" w:after="283"/>
              <w:jc w:val="left"/>
              <w:rPr/>
            </w:pPr>
            <w:r>
              <w:rPr/>
              <w:t> </w:t>
            </w:r>
          </w:p>
        </w:tc>
      </w:tr>
      <w:tr>
        <w:trPr/>
        <w:tc>
          <w:tcPr>
            <w:tcW w:w="1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225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105</w:t>
            </w:r>
          </w:p>
        </w:tc>
        <w:tc>
          <w:tcPr>
            <w:tcW w:w="162" w:type="dxa"/>
            <w:tcBorders/>
            <w:shd w:fill="CCEEFF" w:val="clear"/>
            <w:vAlign w:val="bottom"/>
          </w:tcPr>
          <w:p>
            <w:pPr>
              <w:pStyle w:val="TableContents"/>
              <w:bidi w:val="0"/>
              <w:spacing w:before="0" w:after="283"/>
              <w:jc w:val="left"/>
              <w:rPr/>
            </w:pPr>
            <w:r>
              <w:rPr/>
              <w:t> </w:t>
            </w:r>
          </w:p>
        </w:tc>
      </w:tr>
      <w:tr>
        <w:trPr/>
        <w:tc>
          <w:tcPr>
            <w:tcW w:w="1765"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Sheets Data:</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1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short-term investments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1,635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1,354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1,376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1,772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2,215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2,049</w:t>
            </w:r>
          </w:p>
        </w:tc>
        <w:tc>
          <w:tcPr>
            <w:tcW w:w="162" w:type="dxa"/>
            <w:tcBorders/>
            <w:shd w:fill="CCEEFF" w:val="clear"/>
            <w:vAlign w:val="bottom"/>
          </w:tcPr>
          <w:p>
            <w:pPr>
              <w:pStyle w:val="TableContents"/>
              <w:bidi w:val="0"/>
              <w:spacing w:before="0" w:after="283"/>
              <w:jc w:val="left"/>
              <w:rPr/>
            </w:pPr>
            <w:r>
              <w:rPr/>
              <w:t> </w:t>
            </w:r>
          </w:p>
        </w:tc>
      </w:tr>
      <w:tr>
        <w:trPr/>
        <w:tc>
          <w:tcPr>
            <w:tcW w:w="1765"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6,510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6,213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6,256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6,610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6,866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6,700</w:t>
            </w:r>
          </w:p>
        </w:tc>
        <w:tc>
          <w:tcPr>
            <w:tcW w:w="162" w:type="dxa"/>
            <w:tcBorders/>
            <w:vAlign w:val="bottom"/>
          </w:tcPr>
          <w:p>
            <w:pPr>
              <w:pStyle w:val="TableContents"/>
              <w:bidi w:val="0"/>
              <w:spacing w:before="0" w:after="283"/>
              <w:jc w:val="left"/>
              <w:rPr/>
            </w:pPr>
            <w:r>
              <w:rPr/>
              <w:t> </w:t>
            </w:r>
          </w:p>
        </w:tc>
      </w:tr>
      <w:tr>
        <w:trPr/>
        <w:tc>
          <w:tcPr>
            <w:tcW w:w="1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3,548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3,748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3,851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4,039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4,051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4,221</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Quarterly Trends </w:t>
      </w:r>
    </w:p>
    <w:p>
      <w:pPr>
        <w:pStyle w:val="TextBody"/>
        <w:bidi w:val="0"/>
        <w:spacing w:before="120" w:after="0"/>
        <w:jc w:val="left"/>
        <w:rPr>
          <w:rFonts w:ascii="Times New Roman" w:hAnsi="Times New Roman"/>
          <w:i/>
          <w:sz w:val="20"/>
        </w:rPr>
      </w:pPr>
      <w:r>
        <w:rPr>
          <w:rFonts w:ascii="Times New Roman" w:hAnsi="Times New Roman"/>
          <w:i/>
          <w:sz w:val="20"/>
        </w:rPr>
        <w:t xml:space="preserve">License and Other Revenue </w:t>
      </w:r>
    </w:p>
    <w:p>
      <w:pPr>
        <w:pStyle w:val="TextBody"/>
        <w:bidi w:val="0"/>
        <w:spacing w:before="120" w:after="0"/>
        <w:jc w:val="left"/>
        <w:rPr>
          <w:rFonts w:ascii="Times New Roman" w:hAnsi="Times New Roman"/>
          <w:sz w:val="20"/>
        </w:rPr>
      </w:pPr>
      <w:r>
        <w:rPr>
          <w:rFonts w:ascii="Times New Roman" w:hAnsi="Times New Roman"/>
          <w:sz w:val="20"/>
        </w:rPr>
        <w:t xml:space="preserve">License and Other Revenue increased quarter over quarter driven by continued adoption of our technology product offerings, with the exception of the second quarter and fourth quarter of the fiscal year ended March 31, 2023. The declines in those quarters were predominantly due to marginal decrease in size and timing of new licensing deals. Our deals include term license recognized at the point in time upon delivery to the customer. License revenue may potentially be volatile across periods due to variability of large deals between quarters, which historically have had a large license revenue impact. </w:t>
      </w:r>
    </w:p>
    <w:p>
      <w:pPr>
        <w:pStyle w:val="TextBody"/>
        <w:bidi w:val="0"/>
        <w:spacing w:before="360" w:after="0"/>
        <w:jc w:val="left"/>
        <w:rPr>
          <w:rFonts w:ascii="Times New Roman" w:hAnsi="Times New Roman"/>
          <w:i/>
          <w:sz w:val="20"/>
        </w:rPr>
      </w:pPr>
      <w:r>
        <w:rPr>
          <w:rFonts w:ascii="Times New Roman" w:hAnsi="Times New Roman"/>
          <w:i/>
          <w:sz w:val="20"/>
        </w:rPr>
        <w:t xml:space="preserve">Royalty Revenue </w:t>
      </w:r>
    </w:p>
    <w:p>
      <w:pPr>
        <w:pStyle w:val="TextBody"/>
        <w:bidi w:val="0"/>
        <w:spacing w:before="120" w:after="0"/>
        <w:jc w:val="left"/>
        <w:rPr>
          <w:rFonts w:ascii="Times New Roman" w:hAnsi="Times New Roman"/>
          <w:sz w:val="20"/>
        </w:rPr>
      </w:pPr>
      <w:r>
        <w:rPr>
          <w:rFonts w:ascii="Times New Roman" w:hAnsi="Times New Roman"/>
          <w:sz w:val="20"/>
        </w:rPr>
        <w:t xml:space="preserve">Royalty revenue increased quarter over quarter driven by continued organic growth as a result of higher net ASP per chip and increased adoption of our technology products by customers in their chips, with the exception of the third quarter and fourth quarter of the fiscal year ended March 31, 2023. The declines in those two quarters were primarily as a result of economic and national security issues currently ongoing in the PRC. The impact of these policies was more pronounced in the second half in comparison to the first half of the fiscal year ended March 31, 2023. We expect this volatility to continue in the fiscal year ending March 31, 2024 and beyond. </w:t>
      </w:r>
    </w:p>
    <w:p>
      <w:pPr>
        <w:pStyle w:val="TextBody"/>
        <w:bidi w:val="0"/>
        <w:spacing w:before="360" w:after="0"/>
        <w:jc w:val="left"/>
        <w:rPr>
          <w:rFonts w:ascii="Times New Roman" w:hAnsi="Times New Roman"/>
          <w:i/>
          <w:sz w:val="20"/>
        </w:rPr>
      </w:pPr>
      <w:r>
        <w:rPr>
          <w:rFonts w:ascii="Times New Roman" w:hAnsi="Times New Roman"/>
          <w:i/>
          <w:sz w:val="20"/>
        </w:rPr>
        <w:t xml:space="preserve">Cost of sales and Gross profit </w:t>
      </w:r>
    </w:p>
    <w:p>
      <w:pPr>
        <w:pStyle w:val="TextBody"/>
        <w:bidi w:val="0"/>
        <w:spacing w:before="120" w:after="0"/>
        <w:jc w:val="left"/>
        <w:rPr>
          <w:rFonts w:ascii="Times New Roman" w:hAnsi="Times New Roman"/>
          <w:sz w:val="20"/>
        </w:rPr>
      </w:pPr>
      <w:r>
        <w:rPr>
          <w:rFonts w:ascii="Times New Roman" w:hAnsi="Times New Roman"/>
          <w:sz w:val="20"/>
        </w:rPr>
        <w:t xml:space="preserve">Our quarterly cost of sales trends do not vary directly with our license and other revenue and royalty revenue. As a result, we have not experienced large fluctuations in the amount of our cost of sales from period to period. Our quarterly cost of sales expenses consist of employee-related expenses, project costs associated with professional services and the provision of support and maintenance to customers, along with expenses related to license development services revenue, amortization of developed technology, and allocated overhead. </w:t>
      </w:r>
    </w:p>
    <w:p>
      <w:pPr>
        <w:pStyle w:val="TextBody"/>
        <w:bidi w:val="0"/>
        <w:spacing w:before="240" w:after="0"/>
        <w:jc w:val="left"/>
        <w:rPr>
          <w:rFonts w:ascii="Times New Roman" w:hAnsi="Times New Roman"/>
          <w:sz w:val="20"/>
        </w:rPr>
      </w:pPr>
      <w:r>
        <w:rPr>
          <w:rFonts w:ascii="Times New Roman" w:hAnsi="Times New Roman"/>
          <w:sz w:val="20"/>
        </w:rPr>
        <w:t xml:space="preserve">The fluctuations in our gross profit for each of the periods presented were directly impacted by our total revenue for the same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Operating expense </w:t>
      </w:r>
    </w:p>
    <w:p>
      <w:pPr>
        <w:pStyle w:val="TextBody"/>
        <w:bidi w:val="0"/>
        <w:spacing w:before="120" w:after="0"/>
        <w:jc w:val="left"/>
        <w:rPr>
          <w:rFonts w:ascii="Times New Roman" w:hAnsi="Times New Roman"/>
          <w:sz w:val="20"/>
        </w:rPr>
      </w:pPr>
      <w:r>
        <w:rPr>
          <w:rFonts w:ascii="Times New Roman" w:hAnsi="Times New Roman"/>
          <w:sz w:val="20"/>
        </w:rPr>
        <w:t xml:space="preserve">Our operating expenses primarily consist of research and development, selling, general and administrative expenses. Personnel related expenses are the most significant component of operating expenses and consist of salaries, bonuses, stock-based compensation and associated benefits. Operating expenses also include cloud infrastructure costs and allocated overheads, amongst other items.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expenses generally increased in each of the periods presented except for the quarters ended June 30, 2023 and June 30, 2022, primarily due to increases in personnel-related expenses, share based compensation, cloud infrastructure and other related costs to support our growth. </w:t>
      </w:r>
    </w:p>
    <w:p>
      <w:pPr>
        <w:pStyle w:val="TextBody"/>
        <w:bidi w:val="0"/>
        <w:spacing w:before="240" w:after="0"/>
        <w:jc w:val="left"/>
        <w:rPr>
          <w:rFonts w:ascii="Times New Roman" w:hAnsi="Times New Roman"/>
          <w:sz w:val="20"/>
        </w:rPr>
      </w:pPr>
      <w:r>
        <w:rPr>
          <w:rFonts w:ascii="Times New Roman" w:hAnsi="Times New Roman"/>
          <w:sz w:val="20"/>
        </w:rPr>
        <w:t xml:space="preserve">We experienced a decrease in total operating expenses during the first quarter ended June 30, 2022 as compared to the fourth quarter ended March 31, 2022 primarily as a result of increase in bonus awards, acceleration of employee retention awards and one-time restructuring charges incurred in the fourth quarter ended March 31, 2022. </w:t>
      </w:r>
    </w:p>
    <w:p>
      <w:pPr>
        <w:pStyle w:val="TextBody"/>
        <w:bidi w:val="0"/>
        <w:spacing w:before="240" w:after="0"/>
        <w:jc w:val="left"/>
        <w:rPr>
          <w:rFonts w:ascii="Times New Roman" w:hAnsi="Times New Roman"/>
          <w:sz w:val="20"/>
        </w:rPr>
      </w:pPr>
      <w:r>
        <w:rPr>
          <w:rFonts w:ascii="Times New Roman" w:hAnsi="Times New Roman"/>
          <w:sz w:val="20"/>
        </w:rPr>
        <w:t xml:space="preserve">We also experienced an increase in total operating expenses in the fourth quarter ended March 31, 2023 as compared to the earlier quarters of same fiscal year primarily as a result of new grants of share-based compensation, increase in bonus awards and increase in litigation provisions, incurred in the fourth quarter ended March 31, 2023. </w:t>
      </w:r>
    </w:p>
    <w:p>
      <w:pPr>
        <w:pStyle w:val="TextBody"/>
        <w:bidi w:val="0"/>
        <w:spacing w:before="240" w:after="0"/>
        <w:jc w:val="left"/>
        <w:rPr>
          <w:rFonts w:ascii="Times New Roman" w:hAnsi="Times New Roman"/>
          <w:sz w:val="20"/>
        </w:rPr>
      </w:pPr>
      <w:r>
        <w:rPr>
          <w:rFonts w:ascii="Times New Roman" w:hAnsi="Times New Roman"/>
          <w:sz w:val="20"/>
        </w:rPr>
        <w:t xml:space="preserve">In the first quarter ended June 30, 2023, we experienced a decrease in total operating expenses compared to the fourth quarter ended March 31, 2023 primarily as a result of decreases in employee retention awards, share-based compensation, and litigation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continue to make significant investments in research and development as we expand our existing technology product offerings. We also intend to incur additional general and administrative expenses as a result of operating as a public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financed, and intend to continue to finance, our operations primarily through cash generated from our business operations, partially supported by government research grants and tax credits. For the fiscal quarters ended June 30, 2023 and 2022, the government research grant and tax credits benefits recognized were approximately $34 million and $24 million, respectively. For the fiscal years ended March 31, 2023, 2022 and 2021, the government research grant and tax credits benefits recognized were approximately $83 million, $84 million and $94 million, respectively. As of June 30, 2023, we had cash and cash equivalents of approximately $1,248 million and short-term investments of $801 million.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cash and cash equivalents and short-term investments will be adequate to meet our liquidity requirements for at least the 12 months following the date of this prospectus and in the longer term. Our future capital requirements will depend on several factors, including our revenue growth, the timing and extent of spending on R&amp;D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 See Risk FactorsRisks Relating to Our Business and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our cash flows for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60"/>
        <w:gridCol w:w="237"/>
        <w:gridCol w:w="163"/>
        <w:gridCol w:w="657"/>
        <w:gridCol w:w="181"/>
        <w:gridCol w:w="192"/>
        <w:gridCol w:w="163"/>
        <w:gridCol w:w="657"/>
        <w:gridCol w:w="181"/>
        <w:gridCol w:w="192"/>
        <w:gridCol w:w="162"/>
        <w:gridCol w:w="661"/>
        <w:gridCol w:w="155"/>
        <w:gridCol w:w="183"/>
        <w:gridCol w:w="295"/>
        <w:gridCol w:w="1187"/>
        <w:gridCol w:w="299"/>
        <w:gridCol w:w="232"/>
        <w:gridCol w:w="294"/>
        <w:gridCol w:w="1188"/>
        <w:gridCol w:w="166"/>
      </w:tblGrid>
      <w:tr>
        <w:trPr/>
        <w:tc>
          <w:tcPr>
            <w:tcW w:w="27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320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w:t>
              <w:br/>
              <w:t>Fiscal Year Ended March 31,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w:t>
              <w:br/>
              <w:t>Fiscal Quarter Ended June 30,</w:t>
            </w:r>
          </w:p>
        </w:tc>
        <w:tc>
          <w:tcPr>
            <w:tcW w:w="166" w:type="dxa"/>
            <w:tcBorders/>
            <w:vAlign w:val="bottom"/>
          </w:tcPr>
          <w:p>
            <w:pPr>
              <w:pStyle w:val="TableContents"/>
              <w:bidi w:val="0"/>
              <w:spacing w:before="0" w:after="283"/>
              <w:jc w:val="left"/>
              <w:rPr/>
            </w:pPr>
            <w:r>
              <w:rPr/>
              <w:t> </w:t>
            </w:r>
          </w:p>
        </w:tc>
      </w:tr>
      <w:tr>
        <w:trPr/>
        <w:tc>
          <w:tcPr>
            <w:tcW w:w="276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w:t>
            </w:r>
          </w:p>
        </w:tc>
        <w:tc>
          <w:tcPr>
            <w:tcW w:w="23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66" w:type="dxa"/>
            <w:tcBorders/>
            <w:vAlign w:val="bottom"/>
          </w:tcPr>
          <w:p>
            <w:pPr>
              <w:pStyle w:val="TableContents"/>
              <w:bidi w:val="0"/>
              <w:spacing w:before="0" w:after="283"/>
              <w:jc w:val="left"/>
              <w:rPr/>
            </w:pPr>
            <w:r>
              <w:rPr/>
              <w:t> </w:t>
            </w:r>
          </w:p>
        </w:tc>
      </w:tr>
      <w:tr>
        <w:trPr/>
        <w:tc>
          <w:tcPr>
            <w:tcW w:w="2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for) operating activities</w:t>
            </w:r>
          </w:p>
        </w:tc>
        <w:tc>
          <w:tcPr>
            <w:tcW w:w="23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739</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458</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1,233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(114</w:t>
            </w:r>
          </w:p>
        </w:tc>
        <w:tc>
          <w:tcPr>
            <w:tcW w:w="2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(231</w:t>
            </w:r>
          </w:p>
        </w:tc>
        <w:tc>
          <w:tcPr>
            <w:tcW w:w="166" w:type="dxa"/>
            <w:tcBorders/>
            <w:shd w:fill="CCEEFF" w:val="clear"/>
            <w:vAlign w:val="bottom"/>
          </w:tcPr>
          <w:p>
            <w:pPr>
              <w:pStyle w:val="TableContents"/>
              <w:bidi w:val="0"/>
              <w:spacing w:before="0" w:after="283"/>
              <w:jc w:val="left"/>
              <w:rPr/>
            </w:pPr>
            <w:r>
              <w:rPr/>
              <w:t>) </w:t>
            </w:r>
          </w:p>
        </w:tc>
      </w:tr>
      <w:tr>
        <w:trPr/>
        <w:tc>
          <w:tcPr>
            <w:tcW w:w="276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for) investing activities</w:t>
            </w:r>
          </w:p>
        </w:tc>
        <w:tc>
          <w:tcPr>
            <w:tcW w:w="23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7" w:type="dxa"/>
            <w:tcBorders/>
            <w:vAlign w:val="bottom"/>
          </w:tcPr>
          <w:p>
            <w:pPr>
              <w:pStyle w:val="TableContents"/>
              <w:bidi w:val="0"/>
              <w:spacing w:before="0" w:after="283"/>
              <w:jc w:val="right"/>
              <w:rPr/>
            </w:pPr>
            <w:r>
              <w:rPr/>
              <w:t>(138</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7" w:type="dxa"/>
            <w:tcBorders/>
            <w:vAlign w:val="bottom"/>
          </w:tcPr>
          <w:p>
            <w:pPr>
              <w:pStyle w:val="TableContents"/>
              <w:bidi w:val="0"/>
              <w:spacing w:before="0" w:after="283"/>
              <w:jc w:val="right"/>
              <w:rPr/>
            </w:pPr>
            <w:r>
              <w:rPr/>
              <w:t>(619</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661" w:type="dxa"/>
            <w:tcBorders/>
            <w:vAlign w:val="bottom"/>
          </w:tcPr>
          <w:p>
            <w:pPr>
              <w:pStyle w:val="TableContents"/>
              <w:bidi w:val="0"/>
              <w:spacing w:before="0" w:after="283"/>
              <w:jc w:val="right"/>
              <w:rPr/>
            </w:pPr>
            <w:r>
              <w:rPr/>
              <w:t>(340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(177</w:t>
            </w:r>
          </w:p>
        </w:tc>
        <w:tc>
          <w:tcPr>
            <w:tcW w:w="2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36</w:t>
            </w:r>
          </w:p>
        </w:tc>
        <w:tc>
          <w:tcPr>
            <w:tcW w:w="166" w:type="dxa"/>
            <w:tcBorders/>
            <w:vAlign w:val="bottom"/>
          </w:tcPr>
          <w:p>
            <w:pPr>
              <w:pStyle w:val="TableContents"/>
              <w:bidi w:val="0"/>
              <w:spacing w:before="0" w:after="283"/>
              <w:jc w:val="left"/>
              <w:rPr/>
            </w:pPr>
            <w:r>
              <w:rPr/>
              <w:t> </w:t>
            </w:r>
          </w:p>
        </w:tc>
      </w:tr>
      <w:tr>
        <w:trPr/>
        <w:tc>
          <w:tcPr>
            <w:tcW w:w="2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for financing activities</w:t>
            </w:r>
          </w:p>
        </w:tc>
        <w:tc>
          <w:tcPr>
            <w:tcW w:w="23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(42</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(32</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(789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(15</w:t>
            </w:r>
          </w:p>
        </w:tc>
        <w:tc>
          <w:tcPr>
            <w:tcW w:w="2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(11</w:t>
            </w:r>
          </w:p>
        </w:tc>
        <w:tc>
          <w:tcPr>
            <w:tcW w:w="166" w:type="dxa"/>
            <w:tcBorders/>
            <w:shd w:fill="CCEEFF" w:val="clear"/>
            <w:vAlign w:val="bottom"/>
          </w:tcPr>
          <w:p>
            <w:pPr>
              <w:pStyle w:val="TableContents"/>
              <w:bidi w:val="0"/>
              <w:spacing w:before="0" w:after="283"/>
              <w:jc w:val="left"/>
              <w:rPr/>
            </w:pPr>
            <w:r>
              <w:rPr/>
              <w:t>) </w:t>
            </w:r>
          </w:p>
        </w:tc>
      </w:tr>
      <w:tr>
        <w:trPr/>
        <w:tc>
          <w:tcPr>
            <w:tcW w:w="2760" w:type="dxa"/>
            <w:tcBorders/>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on cash and cash equivalents</w:t>
            </w:r>
          </w:p>
        </w:tc>
        <w:tc>
          <w:tcPr>
            <w:tcW w:w="23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7" w:type="dxa"/>
            <w:tcBorders/>
            <w:vAlign w:val="bottom"/>
          </w:tcPr>
          <w:p>
            <w:pPr>
              <w:pStyle w:val="TableContents"/>
              <w:bidi w:val="0"/>
              <w:spacing w:before="0" w:after="283"/>
              <w:jc w:val="right"/>
              <w:rPr/>
            </w:pPr>
            <w:r>
              <w:rPr/>
              <w:t>(9</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7" w:type="dxa"/>
            <w:tcBorders/>
            <w:vAlign w:val="bottom"/>
          </w:tcPr>
          <w:p>
            <w:pPr>
              <w:pStyle w:val="TableContents"/>
              <w:bidi w:val="0"/>
              <w:spacing w:before="0" w:after="283"/>
              <w:jc w:val="right"/>
              <w:rPr/>
            </w:pPr>
            <w:r>
              <w:rPr/>
              <w:t>(17</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66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(10</w:t>
            </w:r>
          </w:p>
        </w:tc>
        <w:tc>
          <w:tcPr>
            <w:tcW w:w="166" w:type="dxa"/>
            <w:tcBorders/>
            <w:vAlign w:val="bottom"/>
          </w:tcPr>
          <w:p>
            <w:pPr>
              <w:pStyle w:val="TableContents"/>
              <w:bidi w:val="0"/>
              <w:spacing w:before="0" w:after="283"/>
              <w:jc w:val="left"/>
              <w:rPr/>
            </w:pPr>
            <w:r>
              <w:rPr/>
              <w:t>) </w:t>
            </w:r>
          </w:p>
        </w:tc>
      </w:tr>
      <w:tr>
        <w:trPr/>
        <w:tc>
          <w:tcPr>
            <w:tcW w:w="2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3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550</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(210</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(306</w:t>
            </w:r>
          </w:p>
        </w:tc>
        <w:tc>
          <w:tcPr>
            <w:tcW w:w="2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(216</w:t>
            </w:r>
          </w:p>
        </w:tc>
        <w:tc>
          <w:tcPr>
            <w:tcW w:w="166" w:type="dxa"/>
            <w:tcBorders/>
            <w:shd w:fill="CCEEFF" w:val="clear"/>
            <w:vAlign w:val="bottom"/>
          </w:tcPr>
          <w:p>
            <w:pPr>
              <w:pStyle w:val="TableContents"/>
              <w:bidi w:val="0"/>
              <w:spacing w:before="0" w:after="283"/>
              <w:jc w:val="left"/>
              <w:rPr/>
            </w:pPr>
            <w:r>
              <w:rPr/>
              <w:t>) </w:t>
            </w:r>
          </w:p>
        </w:tc>
      </w:tr>
      <w:tr>
        <w:trPr/>
        <w:tc>
          <w:tcPr>
            <w:tcW w:w="276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the period</w:t>
            </w:r>
          </w:p>
        </w:tc>
        <w:tc>
          <w:tcPr>
            <w:tcW w:w="23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7" w:type="dxa"/>
            <w:tcBorders/>
            <w:vAlign w:val="bottom"/>
          </w:tcPr>
          <w:p>
            <w:pPr>
              <w:pStyle w:val="TableContents"/>
              <w:bidi w:val="0"/>
              <w:spacing w:before="0" w:after="283"/>
              <w:jc w:val="right"/>
              <w:rPr/>
            </w:pPr>
            <w:r>
              <w:rPr/>
              <w:t>1,004</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7" w:type="dxa"/>
            <w:tcBorders/>
            <w:vAlign w:val="bottom"/>
          </w:tcPr>
          <w:p>
            <w:pPr>
              <w:pStyle w:val="TableContents"/>
              <w:bidi w:val="0"/>
              <w:spacing w:before="0" w:after="283"/>
              <w:jc w:val="right"/>
              <w:rPr/>
            </w:pPr>
            <w:r>
              <w:rPr/>
              <w:t>1,214</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661" w:type="dxa"/>
            <w:tcBorders/>
            <w:vAlign w:val="bottom"/>
          </w:tcPr>
          <w:p>
            <w:pPr>
              <w:pStyle w:val="TableContents"/>
              <w:bidi w:val="0"/>
              <w:spacing w:before="0" w:after="283"/>
              <w:jc w:val="right"/>
              <w:rPr/>
            </w:pPr>
            <w:r>
              <w:rPr/>
              <w:t>1,109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1,554</w:t>
            </w:r>
          </w:p>
        </w:tc>
        <w:tc>
          <w:tcPr>
            <w:tcW w:w="2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1,004</w:t>
            </w:r>
          </w:p>
        </w:tc>
        <w:tc>
          <w:tcPr>
            <w:tcW w:w="166" w:type="dxa"/>
            <w:tcBorders/>
            <w:vAlign w:val="bottom"/>
          </w:tcPr>
          <w:p>
            <w:pPr>
              <w:pStyle w:val="TableContents"/>
              <w:bidi w:val="0"/>
              <w:spacing w:before="0" w:after="283"/>
              <w:jc w:val="left"/>
              <w:rPr/>
            </w:pPr>
            <w:r>
              <w:rPr/>
              <w:t> </w:t>
            </w:r>
          </w:p>
        </w:tc>
      </w:tr>
      <w:tr>
        <w:trPr/>
        <w:tc>
          <w:tcPr>
            <w:tcW w:w="2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the period</w:t>
            </w:r>
          </w:p>
        </w:tc>
        <w:tc>
          <w:tcPr>
            <w:tcW w:w="23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1,554</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1,004</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1,214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1,248</w:t>
            </w:r>
          </w:p>
        </w:tc>
        <w:tc>
          <w:tcPr>
            <w:tcW w:w="2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788</w:t>
            </w:r>
          </w:p>
        </w:tc>
        <w:tc>
          <w:tcPr>
            <w:tcW w:w="166" w:type="dxa"/>
            <w:tcBorders/>
            <w:shd w:fill="CCEEFF" w:val="clear"/>
            <w:vAlign w:val="bottom"/>
          </w:tcPr>
          <w:p>
            <w:pPr>
              <w:pStyle w:val="TableContents"/>
              <w:bidi w:val="0"/>
              <w:spacing w:before="0" w:after="283"/>
              <w:jc w:val="left"/>
              <w:rPr/>
            </w:pPr>
            <w:r>
              <w:rPr/>
              <w:t> </w:t>
            </w:r>
          </w:p>
        </w:tc>
      </w:tr>
      <w:tr>
        <w:trPr/>
        <w:tc>
          <w:tcPr>
            <w:tcW w:w="2760" w:type="dxa"/>
            <w:tcBorders/>
          </w:tcPr>
          <w:p>
            <w:pPr>
              <w:pStyle w:val="TableContents"/>
              <w:bidi w:val="0"/>
              <w:spacing w:before="0" w:after="0"/>
              <w:jc w:val="left"/>
              <w:rPr>
                <w:rFonts w:ascii="Times New Roman" w:hAnsi="Times New Roman"/>
                <w:sz w:val="20"/>
              </w:rPr>
            </w:pPr>
            <w:r>
              <w:rPr>
                <w:rFonts w:ascii="Times New Roman" w:hAnsi="Times New Roman"/>
                <w:sz w:val="20"/>
              </w:rPr>
              <w:t>Less cash from discontinued operations, end of the period</w:t>
            </w:r>
          </w:p>
        </w:tc>
        <w:tc>
          <w:tcPr>
            <w:tcW w:w="23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7"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7"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661"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7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6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from continuing operations, end of the period</w:t>
            </w:r>
          </w:p>
        </w:tc>
        <w:tc>
          <w:tcPr>
            <w:tcW w:w="23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1,554</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1,004</w:t>
            </w:r>
          </w:p>
        </w:tc>
        <w:tc>
          <w:tcPr>
            <w:tcW w:w="1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1,171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1,248</w:t>
            </w:r>
          </w:p>
        </w:tc>
        <w:tc>
          <w:tcPr>
            <w:tcW w:w="2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788</w:t>
            </w:r>
          </w:p>
        </w:tc>
        <w:tc>
          <w:tcPr>
            <w:tcW w:w="166" w:type="dxa"/>
            <w:tcBorders/>
            <w:shd w:fill="CCEEFF" w:val="clear"/>
            <w:vAlign w:val="bottom"/>
          </w:tcPr>
          <w:p>
            <w:pPr>
              <w:pStyle w:val="TableContents"/>
              <w:bidi w:val="0"/>
              <w:spacing w:before="0" w:after="283"/>
              <w:jc w:val="left"/>
              <w:rPr/>
            </w:pPr>
            <w:r>
              <w:rPr/>
              <w:t> </w:t>
            </w:r>
          </w:p>
        </w:tc>
      </w:tr>
      <w:tr>
        <w:trPr/>
        <w:tc>
          <w:tcPr>
            <w:tcW w:w="27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7" w:type="dxa"/>
            <w:tcBorders/>
            <w:vAlign w:val="bottom"/>
          </w:tcPr>
          <w:p>
            <w:pPr>
              <w:pStyle w:val="TableContents"/>
              <w:pBdr>
                <w:top w:val="double" w:sz="6"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7" w:type="dxa"/>
            <w:tcBorders/>
            <w:vAlign w:val="bottom"/>
          </w:tcPr>
          <w:p>
            <w:pPr>
              <w:pStyle w:val="TableContents"/>
              <w:pBdr>
                <w:top w:val="double" w:sz="6"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6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Cash Provided by (Used for) Operating Activities </w:t>
      </w:r>
    </w:p>
    <w:p>
      <w:pPr>
        <w:pStyle w:val="TextBody"/>
        <w:bidi w:val="0"/>
        <w:spacing w:before="120" w:after="0"/>
        <w:jc w:val="left"/>
        <w:rPr>
          <w:rFonts w:ascii="Times New Roman" w:hAnsi="Times New Roman"/>
          <w:i/>
          <w:sz w:val="20"/>
        </w:rPr>
      </w:pPr>
      <w:r>
        <w:rPr>
          <w:rFonts w:ascii="Times New Roman" w:hAnsi="Times New Roman"/>
          <w:i/>
          <w:sz w:val="20"/>
        </w:rPr>
        <w:t xml:space="preserve">Fiscal Quarter Ended June 30, 2023 compared to June 30, 2022 </w:t>
      </w:r>
    </w:p>
    <w:p>
      <w:pPr>
        <w:pStyle w:val="TextBody"/>
        <w:bidi w:val="0"/>
        <w:spacing w:before="120" w:after="0"/>
        <w:jc w:val="left"/>
        <w:rPr>
          <w:rFonts w:ascii="Times New Roman" w:hAnsi="Times New Roman"/>
          <w:sz w:val="20"/>
        </w:rPr>
      </w:pPr>
      <w:r>
        <w:rPr>
          <w:rFonts w:ascii="Times New Roman" w:hAnsi="Times New Roman"/>
          <w:sz w:val="20"/>
        </w:rPr>
        <w:t xml:space="preserve">Net cash used for operating activities decreased by $117 million to $114 million for the fiscal quarter ended June 30, 2023 as compared to the fiscal quarter ended June 30, 2022, primarily due to a decrease in net income adjusted for certain non-cash items, partially offset by changes in working capital. Changes in working capital were primarily driven by lower accounts receivable balance due to $164 million of higher collections and $42 million of lower payment of employee related bonus awards.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End March 31, 2023 compared to March 31, 2022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operating activities increased by $281 million to $739 million for the fiscal year ended March 31, 2023, primarily due to $713 million accounts receivable collections from Arm China, partially offset by outflow of $442 million accrued compensation and benefits relating to cash incentive awards.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End March 31, 2022 compared to March 31, 2021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operating activities decreased by $775 million to $458 million for the fiscal year ended March 31, 2022, primarily due to changes in working capital resulting from a one-time $750 million non-cancellable and non-refundable prepayment from a large technology customer, which was received in the fiscal year ended March 31,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Cash Provided by (Used for) Investing Activities </w:t>
      </w:r>
    </w:p>
    <w:p>
      <w:pPr>
        <w:pStyle w:val="TextBody"/>
        <w:bidi w:val="0"/>
        <w:spacing w:before="120" w:after="0"/>
        <w:jc w:val="left"/>
        <w:rPr>
          <w:rFonts w:ascii="Times New Roman" w:hAnsi="Times New Roman"/>
          <w:i/>
          <w:sz w:val="20"/>
        </w:rPr>
      </w:pPr>
      <w:r>
        <w:rPr>
          <w:rFonts w:ascii="Times New Roman" w:hAnsi="Times New Roman"/>
          <w:i/>
          <w:sz w:val="20"/>
        </w:rPr>
        <w:t xml:space="preserve">Fiscal Quarter Ended June 30, 2023 compared to June 30, 2022 </w:t>
      </w:r>
    </w:p>
    <w:p>
      <w:pPr>
        <w:pStyle w:val="TextBody"/>
        <w:bidi w:val="0"/>
        <w:spacing w:before="120" w:after="0"/>
        <w:jc w:val="left"/>
        <w:rPr>
          <w:rFonts w:ascii="Times New Roman" w:hAnsi="Times New Roman"/>
          <w:sz w:val="20"/>
        </w:rPr>
      </w:pPr>
      <w:r>
        <w:rPr>
          <w:rFonts w:ascii="Times New Roman" w:hAnsi="Times New Roman"/>
          <w:sz w:val="20"/>
        </w:rPr>
        <w:t xml:space="preserve">Net cash used for investing activities increased by $213 million to $177 million for the fiscal quarter ended June 30, 2023 as compared to the fiscal quarter ended June 30, 2022, primarily due to a $35 million increase in purchases of short-term investments and a $170 million decrease in proceeds from maturity of short-term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Fiscal Year Ended March 31, 2023 compared to March 31, 2022 </w:t>
      </w:r>
    </w:p>
    <w:p>
      <w:pPr>
        <w:pStyle w:val="TextBody"/>
        <w:bidi w:val="0"/>
        <w:spacing w:before="120" w:after="0"/>
        <w:jc w:val="left"/>
        <w:rPr>
          <w:rFonts w:ascii="Times New Roman" w:hAnsi="Times New Roman"/>
          <w:sz w:val="20"/>
        </w:rPr>
      </w:pPr>
      <w:r>
        <w:rPr>
          <w:rFonts w:ascii="Times New Roman" w:hAnsi="Times New Roman"/>
          <w:sz w:val="20"/>
        </w:rPr>
        <w:t xml:space="preserve">Net cash used for investing activities decreased by $481 million to $138 million for the fiscal year ended March 31, 2023, primarily due to $836 million proceeds from maturity of short-term investments, which was partially offset by $361 million purchases of short-term investments.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Ended March 31, 2022 compared to March 31, 2021 </w:t>
      </w:r>
    </w:p>
    <w:p>
      <w:pPr>
        <w:pStyle w:val="TextBody"/>
        <w:bidi w:val="0"/>
        <w:spacing w:before="120" w:after="0"/>
        <w:jc w:val="left"/>
        <w:rPr>
          <w:rFonts w:ascii="Times New Roman" w:hAnsi="Times New Roman"/>
          <w:sz w:val="20"/>
        </w:rPr>
      </w:pPr>
      <w:r>
        <w:rPr>
          <w:rFonts w:ascii="Times New Roman" w:hAnsi="Times New Roman"/>
          <w:sz w:val="20"/>
        </w:rPr>
        <w:t xml:space="preserve">Net cash used for investing activities increased by $279 million to $619 million for the fiscal year ended March 31, 2022, primarily due to $380 million of purchases of short-term investments and $31 million of purchases of investments in convertible loans, partially offset by a $70 million decrease in purchases of property, plant and equipment and a $42 million decrease in purchases of equity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Cash Used for Financing Activities </w:t>
      </w:r>
    </w:p>
    <w:p>
      <w:pPr>
        <w:pStyle w:val="TextBody"/>
        <w:bidi w:val="0"/>
        <w:spacing w:before="120" w:after="0"/>
        <w:jc w:val="left"/>
        <w:rPr>
          <w:rFonts w:ascii="Times New Roman" w:hAnsi="Times New Roman"/>
          <w:i/>
          <w:sz w:val="20"/>
        </w:rPr>
      </w:pPr>
      <w:r>
        <w:rPr>
          <w:rFonts w:ascii="Times New Roman" w:hAnsi="Times New Roman"/>
          <w:i/>
          <w:sz w:val="20"/>
        </w:rPr>
        <w:t xml:space="preserve">Fiscal Quarter Ended June 30, 2023 compared to June 30, 2022 </w:t>
      </w:r>
    </w:p>
    <w:p>
      <w:pPr>
        <w:pStyle w:val="TextBody"/>
        <w:bidi w:val="0"/>
        <w:spacing w:before="120" w:after="0"/>
        <w:jc w:val="left"/>
        <w:rPr>
          <w:rFonts w:ascii="Times New Roman" w:hAnsi="Times New Roman"/>
          <w:sz w:val="20"/>
        </w:rPr>
      </w:pPr>
      <w:r>
        <w:rPr>
          <w:rFonts w:ascii="Times New Roman" w:hAnsi="Times New Roman"/>
          <w:sz w:val="20"/>
        </w:rPr>
        <w:t xml:space="preserve">Net cash used for financing activities increased by $4 million to $15 million for the fiscal quarter ended June 30, 2023 as compared to the fiscal quarter ended June 30, 2022, primarily due to a $5 million payment for finance lease arrangements and partially offset by a $1 million decrease in payments of intangible asset obligations.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Ended March 31, 2023 compared to March 31, 2022 </w:t>
      </w:r>
    </w:p>
    <w:p>
      <w:pPr>
        <w:pStyle w:val="TextBody"/>
        <w:bidi w:val="0"/>
        <w:spacing w:before="120" w:after="0"/>
        <w:jc w:val="left"/>
        <w:rPr>
          <w:rFonts w:ascii="Times New Roman" w:hAnsi="Times New Roman"/>
          <w:sz w:val="20"/>
        </w:rPr>
      </w:pPr>
      <w:r>
        <w:rPr>
          <w:rFonts w:ascii="Times New Roman" w:hAnsi="Times New Roman"/>
          <w:sz w:val="20"/>
        </w:rPr>
        <w:t xml:space="preserve">Net cash used for financing activities increased by $10 million to $42 million for the fiscal year ended March 31, 2023, primarily due to $50 million proceeds from short-term debt borrowing, and offset by $43 million cash outflow associated with the distribution and sale of Treasure Data and IoTP in the fiscal year ended March 31, 2022.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Ended March 31, 2022 compared to March 31, 2021 </w:t>
      </w:r>
    </w:p>
    <w:p>
      <w:pPr>
        <w:pStyle w:val="TextBody"/>
        <w:bidi w:val="0"/>
        <w:spacing w:before="120" w:after="0"/>
        <w:jc w:val="left"/>
        <w:rPr>
          <w:rFonts w:ascii="Times New Roman" w:hAnsi="Times New Roman"/>
          <w:sz w:val="20"/>
        </w:rPr>
      </w:pPr>
      <w:r>
        <w:rPr>
          <w:rFonts w:ascii="Times New Roman" w:hAnsi="Times New Roman"/>
          <w:sz w:val="20"/>
        </w:rPr>
        <w:t xml:space="preserve">Net cash used for financing activities decreased by $757 million to $32 million for the fiscal year ended March 31, 2022, primarily due to a $750 million dividend payment to our shareholders in the fiscal year ended March 31, 2021.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Our material cash requirements include the following contractual and other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We have operating lease arrangements for office space, data centers, equipment and other corporate assets. As of March 31, 2023, we had lease payment obligations of $260 million, with $31 million payable within twelve months of March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SoftBank Group Facility </w:t>
      </w:r>
    </w:p>
    <w:p>
      <w:pPr>
        <w:pStyle w:val="TextBody"/>
        <w:bidi w:val="0"/>
        <w:spacing w:before="120" w:after="0"/>
        <w:jc w:val="left"/>
        <w:rPr>
          <w:rFonts w:ascii="Times New Roman" w:hAnsi="Times New Roman"/>
          <w:sz w:val="20"/>
        </w:rPr>
      </w:pPr>
      <w:r>
        <w:rPr>
          <w:rFonts w:ascii="Times New Roman" w:hAnsi="Times New Roman"/>
          <w:sz w:val="20"/>
        </w:rPr>
        <w:t xml:space="preserve">In March 2022, certain subsidiaries of SoftBank Group entered into a term loan facility with certain lenders, which was amended and upsized in June 2022, pursuant to which a subsidiary of SoftBank Group borrowed $8.5 billion, all of which remains outstanding as of the date of this prospectus. In connection with such term loan facility, a subsidiary of SoftBank Group has pledged its entire interest in us, consisting of substantially all of our ordinary shares, as collateral for the obligations under the term loan facility, and we entered into a springing guarantee and indemnity, pursuant to which we agreed to, upon the occurrence of certain triggering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a guarantee to the lenders for amounts borrowed under the term loan facility. SoftBank Group has informed us that (i) it intends to repay the term loan facility prior to, or substantially concurrently with, the pricing of this offering, and (ii) at the time of such repayment, our springing guarantee and indemnity will be terminated. The repayment of the term loan facility and the release of our obligations thereunder is a condition to the closing of this offering. See Related Party TransactionsTransactions with SoftBank GroupExisting SoftBank Group Facility and Note 18 to our consolidated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Restructuring </w:t>
      </w:r>
    </w:p>
    <w:p>
      <w:pPr>
        <w:pStyle w:val="TextBody"/>
        <w:bidi w:val="0"/>
        <w:spacing w:before="120" w:after="0"/>
        <w:jc w:val="left"/>
        <w:rPr>
          <w:rFonts w:ascii="Times New Roman" w:hAnsi="Times New Roman"/>
          <w:sz w:val="20"/>
        </w:rPr>
      </w:pPr>
      <w:r>
        <w:rPr>
          <w:rFonts w:ascii="Times New Roman" w:hAnsi="Times New Roman"/>
          <w:sz w:val="20"/>
        </w:rPr>
        <w:t xml:space="preserve">In March 2022, we announced a restructuring plan to align our workforce with strategic business activities and to improve efficiencies in our operations. As a result of the restructuring plan, we recognized a liability of $26 million, which is entirely related to estimated one-time employee termination benefit costs. The restructuring activities were substantially completed in the first two quarters of the fiscal year ended March 31, 2023.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are prepared in accordance with accounting principles generally accepted in the U.S. The preparation of these consolidated financial statements requires us to make estimates and assumptions that affect the reported amounts of assets, liabilities, revenues,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of our significant accounting policies, which are described in Note 1 to our consolidated financial statements included elsewhere in this prospectus, the following accounting policies involve a greater degree of management judgment and complexity. Accordingly, the following policies we believe are the most critical to aid in fully understanding and evaluating our consolidated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Our revenue is derived from contracts with customers. We recognize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the five-step framework under ASC 606 to recognize revenue as described in our revenue recognition policy included in Note 1 of our consolidated financial statements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most critical judgments required in applying ASC 606 and our revenue recognition policy relate to the determination of distinct performance obligations, the evaluation of the standalone selling price (SSP) for each performance obligation and the assessment of the contract combination criteria.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distinct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For our licensing arrangements, we grant customers the choice to acquire additional rights, goods, or services at contract inception (for example, renewals of offerings, version extensions through term renewals, additional future products, or additional usage of term license). Therefore, judgment is required in determining whether products and services are considered distinct performance obligations that should be accounted for separately. We utilize forward-looking information in identifying performance obligations for IP or their version extensions of architecture IP under development or future products and in considering if implicit promises exist in certain long-term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Evaluation of the standalone selling price for each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Judgment is required to determine the SSP for each distinct performance obligation in the contract. Directly observable prices are generally not available for our products, so we estimate the SSP for each performance obligation by maximizing the use of observable inputs. Some of our performance obligations, such as support, maintenance services, and training services, have observable inputs that are used to determine the SSP of those distinct performance obligations. However, our licenses of products often have highly variable pricing as standalone sales are rare and pricing varies from one transaction to another. When offerings with highly variable pricing lack substantial direct costs to estimate SSP based on a cost-plus margin approach, the transaction price is allocated using the residual approach on the basis that we have identified the SSP for other performance obligations in the same contract. If two or more performance obligations have highly variable or uncertain pricing, we apply a combination of methods to estimate the SSPs, including utilizing list prices, contract prices, and effort estimates of future IP. </w:t>
      </w:r>
    </w:p>
    <w:p>
      <w:pPr>
        <w:pStyle w:val="TextBody"/>
        <w:bidi w:val="0"/>
        <w:spacing w:before="360" w:after="0"/>
        <w:jc w:val="left"/>
        <w:rPr>
          <w:rFonts w:ascii="Times New Roman" w:hAnsi="Times New Roman"/>
          <w:i/>
          <w:sz w:val="20"/>
        </w:rPr>
      </w:pPr>
      <w:r>
        <w:rPr>
          <w:rFonts w:ascii="Times New Roman" w:hAnsi="Times New Roman"/>
          <w:i/>
          <w:sz w:val="20"/>
        </w:rPr>
        <w:t xml:space="preserve">Assessment of contract combination criteria </w:t>
      </w:r>
    </w:p>
    <w:p>
      <w:pPr>
        <w:pStyle w:val="TextBody"/>
        <w:bidi w:val="0"/>
        <w:spacing w:before="120" w:after="0"/>
        <w:jc w:val="left"/>
        <w:rPr>
          <w:rFonts w:ascii="Times New Roman" w:hAnsi="Times New Roman"/>
          <w:sz w:val="20"/>
        </w:rPr>
      </w:pPr>
      <w:r>
        <w:rPr>
          <w:rFonts w:ascii="Times New Roman" w:hAnsi="Times New Roman"/>
          <w:sz w:val="20"/>
        </w:rPr>
        <w:t xml:space="preserve">In certain instances, we enter into multiple contracts with the same customer that are treated, for accounting purposes, as a single contract if the contracts are entered into at, or near, the same time and are interrelated. Judgments are required in evaluating whether various contracts are interrelated, which includes considerations as to whether they were negotiated as a package with a single commercial objective, where the amount of consideration on one contract is dependent on the performance of the other contract, or if some or all obligations in the contracts constitute a single performance obligation. </w:t>
      </w:r>
    </w:p>
    <w:p>
      <w:pPr>
        <w:pStyle w:val="TextBody"/>
        <w:bidi w:val="0"/>
        <w:spacing w:before="360" w:after="0"/>
        <w:jc w:val="left"/>
        <w:rPr>
          <w:rFonts w:ascii="Times New Roman" w:hAnsi="Times New Roman"/>
          <w:sz w:val="20"/>
        </w:rPr>
      </w:pPr>
      <w:r>
        <w:rPr>
          <w:rFonts w:ascii="Times New Roman" w:hAnsi="Times New Roman"/>
          <w:i/>
          <w:sz w:val="20"/>
        </w:rPr>
        <w:t>Estimates on Sales-Based Royalty Revenue Accruals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certain license arrangements, sales-based royalties are collected on customers chips that incorporate our products. Royalties are set either as a percentage of the licensees average selling price per chip or as a fixed amount per chip. Royalties are recognized on the licensees sales in the period in which they ship their Arm-powered chips to their end customers. Our estimates of royalty-based accruals take into consideration the macroeconomic effects of global events, such as COVID-19, geopolitical issues (such as trade bans or wars), and natural disasters, any of which may interrupt supply chain activities as well as demand for shipments of technology products. These estimates also involve the use of historical data and judgment for several key attributes, including industry estimates of expected shipments, the percentage of markets using our products, and average selling price. Generally, our estimates represent the then-current periods shipments for which we expect our licensees to submit royalty statements in the following quarter in accordance with our license agreements. Upon receipt of royalty statements from the licensees with the actual reporting of sales-based royalties that we previously estimated, we record a favorable or unfavorable adjustment based on the difference, if any, between estimated and actual sales. Historically, actual amounts for sales-based royalties have been materially consistent with our estimates, and no significant adjustments have been required for prior-period royalty estimates. However, we can provide no assurances that material adjustments will not be required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Equity Investments Measured at Fair Value </w:t>
      </w:r>
    </w:p>
    <w:p>
      <w:pPr>
        <w:pStyle w:val="TextBody"/>
        <w:bidi w:val="0"/>
        <w:spacing w:before="120" w:after="0"/>
        <w:jc w:val="left"/>
        <w:rPr>
          <w:rFonts w:ascii="Times New Roman" w:hAnsi="Times New Roman"/>
          <w:i/>
          <w:sz w:val="20"/>
        </w:rPr>
      </w:pPr>
      <w:r>
        <w:rPr>
          <w:rFonts w:ascii="Times New Roman" w:hAnsi="Times New Roman"/>
          <w:i/>
          <w:sz w:val="20"/>
        </w:rPr>
        <w:t xml:space="preserve">Non-marketable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Non-marketable securities represent either direct or indirect, through a capital fund, investments in unlisted early-stage development enterprises. For certain of these securities, we have elected to apply the net asset value (NAV) practical expedient, where NAV is the estimated fair value of the investments. For other investments, under the measurement alternative, these equity securities are recorded at cost minus impairment, if any, plus or minus changes resulting from qualifying observable price changes resulting from the issuance of similar or identical securities in an orderly transaction by the same issuer. As of March 31, 2023 and 2022, non-marketable securities measured at NAV were $18 million and $29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Determining whether an observed transaction is similar to a security within our portfolio requires judgment based on the rights and preferences of the securities. Recording upward and downward adjustments to the carrying values of equity securities as a result of observable price changes requires quantitative assessments of the fair values of equity securities held. </w:t>
      </w:r>
    </w:p>
    <w:p>
      <w:pPr>
        <w:pStyle w:val="TextBody"/>
        <w:bidi w:val="0"/>
        <w:spacing w:before="360" w:after="0"/>
        <w:jc w:val="left"/>
        <w:rPr>
          <w:rFonts w:ascii="Times New Roman" w:hAnsi="Times New Roman"/>
          <w:i/>
          <w:sz w:val="20"/>
        </w:rPr>
      </w:pPr>
      <w:r>
        <w:rPr>
          <w:rFonts w:ascii="Times New Roman" w:hAnsi="Times New Roman"/>
          <w:i/>
          <w:sz w:val="20"/>
        </w:rPr>
        <w:t xml:space="preserve">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Equity method investments represent strategic investments in unlisted development enterprises. For certain of these investments, we have elected to apply the fair value option. Where applicable, the NAV practical expedient has been applied. Equity method investments measured at NAV were $109 million and $107 million as of March 31, 2023 and 2022, respectively. Equity method investments measured at fair value as of March 31, 2023 and 2022 were $482 million and $524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elected the fair value option for Arm China, Acetone Limited, and Ampere Computing LLC. We initially computed the fair value for our investments, consistent with the methodology and assumptions that market participants would use in their estimates of fair value, with the assistance of a third-party valuation specialist or based on inputs provided by the investee. The fair value computation is updated on a quarterly basis. The investments are classified within Level 3 in the fair value hierarchy because we estimate the fair value of the investments using (i) the market approach based on similar transactions, (ii) the market-calibration approach based on the guideline public company method and/or (iii) probability-weighted expected return approach, and/or (iv) subject to the availability of sufficient information, the income approach based on the discounted cash flow method. </w:t>
      </w:r>
    </w:p>
    <w:p>
      <w:pPr>
        <w:pStyle w:val="TextBody"/>
        <w:bidi w:val="0"/>
        <w:spacing w:before="240" w:after="0"/>
        <w:jc w:val="left"/>
        <w:rPr>
          <w:rFonts w:ascii="Times New Roman" w:hAnsi="Times New Roman"/>
          <w:sz w:val="20"/>
        </w:rPr>
      </w:pPr>
      <w:r>
        <w:rPr>
          <w:rFonts w:ascii="Times New Roman" w:hAnsi="Times New Roman"/>
          <w:sz w:val="20"/>
        </w:rPr>
        <w:t xml:space="preserve">We consider numerous objective and subjective factors to determine the best estimate of fair value for our investees. These factors include forecasts, the financial condition of the investee and the prices paid for securities sold to third-party investors, if any, as well as the valuation of comparable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investments </w:t>
      </w:r>
    </w:p>
    <w:p>
      <w:pPr>
        <w:pStyle w:val="TextBody"/>
        <w:bidi w:val="0"/>
        <w:spacing w:before="120" w:after="0"/>
        <w:jc w:val="left"/>
        <w:rPr>
          <w:rFonts w:ascii="Times New Roman" w:hAnsi="Times New Roman"/>
          <w:sz w:val="20"/>
        </w:rPr>
      </w:pPr>
      <w:r>
        <w:rPr>
          <w:rFonts w:ascii="Times New Roman" w:hAnsi="Times New Roman"/>
          <w:sz w:val="20"/>
        </w:rPr>
        <w:t xml:space="preserve">Non-marketable equity securities under the measurement alternative are subject to periodic impairment analysis. The periodic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we prepare a quantitative assessment of the fair value of the equity investments using both the market and income approaches, which require judgment and the use of estimates, including discount rates, investee revenue and costs, and comparable market data of private and public companies, among others. During the fiscal years ended March 31, 2023, 2022 and 2021, we recognized impairments of $8 million, $3 million and $21 million, respectively, on non-marketable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Equity method investments not measured under the fair value option are subject to periodic impairment reviews using the other-than-temporary impairment model, which considers the severity and duration of a decline in fair value below cost and our ability and intent to hold the investment for a sufficient period of time to allow for recovery. We did not recognize any impairments on equity method investments during the fiscal years ended March 31, 2023, 2022 or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Ordinary Share Valuations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given the absence of a public trading market for our ordinary shares, our Board of Directors exercised its reasonable judgment and considered numerous objective and subjective factors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 the best estimate of fair value of our ordinary shares underlying RSUs and Executive Awards awarded to employees and non-executive directors as equity compensation,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contemporaneous independent third-party valuations of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results of operations, and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and timing of achieving a liquidity event, such as an initial public offering or sale of the Company, given prevailing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marketability of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future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performance and valuations of comparable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or loss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status of our development, product introduction, and sales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outlook and other information, such as market growth and volume and macro-economic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objective and subjective factors relating to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determine the fair value of our ordinary shares, we first estimated our enterprise value and then allocated that enterprise value to our ordinary shares and ordinary share equivalents. Our enterprise value was estimated using the income and market-calibration approaches. </w:t>
      </w:r>
    </w:p>
    <w:p>
      <w:pPr>
        <w:pStyle w:val="TextBody"/>
        <w:bidi w:val="0"/>
        <w:spacing w:before="240" w:after="0"/>
        <w:jc w:val="left"/>
        <w:rPr>
          <w:rFonts w:ascii="Times New Roman" w:hAnsi="Times New Roman"/>
          <w:sz w:val="20"/>
        </w:rPr>
      </w:pPr>
      <w:r>
        <w:rPr>
          <w:rFonts w:ascii="Times New Roman" w:hAnsi="Times New Roman"/>
          <w:sz w:val="20"/>
        </w:rPr>
        <w:t xml:space="preserve">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we prepared a financial forecast to be used in the computation of the value of invested capital for both the income approach and market-calibration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market-calibration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expense share-based compensation over the requisite service periods of the awards, which generally is equivalent to the vesting term. Compensation expense is recorded only for those awards that are expected to vest. The fair value of RSUs is determined on the date of grant and at the end of each reporting period using Monte Carlo simulations or the discounted cash flow approach. The fair value of phantom shares is determined based on the share price of our ultimate parent, SoftBank Group. We classify awards that can and will be settled in cash as liabilities in our consolidated balance sheets. Certain RSUs and all of phantom shares are liability-classified and are remeasured at the end of each reporting period through the date of settlement to ensure that the expense recognized for each award is equivalent to the amount to be paid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Restricted Share Units (RSUs)2019 AEP and 2019 EIP </w:t>
      </w:r>
    </w:p>
    <w:p>
      <w:pPr>
        <w:pStyle w:val="TextBody"/>
        <w:bidi w:val="0"/>
        <w:spacing w:before="120" w:after="0"/>
        <w:jc w:val="left"/>
        <w:rPr>
          <w:rFonts w:ascii="Times New Roman" w:hAnsi="Times New Roman"/>
          <w:sz w:val="20"/>
        </w:rPr>
      </w:pPr>
      <w:r>
        <w:rPr>
          <w:rFonts w:ascii="Times New Roman" w:hAnsi="Times New Roman"/>
          <w:sz w:val="20"/>
        </w:rPr>
        <w:t xml:space="preserve">RSUs are granted to both employees and certain of our executive officers and vesting is subject to continuous service, the achievement of market condition targets, and are contingent upon the occurrence of various events comprising a change in control, an initial public offering, or the passage of time. RSUs vest on the earliest to occur of (1) our initial public offering or six months following our initial public offering (as applicable), (2) the acquisition of more than 50% of the voting power of our shares, or the sale of the Company or another change in control event, and (3) March 9, 2026. The vesting of certain RSUs may be subject to market condition targets, and the remuneration committee has discretion to settle vested RSUs with shares or cash. If no change in control or initial public offering were to occur before December 31, 2025, the remuneration committee would have discretion to settle each RSU in cash, subject to achievement of certain market condition targets. The market condition targets are related to our valuation upon change in control, initial public offering, or passage of time. The weighted average fair value of the RSUs was measured at each reporting date using the Monte Carlo simulation model. </w:t>
      </w:r>
    </w:p>
    <w:p>
      <w:pPr>
        <w:pStyle w:val="TextBody"/>
        <w:bidi w:val="0"/>
        <w:spacing w:before="240" w:after="0"/>
        <w:jc w:val="left"/>
        <w:rPr>
          <w:rFonts w:ascii="Times New Roman" w:hAnsi="Times New Roman"/>
          <w:sz w:val="20"/>
        </w:rPr>
      </w:pPr>
      <w:r>
        <w:rPr>
          <w:rFonts w:ascii="Times New Roman" w:hAnsi="Times New Roman"/>
          <w:sz w:val="20"/>
        </w:rPr>
        <w:t xml:space="preserve">The Monte Carlo simulation model simulates our equity value at an assumed listing exit event in order to determine the RSU vesting percentage. The model simulates the RSU vesting percentage over one million iterations, and the average of all iterations is the fair value of an RSU. The model then discounts the future value of RSU at the assumed listing exit event date back to the valuation date based on the risk-free rate. The Monte Carlo simulation model incorporates various assumptions such as expected share price volatility until a liquidity event, expected dividend yield, risk-free interest rate, and expected time to an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2023, the Company paid $15.9 million in relation to the modification of 2019 AEP RSUs that had vesting conditions accelerated pursuant to restructuring activities, of which $11.8 million of share-based compensation cost was recognized in the current year. We did not have any payments arising from normal course vesting events for liability-classified RSU awards for the fiscal years ended March 31, 2023, 2022 and 2021. For awards under the 2019 AEP or the 2019 EIP that have not vested, due to a change in control or an initial public offering, these would be settled in cash upon the passage of time and achievement of a certain market condition target. Upon completion of this offering, we expect to recognize share-based compensation expense of approximately $                 for which the service-based vesting condition was satisfied or partially satisfied as of                 , 2023. Upon completion of this offering, all RSUs under the 2019 AEP will vest and our intent is to settle those RSUs in shares instead of cash. This will result in a change to the classification of the RSUs at that time from liability-classified to equity-classified awards </w:t>
      </w:r>
    </w:p>
    <w:p>
      <w:pPr>
        <w:pStyle w:val="TextBody"/>
        <w:bidi w:val="0"/>
        <w:spacing w:before="360" w:after="0"/>
        <w:jc w:val="left"/>
        <w:rPr>
          <w:rFonts w:ascii="Times New Roman" w:hAnsi="Times New Roman"/>
          <w:i/>
          <w:sz w:val="20"/>
        </w:rPr>
      </w:pPr>
      <w:r>
        <w:rPr>
          <w:rFonts w:ascii="Times New Roman" w:hAnsi="Times New Roman"/>
          <w:i/>
          <w:sz w:val="20"/>
        </w:rPr>
        <w:t xml:space="preserve">The 2022 RSU Plan </w:t>
      </w:r>
    </w:p>
    <w:p>
      <w:pPr>
        <w:pStyle w:val="TextBody"/>
        <w:bidi w:val="0"/>
        <w:spacing w:before="120" w:after="0"/>
        <w:jc w:val="left"/>
        <w:rPr>
          <w:rFonts w:ascii="Times New Roman" w:hAnsi="Times New Roman"/>
          <w:sz w:val="20"/>
        </w:rPr>
      </w:pPr>
      <w:r>
        <w:rPr>
          <w:rFonts w:ascii="Times New Roman" w:hAnsi="Times New Roman"/>
          <w:sz w:val="20"/>
        </w:rPr>
        <w:t xml:space="preserve">In June 2022, the 2022 RSU Plan was established to grant RSUs to all employees of the Company (All Employee Awards). Employees may elect not to participate in the plan. The RSUs vest in tranches, require continuous service through the vesting date and are subject to graded vesting over time. We recognize share-based compensation cost using the straight-line method over the service period of the award except for performance grants with specific performance criteria, net of estimated forfeitures. The 2022 RSU Plan provides vesting schedules applicable prior to an initial public offering and after an initial public offering. For all periods presented, an initial public offering is generally not considered probable until it has occurred. Accordingly, the RSUs are currently probable of vesting based on the vesting schedule applicable prior to an initial public offering over a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2022 RSU Plan allows for either cash or share settlement of the RSUs by tranche at the discretion of the Companys remuneration committee. At the time of issuance, we intended to settle all tranches of the RSUs in shares at the vesting date and such RSUs were accounted for as equity-classified awards. In November 2022, the Company determined that it would settle the first tranche of the All Employee Awards outstanding that vest in March 2023 and May 2023 by paying cash instead of issuing shares. The Company accounted for this change as a modification and reclassified the affected portion of the award from equity to liability and will remeasure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at fair value at each reporting period through the date of settlement. These RSUs neither carry rights to dividends nor voting rights until the shares are issued or transferred to the recipient. Awards are forfeited if an employee leaves the Company before the RSUs vest. </w:t>
      </w:r>
    </w:p>
    <w:p>
      <w:pPr>
        <w:pStyle w:val="TextBody"/>
        <w:bidi w:val="0"/>
        <w:spacing w:before="240" w:after="0"/>
        <w:jc w:val="left"/>
        <w:rPr>
          <w:rFonts w:ascii="Times New Roman" w:hAnsi="Times New Roman"/>
          <w:sz w:val="20"/>
        </w:rPr>
      </w:pPr>
      <w:r>
        <w:rPr>
          <w:rFonts w:ascii="Times New Roman" w:hAnsi="Times New Roman"/>
          <w:sz w:val="20"/>
        </w:rPr>
        <w:t xml:space="preserve">We also granted additional awards under the 2022 RSU Plan to new hires starting in September 2022 (New Starter Awards). The New Starter Awards share substantially the same terms as the existing RSUs for All Employee Awards with changes limited to the vesting schedules. The New Starter Awards require continuous service through the vesting date. In addition to the New Starter Awards, we also granted RSUs to all employees and new hires of our subsidiary, Arm Israel, starting in February 2023 (the Israel Awards). The Israel Awards have substantially the same terms as the existing RSUs for All Employee Awards and New Starter Awards with changes limited to the vesting schedules. The Israel Awards require continuous service through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We used the income approach and market-calibration approach based on comparable publicly traded companies in similar lines of businesses to measure the fair value of the All Employee Awards. 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we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 </w:t>
      </w:r>
    </w:p>
    <w:p>
      <w:pPr>
        <w:pStyle w:val="TextBody"/>
        <w:bidi w:val="0"/>
        <w:spacing w:before="240" w:after="0"/>
        <w:jc w:val="left"/>
        <w:rPr>
          <w:rFonts w:ascii="Times New Roman" w:hAnsi="Times New Roman"/>
          <w:sz w:val="20"/>
        </w:rPr>
      </w:pPr>
      <w:r>
        <w:rPr>
          <w:rFonts w:ascii="Times New Roman" w:hAnsi="Times New Roman"/>
          <w:sz w:val="20"/>
        </w:rPr>
        <w:t xml:space="preserve">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 </w:t>
      </w:r>
    </w:p>
    <w:p>
      <w:pPr>
        <w:pStyle w:val="TextBody"/>
        <w:bidi w:val="0"/>
        <w:spacing w:before="240" w:after="0"/>
        <w:jc w:val="left"/>
        <w:rPr>
          <w:rFonts w:ascii="Times New Roman" w:hAnsi="Times New Roman"/>
          <w:sz w:val="20"/>
        </w:rPr>
      </w:pPr>
      <w:r>
        <w:rPr>
          <w:rFonts w:ascii="Times New Roman" w:hAnsi="Times New Roman"/>
          <w:sz w:val="20"/>
        </w:rPr>
        <w:t xml:space="preserve">We did not have any payments arising from normal course vesting events for the liability or equity-classified RSU awards for the fiscal year ended March 31, 2023. Upon completion of this offering, we expect to recognize share-based compensation cost of approximately $         for which the service-based vesting condition was satisfied or partially satisfied as of                 , 2023. Upon the completion of this offering, the All Employee Awards will be accounted for using the vesting schedules applicable after an initial public offering which will result in an acceleration of compensation cost. Upon the completion of this offering, it is our intent to continue to settle the RSUs in shares. </w:t>
      </w:r>
    </w:p>
    <w:p>
      <w:pPr>
        <w:pStyle w:val="TextBody"/>
        <w:bidi w:val="0"/>
        <w:spacing w:before="360" w:after="0"/>
        <w:jc w:val="left"/>
        <w:rPr>
          <w:rFonts w:ascii="Times New Roman" w:hAnsi="Times New Roman"/>
          <w:i/>
          <w:sz w:val="20"/>
        </w:rPr>
      </w:pPr>
      <w:r>
        <w:rPr>
          <w:rFonts w:ascii="Times New Roman" w:hAnsi="Times New Roman"/>
          <w:i/>
          <w:sz w:val="20"/>
        </w:rPr>
        <w:t xml:space="preserve">Executive Awards Granted under the 2022 RSU PlanExecutive Awards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2022, the Company issued two types of executive awards (the Annual Awards and One-time Launch Awards) under the 2022 RSU Plan to certain of our executive officers (collectively, the Executive Awards). These Executive Awards under the 2022 RSU Plan have total award values based on fixed monetary amounts known at inception and do not carry rights to dividends nor voting rights. The Executive Awards entitle participants to a fixed amount of cash or, upon the occurrence of a change in control or an initial public offering, ordinary shares of the Company at the discretion of our remuneration committee. Executive Awards are liability-classified and remeasured at the end of each reporting period through the date of settlement so that the expense recognized for each award is equivalent to the amount to be paid in cash. </w:t>
      </w:r>
    </w:p>
    <w:p>
      <w:pPr>
        <w:pStyle w:val="TextBody"/>
        <w:bidi w:val="0"/>
        <w:spacing w:before="240" w:after="0"/>
        <w:jc w:val="left"/>
        <w:rPr>
          <w:rFonts w:ascii="Times New Roman" w:hAnsi="Times New Roman"/>
          <w:sz w:val="20"/>
        </w:rPr>
      </w:pPr>
      <w:r>
        <w:rPr>
          <w:rFonts w:ascii="Times New Roman" w:hAnsi="Times New Roman"/>
          <w:sz w:val="20"/>
        </w:rPr>
        <w:t xml:space="preserve">One-time Launch Awards vest in tranches and require continuous service through the vesting dates and are subject to graded vesting over a period of three years. The Company also granted One-time Launch Awards with customized vesting schedules to certain of our executive officers with a potential fixed monetary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$55.0 million at the grant date. These customized awards vest upon (1) the occurrence of one of various events comprising a change in control of the Company, (2) an initial public offering, and (3) March 9, 2026. For more information about awards that vest at the completion of this offering, see Management and Executive RemunerationAwards Vesting at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Annual Awards include a portion that vests over a three-year continuous service period and/or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original fixed monetary amount of the award depending on the achievement of annual performance metrics. </w:t>
      </w:r>
    </w:p>
    <w:p>
      <w:pPr>
        <w:pStyle w:val="TextBody"/>
        <w:bidi w:val="0"/>
        <w:spacing w:before="240" w:after="0"/>
        <w:jc w:val="left"/>
        <w:rPr>
          <w:rFonts w:ascii="Times New Roman" w:hAnsi="Times New Roman"/>
          <w:sz w:val="20"/>
        </w:rPr>
      </w:pPr>
      <w:r>
        <w:rPr>
          <w:rFonts w:ascii="Times New Roman" w:hAnsi="Times New Roman"/>
          <w:sz w:val="20"/>
        </w:rPr>
        <w:t xml:space="preserve">Upon an initial public offering each Executive Award will vest and, at the discretion of the Remuneration Committee, be settled by a variable number of shares based on the initial public offering price per ADS. As of March 31, 2023, awards were expected to settle in cash at the vesting date. Awards are forfeited if an employee leaves the Company before the awards vest. </w:t>
      </w:r>
    </w:p>
    <w:p>
      <w:pPr>
        <w:pStyle w:val="TextBody"/>
        <w:bidi w:val="0"/>
        <w:spacing w:before="240" w:after="0"/>
        <w:jc w:val="left"/>
        <w:rPr>
          <w:rFonts w:ascii="Times New Roman" w:hAnsi="Times New Roman"/>
          <w:sz w:val="20"/>
        </w:rPr>
      </w:pPr>
      <w:r>
        <w:rPr>
          <w:rFonts w:ascii="Times New Roman" w:hAnsi="Times New Roman"/>
          <w:sz w:val="20"/>
        </w:rPr>
        <w:t xml:space="preserve">We did not have any payments arising from normal course vesting events for the liability-classified Executive Awards for the fiscal year ended March 31, 2023. Upon completion of this offering, we expect to recognize share-based compensation cost of approximately $         for which the service-based vesting condition was satisfied or partially satisfied as of                 , 2023. Upon the completion of this offering, the Executive Awards will be accounted for using the vesting schedules applicable after an initial public offering which will result in an acceleration of compensation cost. Upon the completion of this offering, it is our intent to settle the Executive Awards in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is recorded as the excess of consideration transferred over the acquisition-date fair values of assets acquired and liabilities assumed. We have identified one reporting unit. We perform an annual impairment assessment in the fourth fiscal quarter or more frequently if indicators of potential impairment exist, which includes evaluating qualitative and quantitative factors to assess the likelihood of an impairment of the reporting units goodwill. If our assessment concludes that it is more likely than not that the fair value is more than its carrying value of our reporting unit, goodwill is not considered impaired and we are not required to perform the quantitative goodwill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If our impairment assessment concludes that it is more likely than not that the fair value is less than its carrying value, we perform the quantitative goodwill impairment test, which compares the fair value of the reporting unit to its carrying value. Impairments, if any, are based on the excess of the carrying amount over the fair value. Our goodwill impairment test considers the income method and/or market method to estimate a reporting units fair value. Significant judgments are required in assessing impairment of goodwill include the identification of reporting units, estimating future cash flows, determining appropriate discount and growth rates and other assumptions. Changes in these estimates and assumptions could materially affect the determination of fair value, whether an impairment exists and if so the amount of that impairment. </w:t>
      </w:r>
    </w:p>
    <w:p>
      <w:pPr>
        <w:pStyle w:val="TextBody"/>
        <w:bidi w:val="0"/>
        <w:spacing w:before="240" w:after="0"/>
        <w:jc w:val="left"/>
        <w:rPr>
          <w:rFonts w:ascii="Times New Roman" w:hAnsi="Times New Roman"/>
          <w:sz w:val="20"/>
        </w:rPr>
      </w:pPr>
      <w:r>
        <w:rPr>
          <w:rFonts w:ascii="Times New Roman" w:hAnsi="Times New Roman"/>
          <w:sz w:val="20"/>
        </w:rPr>
        <w:t xml:space="preserve">We completed our annual goodwill impairment test in the fourth quarter of the fiscal years ended March 31, 2023, 2022 and 2021. It was determined, after performing a qualitative review, that it is not more likely than not that the fair value of our single reporting unit was less than its carrying amount. Accordingly, there was no indication of impairment, and the quantitative goodwill impairment test was not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income taxes in the United Kingdom and other foreign jurisdictions. We account for deferred taxes by using the asset and liability method under GAAP. Under this method, we determine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assets and liabilities based on temporary differences between the financial reporting and the tax bases of assets and liabilities. Deferred tax assets and liabilities are measured using the enacted tax rates and laws that are expected to be in effect when the differences are expected to reverse. We recognize a deferred tax asset when it is more likely than not that the asset will be realized. We regularly review our deferred tax assets for recoverability and establish a valuation allowance based upon historical losses, projected future taxable income and the expected timing of the reversals of existing temporary differences. To the extent we increase or decrease the allowance in a period, we recognize the change in the allowance within Income tax expense in the consolidated income statement. Unforeseen changes in tax rates and tax laws, as well as differences in the projected taxable income as compared to actual taxable income, may affect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includes the impact of reserve provisions and changes to reserves as well as the related net interest and penalties. In addition, we are subject to the continuous examination of our income tax returns by the United Kingdom and other tax authorities that may assert assessments against us. We regularly assess the likelihood of adverse outcomes resulting from these examinations and assessments to determine the adequacy of our provision for income taxes.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For a summary of recent accounting pronouncements and the anticipated effects on our consolidated financial statements, see Note 2 to our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Qualitative and Quantitative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Note 1 to our consolidated financial statements included elsewhere in this prospectus for additional details.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interest rate risk arising on interest-bearing assets that we hold, including cash and cash equivalents, short-term investments, and loans receivable. As of June 30, 2023, a hypothetical 1% increase or decrease in interest rates would have an approximate $14 million (positive or negative, as applicable) impact on our operating results in the consolidated financial statements for the fiscal quarter ended June 30,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foreign exchange risk in respect of our revenues and expenses where our revenues and expenses are denominated in a currency other than the functional currency of the transacting entity. We mitigate a proportion of this risk through the use of currency forward contracts. </w:t>
      </w:r>
    </w:p>
    <w:p>
      <w:pPr>
        <w:pStyle w:val="TextBody"/>
        <w:bidi w:val="0"/>
        <w:spacing w:before="240" w:after="0"/>
        <w:jc w:val="left"/>
        <w:rPr>
          <w:rFonts w:ascii="Times New Roman" w:hAnsi="Times New Roman"/>
          <w:sz w:val="20"/>
        </w:rPr>
      </w:pPr>
      <w:r>
        <w:rPr>
          <w:rFonts w:ascii="Times New Roman" w:hAnsi="Times New Roman"/>
          <w:sz w:val="20"/>
        </w:rPr>
        <w:t xml:space="preserve">Translational exposure arises on the revaluation of net investments in the consolidated financial statements, where these are not denominated in U.S. dollars and on loans to subsidiaries in currencies other than our functional currency. As of June 30, 2023, a hypothetical 10% increase or decrease in the relative value of U.S. dollars to British pound sterling would have an approximate $19 million (positive or negative, as applicable) effect on our operating results in the consolidated financial statements for the fiscal quarter ended June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rom393891_18"/>
      <w:bookmarkEnd w:id="19"/>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North Star </w:t>
      </w:r>
    </w:p>
    <w:p>
      <w:pPr>
        <w:pStyle w:val="TextBody"/>
        <w:bidi w:val="0"/>
        <w:spacing w:before="120" w:after="0"/>
        <w:jc w:val="left"/>
        <w:rPr>
          <w:rFonts w:ascii="Times New Roman" w:hAnsi="Times New Roman"/>
          <w:sz w:val="20"/>
        </w:rPr>
      </w:pPr>
      <w:r>
        <w:rPr>
          <w:rFonts w:ascii="Times New Roman" w:hAnsi="Times New Roman"/>
          <w:sz w:val="20"/>
        </w:rPr>
        <w:t xml:space="preserve">Building the future of computing, on Arm. Together. For everyone. </w:t>
      </w:r>
    </w:p>
    <w:p>
      <w:pPr>
        <w:pStyle w:val="TextBody"/>
        <w:bidi w:val="0"/>
        <w:spacing w:before="36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Arm is defining the future of computing. Semiconductor technology has become one of the worlds most critical resources, as it enables all electronic devices today. At the heart of these devices is the CPU, and Arm is the industry leader of CPUs. We architect, develop, and license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 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We estimate that approximately 70% of the worlds population uses Arm-based products, and the scale of Arms reach continues to expand, with more than 30 billion Arm-based chips reported as shipped in the fiscal year ended March 31, 2023 alone, representing an approximately 70% increase since the fiscal year ended March 31, 2016. </w:t>
      </w:r>
    </w:p>
    <w:p>
      <w:pPr>
        <w:pStyle w:val="TextBody"/>
        <w:bidi w:val="0"/>
        <w:spacing w:before="240" w:after="0"/>
        <w:jc w:val="left"/>
        <w:rPr>
          <w:rFonts w:ascii="Times New Roman" w:hAnsi="Times New Roman"/>
          <w:sz w:val="20"/>
        </w:rPr>
      </w:pPr>
      <w:r>
        <w:rPr>
          <w:rFonts w:ascii="Times New Roman" w:hAnsi="Times New Roman"/>
          <w:sz w:val="20"/>
        </w:rPr>
        <w:t xml:space="preserve">Today, any company can make a modern computer chip through the unique combination of our energy-efficient CPU IP and related technologies and our unmatched ecosystem of technology partners, and do it cost effectively due to our flexible business model. Each CPU product can be licensed to multiple companies, leading to economies of scale that allow us to charge each licensee only a fraction of what it would cost them to develop internally, while minimizing their risk and time-to-market. With the complexity of CPU design increasing exponentially, over the past decade no company has successfully designed a modern CPU from scratch. We have been innovating at the forefront of compute technology for decades and have established important relationships with the companies driving the future of computing across multiple industries. More than 260 companies reported that they had shipped Arm-based chips in the fiscal year ended March 31, 2023, including the largest technology companies globally (such as Amazon and Alphabet), major semiconductor chip vendors (such as AMD, Intel, NVIDIA, Qualcomm and Samsung), automotive industry incumbents, leading auto suppliers, IoT innovators, and more. </w:t>
      </w:r>
    </w:p>
    <w:p>
      <w:pPr>
        <w:pStyle w:val="TextBody"/>
        <w:bidi w:val="0"/>
        <w:spacing w:before="240" w:after="0"/>
        <w:jc w:val="left"/>
        <w:rPr>
          <w:rFonts w:ascii="Times New Roman" w:hAnsi="Times New Roman"/>
          <w:sz w:val="20"/>
        </w:rPr>
      </w:pPr>
      <w:r>
        <w:rPr>
          <w:rFonts w:ascii="Times New Roman" w:hAnsi="Times New Roman"/>
          <w:sz w:val="20"/>
        </w:rPr>
        <w:t xml:space="preserve">The exponential rise in smart devices in both consumer and enterprise markets has increased the demand for chips that provide more computational capability while optimizing energy efficiency. Thirty years ago, the PC was the only computer with which most people would interact at home, work, or school. Then, mobile phones became computers in our pockets and digital TVs became computers in our living rooms. Now, vehicles are effectively computers on wheels, and servers and networking equipment are the computers that connect devices and services together. Additionally, there are billions of tiny low-cost devices  from sensors to electric motor controllers  that are now functionally computers, as well. Each of these computers needs at least one CPU, and in many cases more than one. This trend has driven the dramatic growth of Arm-based chips over the past several years. </w:t>
      </w:r>
    </w:p>
    <w:p>
      <w:pPr>
        <w:pStyle w:val="TextBody"/>
        <w:bidi w:val="0"/>
        <w:spacing w:before="240" w:after="0"/>
        <w:jc w:val="left"/>
        <w:rPr>
          <w:rFonts w:ascii="Times New Roman" w:hAnsi="Times New Roman"/>
          <w:sz w:val="20"/>
        </w:rPr>
      </w:pPr>
      <w:r>
        <w:rPr>
          <w:rFonts w:ascii="Times New Roman" w:hAnsi="Times New Roman"/>
          <w:sz w:val="20"/>
        </w:rPr>
        <w:t xml:space="preserve">Our creation of the Arm CPU architecture, the worlds most widely used CPU architecture, has resulted in the proliferation and evolution of computers as people know them today, advancing a paradigm of increasing compute performance coupled with industry-leading power efficiency.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Energy efficiency is not only important for business, but it is also a critical component in achieving sustainability for our planet. This makes Arm CPU technology ideal for current and future computing applications as the demands for compute performance are growing exponentially while the need for low power remains critical.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Every CPU has an ISA, which defines the software instructions that can be executed by the CPU, essentially a common language for software developers to use. The ISA sets the foundation for a large library of compatible software which runs on those CPUs. As the Arm CPU is the most popular and pervasive CPU in history, the Arm ISA is also the most popular and pervasive ISA in history. This means that Arm-based chips have a global community of software developers familiar with how to program the CPU. Chip designers utilizing the Arm CPU can add desired functionality (Wi-Fi connectivity, image processing, video processing, </w:t>
      </w:r>
      <w:r>
        <w:rPr>
          <w:rFonts w:ascii="Times New Roman" w:hAnsi="Times New Roman"/>
          <w:i/>
          <w:sz w:val="20"/>
        </w:rPr>
        <w:t>etc</w:t>
      </w:r>
      <w:r>
        <w:rPr>
          <w:rFonts w:ascii="Times New Roman" w:hAnsi="Times New Roman"/>
          <w:sz w:val="20"/>
        </w:rPr>
        <w:t xml:space="preserve">.) to create an SoC to meet the needs of any end market. </w:t>
      </w:r>
    </w:p>
    <w:p>
      <w:pPr>
        <w:pStyle w:val="TextBody"/>
        <w:bidi w:val="0"/>
        <w:spacing w:before="240" w:after="0"/>
        <w:jc w:val="left"/>
        <w:rPr>
          <w:rFonts w:ascii="Times New Roman" w:hAnsi="Times New Roman"/>
          <w:sz w:val="20"/>
        </w:rPr>
      </w:pPr>
      <w:r>
        <w:rPr>
          <w:rFonts w:ascii="Times New Roman" w:hAnsi="Times New Roman"/>
          <w:sz w:val="20"/>
        </w:rPr>
        <w:t xml:space="preserve">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and have created a virtuous cycle of adoption, which means that software developers write software for Arm-based devices because it offers the biggest market for their products, and chip designers choose Arm processors because they have the broadest support of software applications. </w:t>
      </w:r>
    </w:p>
    <w:p>
      <w:pPr>
        <w:pStyle w:val="TextBody"/>
        <w:bidi w:val="0"/>
        <w:spacing w:before="240" w:after="0"/>
        <w:jc w:val="left"/>
        <w:rPr>
          <w:rFonts w:ascii="Times New Roman" w:hAnsi="Times New Roman"/>
          <w:sz w:val="20"/>
        </w:rPr>
      </w:pPr>
      <w:r>
        <w:rPr>
          <w:rFonts w:ascii="Times New Roman" w:hAnsi="Times New Roman"/>
          <w:sz w:val="20"/>
        </w:rPr>
        <w:t xml:space="preserve">This combination of pervasiveness and ease of portability has resulted in our CPU designs having the worlds richest software ecosystem, built in partnership with the leading operating systems providers (including Google Android, Microsoft Windows and all major Linux distributions), software tools and game engine vendors (such as EA, Unity and Epic Games), and application developers. We also support a flourishing ecosystem of third-party tool vendors for embedded software and a vibrant IoT ecosystem. Open-source software plays a vital role in the success of Arm-based chips, and we are committed to contributing to open-source software and tools to ensure our offerings are optimized for the latest technologies. </w:t>
      </w:r>
    </w:p>
    <w:p>
      <w:pPr>
        <w:pStyle w:val="TextBody"/>
        <w:bidi w:val="0"/>
        <w:spacing w:before="240" w:after="0"/>
        <w:jc w:val="left"/>
        <w:rPr>
          <w:rFonts w:ascii="Times New Roman" w:hAnsi="Times New Roman"/>
          <w:sz w:val="20"/>
        </w:rPr>
      </w:pPr>
      <w:r>
        <w:rPr>
          <w:rFonts w:ascii="Times New Roman" w:hAnsi="Times New Roman"/>
          <w:sz w:val="20"/>
        </w:rPr>
        <w:t xml:space="preserve">As the world moves increasingly towards AI- and ML-enabled computing, Arm will be central to this transition. Arm CPUs already run AI and ML workloads in billions of devices, including smartphones, cameras, digital TVs, cars and cloud data centers. The CPU is vital in all AI systems, whether it is handling the AI workload entirely or in combination with a co-processor, such as a GPU or an NPU. In the emerging area of large language models, generative AI and autonomous driving, there will be a heightened emphasis on the low power acceleration of these algorithms. In our latest ISA, CPUs, and GPUs, we have added new functionality and instructions to accelerate future AI and ML algorithms. We are working with leading companies such as Alphabet, Cruise, Mercedes-Benz, Meta and NVIDIA to deploy Arm technology to run AI workloads. </w:t>
      </w:r>
    </w:p>
    <w:p>
      <w:pPr>
        <w:pStyle w:val="TextBody"/>
        <w:bidi w:val="0"/>
        <w:spacing w:before="240" w:after="0"/>
        <w:jc w:val="left"/>
        <w:rPr>
          <w:rFonts w:ascii="Times New Roman" w:hAnsi="Times New Roman"/>
          <w:sz w:val="20"/>
        </w:rPr>
      </w:pPr>
      <w:r>
        <w:rPr>
          <w:rFonts w:ascii="Times New Roman" w:hAnsi="Times New Roman"/>
          <w:sz w:val="20"/>
        </w:rPr>
        <w:t xml:space="preserve">Arm had 5,963 full-time employees across North America, Europe and Asia as of March 31, 2023. We are an engineering-first company, with approximately 80% of our global employees, as of March 31, 2023, focused on research, design, and technical innovation, and we have global operations and research and development centers in the U.K, Europe, North America, India, and Asia-Pacific. Our headquarters are located in Cambridge, U.K.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2023, our total revenue was relatively flat at $2,679 million, as compared to $2,703 million in the fiscal year ended March 31, 2022. In the fiscal year ended March 31, 2023, as a percentage of total revenue our gross profit margin was 96% and operating income margin was 25%. In the fiscal year ended March 31, 2023, we generated net income from continuing operations of $524 million (Non-GAAP net income from continuing operations of $657 million), compared to $676 million (Non-GAAP net income from continuing operations of $663 million) in the fiscal year ended March 31, 2022. </w:t>
      </w:r>
    </w:p>
    <w:p>
      <w:pPr>
        <w:pStyle w:val="TextBody"/>
        <w:bidi w:val="0"/>
        <w:spacing w:before="240" w:after="0"/>
        <w:jc w:val="left"/>
        <w:rPr>
          <w:rFonts w:ascii="Times New Roman" w:hAnsi="Times New Roman"/>
          <w:sz w:val="20"/>
        </w:rPr>
      </w:pPr>
      <w:r>
        <w:rPr>
          <w:rFonts w:ascii="Times New Roman" w:hAnsi="Times New Roman"/>
          <w:sz w:val="20"/>
        </w:rPr>
        <w:t xml:space="preserve">For the fiscal-year ended March 31, 2022, our total revenue grew by 33%, to $2,703 million, from $2,027 million in the fiscal year ended March 31, 2021. In the fiscal year ended March 31, 2022, as a percentage of total revenue, our gross profit margin was 95% and operating income margin was 23% compared to 93% and 12%, respectively, in the fiscal year ended March 31, 2021. In the fiscal year ended March 31, 2022, we generated net income from continuing operations of $676 million (Non-GAAP net income from continuing operations of $663 million), compared to $544 million (Non-GAAP net income from continuing operations of $207 million) in the fiscal year ended March 31,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Journey </w:t>
      </w:r>
    </w:p>
    <w:p>
      <w:pPr>
        <w:pStyle w:val="TextBody"/>
        <w:bidi w:val="0"/>
        <w:spacing w:before="120" w:after="0"/>
        <w:jc w:val="left"/>
        <w:rPr>
          <w:rFonts w:ascii="Times New Roman" w:hAnsi="Times New Roman"/>
          <w:b/>
          <w:i/>
          <w:sz w:val="20"/>
        </w:rPr>
      </w:pPr>
      <w:r>
        <w:rPr>
          <w:rFonts w:ascii="Times New Roman" w:hAnsi="Times New Roman"/>
          <w:b/>
          <w:i/>
          <w:sz w:val="20"/>
        </w:rPr>
        <w:t xml:space="preserve">History </w:t>
      </w:r>
    </w:p>
    <w:p>
      <w:pPr>
        <w:pStyle w:val="TextBody"/>
        <w:bidi w:val="0"/>
        <w:spacing w:before="120" w:after="0"/>
        <w:jc w:val="left"/>
        <w:rPr>
          <w:rFonts w:ascii="Times New Roman" w:hAnsi="Times New Roman"/>
          <w:sz w:val="20"/>
        </w:rPr>
      </w:pPr>
      <w:r>
        <w:rPr>
          <w:rFonts w:ascii="Times New Roman" w:hAnsi="Times New Roman"/>
          <w:sz w:val="20"/>
        </w:rPr>
        <w:t xml:space="preserve">Established in 1990, Arm began as a joint venture between Acorn Computers, Apple Computer, and VLSI Technology. We were publicly listed on the London Stock Exchange and the Nasdaq Stock Market from 1998 until 2016, when we were taken private by SoftBank Group, our controlling shareholder. </w:t>
      </w:r>
    </w:p>
    <w:p>
      <w:pPr>
        <w:pStyle w:val="TextBody"/>
        <w:bidi w:val="0"/>
        <w:spacing w:before="240" w:after="0"/>
        <w:jc w:val="left"/>
        <w:rPr>
          <w:rFonts w:ascii="Times New Roman" w:hAnsi="Times New Roman"/>
          <w:sz w:val="20"/>
        </w:rPr>
      </w:pPr>
      <w:r>
        <w:rPr>
          <w:rFonts w:ascii="Times New Roman" w:hAnsi="Times New Roman"/>
          <w:sz w:val="20"/>
        </w:rPr>
        <w:t xml:space="preserve">The original joint venture set out to develop a processor that was high performance, power efficient, easy to program, and readily scalable  a goal that continues to define Arm today. One of the first Arm-based products was a predecessor of todays tablets. As a battery-powered device, it required an energy-efficient chip to maximize its battery life while providing the necessary compute capabilities. This product benefited from Arms clear focus on efficient CPU design. Our CPUs initially gained significant traction in mobile phones in the mid-1990s because our energy-efficient processors provided an appropriate level of performance while consuming little power, which was critical for these smaller form factor devices. As the mobile phone market continued to grow rapidly, more semiconductor companies entered the market. All these companies needed to source high-performance, energy-efficient processors to run their mobile phone software, and many of them licensed Arm CPU products. Over time, mobile phones, and the chips they used, became more advanced and ultimately evolved into the smartphones that are prevalent today. The Arm CPU proved to be critical in enabling the smartphone revolution. </w:t>
      </w:r>
    </w:p>
    <w:p>
      <w:pPr>
        <w:pStyle w:val="TextBody"/>
        <w:bidi w:val="0"/>
        <w:spacing w:before="240" w:after="0"/>
        <w:jc w:val="left"/>
        <w:rPr>
          <w:rFonts w:ascii="Times New Roman" w:hAnsi="Times New Roman"/>
          <w:sz w:val="20"/>
        </w:rPr>
      </w:pPr>
      <w:r>
        <w:rPr>
          <w:rFonts w:ascii="Times New Roman" w:hAnsi="Times New Roman"/>
          <w:sz w:val="20"/>
        </w:rPr>
        <w:t xml:space="preserve">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the same revolution.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Strategic Evolution </w:t>
      </w:r>
    </w:p>
    <w:p>
      <w:pPr>
        <w:pStyle w:val="TextBody"/>
        <w:bidi w:val="0"/>
        <w:spacing w:before="120" w:after="0"/>
        <w:jc w:val="left"/>
        <w:rPr>
          <w:rFonts w:ascii="Times New Roman" w:hAnsi="Times New Roman"/>
          <w:sz w:val="20"/>
        </w:rPr>
      </w:pPr>
      <w:r>
        <w:rPr>
          <w:rFonts w:ascii="Times New Roman" w:hAnsi="Times New Roman"/>
          <w:sz w:val="20"/>
        </w:rPr>
        <w:t xml:space="preserve">Since becoming a private company in 2016, we have made significant investments to further develop and market our products to build on our success in powering the worlds smartphones and other consumer electronic devices. We have focused in recent years on making Arm the ubiquitous provider of compute technology in all market segments by expanding into new markets, including, but not limited to, cloud computing, networking, automotive, and IoT, most of which have strong secular tailwinds. Our investments have resulted in a diversified business with more durable growth. </w:t>
      </w:r>
    </w:p>
    <w:p>
      <w:pPr>
        <w:pStyle w:val="TextBody"/>
        <w:bidi w:val="0"/>
        <w:spacing w:before="240" w:after="0"/>
        <w:jc w:val="left"/>
        <w:rPr>
          <w:rFonts w:ascii="Times New Roman" w:hAnsi="Times New Roman"/>
          <w:sz w:val="20"/>
        </w:rPr>
      </w:pPr>
      <w:r>
        <w:rPr>
          <w:rFonts w:ascii="Times New Roman" w:hAnsi="Times New Roman"/>
          <w:sz w:val="20"/>
        </w:rPr>
        <w:t xml:space="preserve">Key elements of our evolution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Creating a Market-Led Business with Products Optimized for Specific Verticals.</w:t>
            </w:r>
            <w:r>
              <w:rPr>
                <w:rFonts w:ascii="Times New Roman" w:hAnsi="Times New Roman"/>
                <w:sz w:val="20"/>
              </w:rPr>
              <w:t xml:space="preserve"> We have developed multiple product families, each optimized for markets such as smartphones, cloud computing, networking, automotive and IoT.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Building the New Armv9 Architecture.</w:t>
            </w:r>
            <w:r>
              <w:rPr>
                <w:rFonts w:ascii="Times New Roman" w:hAnsi="Times New Roman"/>
                <w:sz w:val="20"/>
              </w:rPr>
              <w:t xml:space="preserve"> Leveraging the progress made by previous generations of our products, we embarked on the development of the Armv9 architecture, the ninth version of the Arm ISA. Today, the Armv9 architecture powers CPUs that offer improved security and performance across various applications. Consequently, the Armv9 architecture has the potential to drive our royalty opportunity per device even higher.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Broadening our Compute Platforms.</w:t>
            </w:r>
            <w:r>
              <w:rPr>
                <w:rFonts w:ascii="Times New Roman" w:hAnsi="Times New Roman"/>
                <w:sz w:val="20"/>
              </w:rPr>
              <w:t xml:space="preserve"> We have curated, integrated, and optimized our CPU and system-design components together into foundational compute platforms to deliver best-in-class performance and energy efficiency for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Expanding our Value Proposition for Customers.</w:t>
            </w:r>
            <w:r>
              <w:rPr>
                <w:rFonts w:ascii="Times New Roman" w:hAnsi="Times New Roman"/>
                <w:sz w:val="20"/>
              </w:rPr>
              <w:t xml:space="preserve"> As building chips using the most advanced manufacturing processes became more complex and more costly, the opportunity to expand our product offerings to our customers increased. As a result, we have created more advanced and optimized CPU products that enable us to provide more value to our customers by giving their devices more functionality and more performance while using less power and at lower cost.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Introducing New Licensing Models with Increased Focus on Maximizing Royalty Opportunities.</w:t>
            </w:r>
            <w:r>
              <w:rPr>
                <w:rFonts w:ascii="Times New Roman" w:hAnsi="Times New Roman"/>
                <w:sz w:val="20"/>
              </w:rPr>
              <w:t xml:space="preserve"> By licensing a portfolio of Arm products (rather than licensing a single CPU product or other technology design), we have made it easier and more compelling for customers to access and utilize more Arm products, further broadening our potential customer base and end market penetration. Our licensing models provide greater flexibility to our customers and maximize our opportunities to secure more design wins for our products, which results in greater opportunities to increase our recurring royalty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Diversifying and Deepening our Relationships with Market Leaders</w:t>
            </w:r>
            <w:r>
              <w:rPr>
                <w:rFonts w:ascii="Times New Roman" w:hAnsi="Times New Roman"/>
                <w:sz w:val="20"/>
              </w:rPr>
              <w:t xml:space="preserve">. We have established close partnerships with leading companies across all of our target markets, including, among others, OPPO, Samsung, vivo and Xiaomi in mobile computing, Amazon and Alibaba in cloud compute, Cruise and Mercedes-Benz in advanced automotive, and Raspberry Pi, Schneider Electric and Siemens in industrial IoT.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Industry Background </w:t>
      </w:r>
    </w:p>
    <w:p>
      <w:pPr>
        <w:pStyle w:val="TextBody"/>
        <w:bidi w:val="0"/>
        <w:spacing w:before="120" w:after="0"/>
        <w:jc w:val="left"/>
        <w:rPr>
          <w:rFonts w:ascii="Times New Roman" w:hAnsi="Times New Roman"/>
          <w:sz w:val="20"/>
        </w:rPr>
      </w:pPr>
      <w:r>
        <w:rPr>
          <w:rFonts w:ascii="Times New Roman" w:hAnsi="Times New Roman"/>
          <w:sz w:val="20"/>
        </w:rPr>
        <w:t xml:space="preserve">Semiconductors are indispensable to everyday life. In todays technology-driven world, semiconductors are the enablers of the devices and infrastructure that facilitate virtually everything people do, such as making a phone call, sending an email, storing files in the cloud, streaming videos, or traveling by car, train, or plane. Almost all of the products and services people use every day rely on semiconductors. Manufacturing, logistics, city infrastructure, and building management also increasingly build their processes and services around semiconductor-enabled devices. As consumers and enterprises continue to demand more from their devices, the pervasiveness of high-performance and energy-efficient semiconductors will continue to expand. We believe there are several key trends driving the growth and evolution of the semiconductor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Proliferation of Smart, Connected Devices Supporting an Increasingly Digital World </w:t>
      </w:r>
    </w:p>
    <w:p>
      <w:pPr>
        <w:pStyle w:val="TextBody"/>
        <w:bidi w:val="0"/>
        <w:spacing w:before="120" w:after="0"/>
        <w:jc w:val="left"/>
        <w:rPr>
          <w:rFonts w:ascii="Times New Roman" w:hAnsi="Times New Roman"/>
          <w:sz w:val="20"/>
        </w:rPr>
      </w:pPr>
      <w:r>
        <w:rPr>
          <w:rFonts w:ascii="Times New Roman" w:hAnsi="Times New Roman"/>
          <w:sz w:val="20"/>
        </w:rPr>
        <w:t xml:space="preserve">The world is becoming increasingly digital with the proliferation of smart, connected devices, such as smartphones, wearables, PCs, tablets, and other electronic devices. Even everyday products like washing machines, thermostats, and utility meters are becoming more advanced. According to Deloittes 2022 Connectivity and Mobile Trends Survey, the average U.S. household had 22 connected devices in 2022, doubling from 11 devices in 2019. The market trend to make nearly all products smart and connected is not just limited to consumer electronics, but is also driving a wave of innovation across a broad range of end markets and use cases. For example, vehicles are effectively transforming into computers on wheels, factory floors are becoming increasingly automated with robotics, and retail shopping is evolving with the help of cashier-less checkout 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Increased Need for High-Performance, Power-Efficient Compute </w:t>
      </w:r>
    </w:p>
    <w:p>
      <w:pPr>
        <w:pStyle w:val="TextBody"/>
        <w:bidi w:val="0"/>
        <w:spacing w:before="120" w:after="0"/>
        <w:jc w:val="left"/>
        <w:rPr>
          <w:rFonts w:ascii="Times New Roman" w:hAnsi="Times New Roman"/>
          <w:sz w:val="20"/>
        </w:rPr>
      </w:pPr>
      <w:r>
        <w:rPr>
          <w:rFonts w:ascii="Times New Roman" w:hAnsi="Times New Roman"/>
          <w:sz w:val="20"/>
        </w:rPr>
        <w:t xml:space="preserve">The massive expansion of data, advanced software applications, and AI are driving the need for high-performance compute capabilities. To address increasingly complex workloads, a key approach has been to increase the speed of a CPU and expand the number of processor cores per chip. For example, core count increased by approximately tenfold between 2010 and 2022 for many smartphone application processors and by more than 30 times over the same period for certain data center server chips. Moreover, the number of cores per high end Arm-based chip has increased from 8 in 2016 to 192 in 2023. Solely running an existing chip faster may deliver more compute performance, but increasing performance in this way results in higher energy costs, and may cause thermal limits to be exceeded. For example, individual servers are limited by their ability to dissipate heat energy, while whole data centers are limited by how much electricity is available to them. Mobile devices are limited by the energy stored in their batteries, while their instantaneous power is limited by thermal constraints. Furthermore, the transition to electric vehicles is increasing pressure on automakers to consider the power consumption and thermal management of vehicle electronics. In addition, enterprises are increasingly mindful of environmental sustainability, which is driving a need for more efficient alternatives to offset the continued growth in data centers and other compute deployments. According to McKinsey, the energy usage from data centers is expected to increase two times by the end of 2030 relative to 2022 levels. Collectively, these considerations result in the need for innovation in chip design to address market demands for an optimal balance of performance, efficiency, size, and cost across end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Increasing Complexity and Cost of Designing Leading-Edge Solutions </w:t>
      </w:r>
    </w:p>
    <w:p>
      <w:pPr>
        <w:pStyle w:val="TextBody"/>
        <w:bidi w:val="0"/>
        <w:spacing w:before="120" w:after="0"/>
        <w:jc w:val="left"/>
        <w:rPr>
          <w:rFonts w:ascii="Times New Roman" w:hAnsi="Times New Roman"/>
          <w:sz w:val="20"/>
        </w:rPr>
      </w:pPr>
      <w:r>
        <w:rPr>
          <w:rFonts w:ascii="Times New Roman" w:hAnsi="Times New Roman"/>
          <w:sz w:val="20"/>
        </w:rPr>
        <w:t xml:space="preserve">The resources required to develop leading-edge products are significant and continue to increase exponentially as manufacturing process nodes shrink. According to IBS, IC design costs were approximately $249 million for a 7nm chip and approximately $725 million for a 2nm chip, representing approximately a three-times increase in design cost as compared to a 7nm chip. Design partners play an increasingly valuable role in the chip design process by providing specialized capabilities and expertise that enable semiconductor suppliers to focus on their core product differentiation, while keeping pace with market innovation. Design partners facilitate innovation and enhance customers competitive positioning by reducing the complexity, risk, and cost of a significant part of the development cycle. For example, to design a 2nm chip, IBS estimates that the software development, verification, and IP qualification is 71% of the overall cost. In addition, design partners, like Arm, that can demonstrate a deep understanding of their customers workloads are better positioned to integrate themselves into their customers workflows, further expanding their value proposition over time.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3147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850" cy="3314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Source: IBS July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Growth of In-House Development and Custom Silicon Chips </w:t>
      </w:r>
    </w:p>
    <w:p>
      <w:pPr>
        <w:pStyle w:val="TextBody"/>
        <w:bidi w:val="0"/>
        <w:spacing w:before="120" w:after="0"/>
        <w:jc w:val="left"/>
        <w:rPr>
          <w:rFonts w:ascii="Times New Roman" w:hAnsi="Times New Roman"/>
          <w:sz w:val="20"/>
        </w:rPr>
      </w:pPr>
      <w:r>
        <w:rPr>
          <w:rFonts w:ascii="Times New Roman" w:hAnsi="Times New Roman"/>
          <w:sz w:val="20"/>
        </w:rPr>
        <w:t xml:space="preserve">Many OEMs today utilize off-the-shelf, or merchant, semiconductors when building their product offerings. However, this approach can introduce compromises. For example, an OEM may use a chip that includes features that are irrelevant for its use case, at the expense of performance and cost efficiency. Similarly, an OEM may need a chip that incorporates features not otherwise available from a merchant supplier. As a result, leading OEMs are increasingly looking to build custom chips in-house that deliver greater performance and greater efficiency at an equal or better price for a particular use case. The successes of Arm-based products such as Amazons Graviton, deployed across Amazon data centers globally, have demonstrated the opportunity to create a sustainable competitive advantage through this approach. For example, Amazon claims that Graviton delivers up to 40% better price performance over comparable x86-based systems. This trend of increasing use of in-house developed solutions has significantly expanded the opportunity for 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Solution </w:t>
      </w:r>
    </w:p>
    <w:p>
      <w:pPr>
        <w:pStyle w:val="TextBody"/>
        <w:bidi w:val="0"/>
        <w:spacing w:before="120" w:after="0"/>
        <w:jc w:val="left"/>
        <w:rPr>
          <w:rFonts w:ascii="Times New Roman" w:hAnsi="Times New Roman"/>
          <w:sz w:val="20"/>
        </w:rPr>
      </w:pPr>
      <w:r>
        <w:rPr>
          <w:rFonts w:ascii="Times New Roman" w:hAnsi="Times New Roman"/>
          <w:sz w:val="20"/>
        </w:rPr>
        <w:t xml:space="preserve">We provide the most pervasive CPU architecture in the world. The key elements of our solution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Arm CPUs. </w:t>
            </w:r>
            <w:r>
              <w:rPr>
                <w:rFonts w:ascii="Times New Roman" w:hAnsi="Times New Roman"/>
                <w:sz w:val="20"/>
              </w:rPr>
              <w:t xml:space="preserve">The foundation of our product offerings is our market-leading CPU products. Our CPU products leverage our common scalable ISA and address the widest range of performance, power, and cost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Design Offerings</w:t>
            </w:r>
            <w:r>
              <w:rPr>
                <w:rFonts w:ascii="Times New Roman" w:hAnsi="Times New Roman"/>
                <w:b/>
                <w:sz w:val="20"/>
              </w:rPr>
              <w:t xml:space="preserve">. </w:t>
            </w:r>
            <w:r>
              <w:rPr>
                <w:rFonts w:ascii="Times New Roman" w:hAnsi="Times New Roman"/>
                <w:sz w:val="20"/>
              </w:rPr>
              <w:t xml:space="preserve">We have a portfolio of products that are deployed alongside our CPUs,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Graphics Processing Units.</w:t>
            </w:r>
            <w:r>
              <w:rPr>
                <w:rFonts w:ascii="Times New Roman" w:hAnsi="Times New Roman"/>
                <w:sz w:val="20"/>
              </w:rPr>
              <w:t xml:space="preserve"> We offer a family of GPU products providing an optimal visual experience across a wide range of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System IP. </w:t>
            </w:r>
            <w:r>
              <w:rPr>
                <w:rFonts w:ascii="Times New Roman" w:hAnsi="Times New Roman"/>
                <w:sz w:val="20"/>
              </w:rPr>
              <w:t xml:space="preserve">Complementary design components that enable designers to create high-performance, power-efficient, reliable, and secure chips.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Compute Platform Products.</w:t>
            </w:r>
            <w:r>
              <w:rPr>
                <w:rFonts w:ascii="Times New Roman" w:hAnsi="Times New Roman"/>
                <w:sz w:val="20"/>
              </w:rPr>
              <w:t xml:space="preserve"> Arms CPU, GPU, and System IP products integrate into a foundational compute platform optimized for a specific end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Development Tools and Software.</w:t>
            </w:r>
            <w:r>
              <w:rPr>
                <w:rFonts w:ascii="Times New Roman" w:hAnsi="Times New Roman"/>
                <w:sz w:val="20"/>
              </w:rPr>
              <w:t xml:space="preserve"> Our tools and software support the development and deployment of our offerings.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continue to expand the scope of our product offerings, investing in more holistic, end-market optimized designs, expanding beyond individual design IP to providing subsystem designs. Given the complexities of developing chips using the most advanced manufacturing processes, we are making significant investments to better support the increasing number of OEMs looking to develop their own customized chips.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cultivated a broad ecosystem of third-party hardware and software partners to support our customers. Our partners include leading semiconductor technology suppliers, including foundries (such as Global Foundries, Intels Foundry Services business, TSMC and UMC) and EDA vendors (such as Cadence, Synopsys and Siemens). We also invest in our software ecosystem and work closely with firmware and operating system vendors (such as Amazon Linux, Canonical, Google, Microsoft, RedHat, VMware and Wind River), game engine vendors (such as Unity and Epic Games), software tool providers (such as Green Hills, IAR and Lauterbach), and application software developers (such as Adobe, EA, King and Microsoft). </w:t>
      </w:r>
    </w:p>
    <w:p>
      <w:pPr>
        <w:pStyle w:val="TextBody"/>
        <w:bidi w:val="0"/>
        <w:spacing w:before="240" w:after="0"/>
        <w:jc w:val="left"/>
        <w:rPr>
          <w:rFonts w:ascii="Times New Roman" w:hAnsi="Times New Roman"/>
          <w:sz w:val="20"/>
        </w:rPr>
      </w:pPr>
      <w:r>
        <w:rPr>
          <w:rFonts w:ascii="Times New Roman" w:hAnsi="Times New Roman"/>
          <w:sz w:val="20"/>
        </w:rPr>
        <w:t xml:space="preserve">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primary customer benefits of our solution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Ability to Optimize for Performance, Power and Area (PPA)</w:t>
            </w:r>
            <w:r>
              <w:rPr>
                <w:rFonts w:ascii="Times New Roman" w:hAnsi="Times New Roman"/>
                <w:i/>
                <w:sz w:val="20"/>
              </w:rPr>
              <w:t xml:space="preserve">. </w:t>
            </w:r>
            <w:r>
              <w:rPr>
                <w:rFonts w:ascii="Times New Roman" w:hAnsi="Times New Roman"/>
                <w:sz w:val="20"/>
              </w:rPr>
              <w:t xml:space="preserve">Arms flexible and modular design IP enables customers to build chips optimized 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Alignment with the Semiconductor Industrys Technology Roadmap</w:t>
            </w:r>
            <w:r>
              <w:rPr>
                <w:rFonts w:ascii="Times New Roman" w:hAnsi="Times New Roman"/>
                <w:i/>
                <w:sz w:val="20"/>
              </w:rPr>
              <w:t>.</w:t>
            </w:r>
            <w:r>
              <w:rPr>
                <w:rFonts w:ascii="Times New Roman" w:hAnsi="Times New Roman"/>
                <w:sz w:val="20"/>
              </w:rPr>
              <w:t xml:space="preserve"> As leading-edge manufacturing processes continue to progress towards 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to provide processor products that not only optimize for power and performance, but also accelerate time to market for our customers. In addition, through our deep customer and partner relationships, we have unique visibility into the future requirements of end markets as far as 10 years out, which informs the development of our products to ensure that our products meet or exceed future market needs.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Reduced Design Risk and Cost.</w:t>
            </w:r>
            <w:r>
              <w:rPr>
                <w:rFonts w:ascii="Times New Roman" w:hAnsi="Times New Roman"/>
                <w:sz w:val="20"/>
              </w:rPr>
              <w:t xml:space="preserve"> Our solution allows customers to build optimized chips, while reducing their design execution risk and their internal development costs. We generally expect to license our products to multiple customers, enabling us to completely cover the cost of developing new Arm products by charging each licensee only a portion of the total development costs. We invest significant time, resources and effort in the design and verification of each processor and work closely with our partners to ensure a standard of excellence in the processor products we deliver to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Incorporation of AI and ML Acceleration in Every Processor We Design.</w:t>
            </w:r>
            <w:r>
              <w:rPr>
                <w:rFonts w:ascii="Times New Roman" w:hAnsi="Times New Roman"/>
                <w:sz w:val="20"/>
              </w:rPr>
              <w:t xml:space="preserve"> Using an AI or ML algorithm is just another way of programming the software needed to run a chip, and we expect that AI and ML algorithms will complement the software used by most chips in the future, from high-end super computers to tiny, remote sensors. Arm processors run AI and ML workloads, and every smartphone currently in the market efficiently runs AI inference applications, such as voice recognition and applying filters to digital images. To ensure that software developers can efficiently run the AI and ML workloads, each generation of our processors is designed to accelerate key parts of algorithms that will be used in future applications.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We define our TAM to include all chips that can contain a processor and, therefore, our TAM includes the main controller chips in smartphones, PCs, digital TVs, servers, vehicles and networking equipment. Our TAM excludes chips that are unlikely to contain a processor, such as memory and analog chips. </w:t>
      </w:r>
    </w:p>
    <w:p>
      <w:pPr>
        <w:pStyle w:val="TextBody"/>
        <w:bidi w:val="0"/>
        <w:spacing w:before="240" w:after="0"/>
        <w:jc w:val="left"/>
        <w:rPr>
          <w:rFonts w:ascii="Times New Roman" w:hAnsi="Times New Roman"/>
          <w:sz w:val="20"/>
        </w:rPr>
      </w:pPr>
      <w:r>
        <w:rPr>
          <w:rFonts w:ascii="Times New Roman" w:hAnsi="Times New Roman"/>
          <w:sz w:val="20"/>
        </w:rPr>
        <w:t xml:space="preserve">For the calendar year ended December 31, 2022, we estimate that our TAM was approximately $202.5 billion and we forecast that our TAM will grow at a CAGR of 6.8% to approximately $246.6 billion by the end of the calendar year ending December 31, 2025. We estimate that the aggregate value of chips containing Arm technology was approximately $98.9 billion in the calendar year ended December 31, 2022, representing an approximate 48.9% market share as compared to an approximate 42.3% market share as of December 31, 2020. We estimate that our royalty revenue as of December 31, 2022 represented approximately 1.7% of the industry TAM containing Arm-based chips. We expect that the cost and complexity of chip design will continue to increase, and that we will be able to contribute a greater proportion of the technology included in each chip, resulting in our royalties comprising a greater proportion of each chips total value. Our calculation of TAM is based on a combination of third-party sources, customer reports and our own internal assessments and judgment.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Mobile Applications Processor </w:t>
      </w:r>
    </w:p>
    <w:p>
      <w:pPr>
        <w:pStyle w:val="TextBody"/>
        <w:bidi w:val="0"/>
        <w:spacing w:before="120" w:after="0"/>
        <w:jc w:val="left"/>
        <w:rPr>
          <w:rFonts w:ascii="Times New Roman" w:hAnsi="Times New Roman"/>
          <w:sz w:val="20"/>
        </w:rPr>
      </w:pPr>
      <w:r>
        <w:rPr>
          <w:rFonts w:ascii="Times New Roman" w:hAnsi="Times New Roman"/>
          <w:sz w:val="20"/>
        </w:rPr>
        <w:t xml:space="preserve">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 expect the mobile applications processor market to grow from approximately $29.9 billion in the calendar year ended December 31, 2022 to approximately $36.0 billion in the calendar year ending December 31, 2025, representing a CAGR of 6.4% over that period. We have maintained market share in the mobile applications processor market of greater than 99% for many years, by virtue of all key mobile operating systems, including Android, depending on Arm processors. </w:t>
      </w:r>
    </w:p>
    <w:p>
      <w:pPr>
        <w:pStyle w:val="TextBody"/>
        <w:bidi w:val="0"/>
        <w:spacing w:before="240" w:after="0"/>
        <w:jc w:val="left"/>
        <w:rPr>
          <w:rFonts w:ascii="Times New Roman" w:hAnsi="Times New Roman"/>
          <w:sz w:val="20"/>
        </w:rPr>
      </w:pPr>
      <w:r>
        <w:rPr>
          <w:rFonts w:ascii="Times New Roman" w:hAnsi="Times New Roman"/>
          <w:sz w:val="20"/>
        </w:rPr>
        <w:t xml:space="preserve">We expect the value of the market for mobile applications processors to continue to grow, particularly in light of several smartphone usage trends that are increasing the need for high-performance processing capabilities: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5G Modems</w:t>
            </w:r>
            <w:r>
              <w:rPr>
                <w:rFonts w:ascii="Times New Roman" w:hAnsi="Times New Roman"/>
                <w:sz w:val="20"/>
              </w:rPr>
              <w:t xml:space="preserve">: Many smartphones are now built with 5G technology, which enables new data-intensive applications for the smartphone, driving the need for even greater performance while maintaining or improving energy efficiency to address the thermal constraints of small form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Mobile Gaming</w:t>
            </w:r>
            <w:r>
              <w:rPr>
                <w:rFonts w:ascii="Times New Roman" w:hAnsi="Times New Roman"/>
                <w:sz w:val="20"/>
              </w:rPr>
              <w:t xml:space="preserve">: According to International Data Corporation (IDC), mobile gaming represented 61% of the overall gaming market in 2022. A number of the latest smartphones include Arms latest GPU, which makes game graphics more realistic and immersive.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AI and ML</w:t>
            </w:r>
            <w:r>
              <w:rPr>
                <w:rFonts w:ascii="Times New Roman" w:hAnsi="Times New Roman"/>
                <w:sz w:val="20"/>
              </w:rPr>
              <w:t xml:space="preserve">: Emerging AI and ML workloads drive many apps and games, and Armv9-based smartphones have additional instructions to accelerate AI and ML functionality.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Mobile Chips </w:t>
      </w:r>
    </w:p>
    <w:p>
      <w:pPr>
        <w:pStyle w:val="TextBody"/>
        <w:bidi w:val="0"/>
        <w:spacing w:before="120" w:after="0"/>
        <w:jc w:val="left"/>
        <w:rPr>
          <w:rFonts w:ascii="Times New Roman" w:hAnsi="Times New Roman"/>
          <w:sz w:val="20"/>
        </w:rPr>
      </w:pPr>
      <w:r>
        <w:rPr>
          <w:rFonts w:ascii="Times New Roman" w:hAnsi="Times New Roman"/>
          <w:sz w:val="20"/>
        </w:rPr>
        <w:t xml:space="preserve">Mobile phones contain many chips beyond the main applications processor, including the modem, Wi-Fi, Bluetooth and NFC connectivity chips, GPS chips, touchscreen controllers, power management chips, camera chips, audio chips and more, which we refer to collectively as the other mobile chips market. We expect the other mobile chips market to remain relatively flat at approximately $17.6 billion in the calendar year ended December 31, 2022 and approximately $17.5 billion in the calendar year ending December 31, 2025, representing a CAGR of (0.2)% over that period. The market share of Arm-based chips in the other mobile chips market varies by device and is generally higher in chips that run more software (such as modem and connectivity chips) and is lower in chips that require less software (such as power management chips).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Consumer Electronics </w:t>
      </w:r>
    </w:p>
    <w:p>
      <w:pPr>
        <w:pStyle w:val="TextBody"/>
        <w:bidi w:val="0"/>
        <w:spacing w:before="120" w:after="0"/>
        <w:jc w:val="left"/>
        <w:rPr>
          <w:rFonts w:ascii="Times New Roman" w:hAnsi="Times New Roman"/>
          <w:sz w:val="20"/>
        </w:rPr>
      </w:pPr>
      <w:r>
        <w:rPr>
          <w:rFonts w:ascii="Times New Roman" w:hAnsi="Times New Roman"/>
          <w:sz w:val="20"/>
        </w:rPr>
        <w:t xml:space="preserve">CE includes products found in the home, such as digital TVs, tablets, laptops, XR headsets and wearables. We expect the CE chip market to grow from approximately $46.9 billion in the calendar year ended December 31, 2022 to approximately $53.2 billion in the calendar year ending December 31, 2025, representing a CAGR of 4.3% over that period. </w:t>
      </w:r>
    </w:p>
    <w:p>
      <w:pPr>
        <w:pStyle w:val="TextBody"/>
        <w:bidi w:val="0"/>
        <w:spacing w:before="240" w:after="0"/>
        <w:jc w:val="left"/>
        <w:rPr>
          <w:rFonts w:ascii="Times New Roman" w:hAnsi="Times New Roman"/>
          <w:sz w:val="20"/>
        </w:rPr>
      </w:pPr>
      <w:r>
        <w:rPr>
          <w:rFonts w:ascii="Times New Roman" w:hAnsi="Times New Roman"/>
          <w:sz w:val="20"/>
        </w:rPr>
        <w:t xml:space="preserve">The market share of Arm-based chips in consumer electronics is increasing as new product categories, such as smart speakers, XR headsets and laptops, adopt Arm products to achieve high performance without sacrificing efficiency. Laptops with Microsoft Windows and Google Chrome operating systems utilize Arm products. The adoption of smart wearables is expected to continue, with IDC projecting the number of wearables to grow at a CAGR of 4.7% between 2022 and 2027. Similarly, augmented reality and virtual reality hardware is reaching an inflection point, with IDC projecting the number of such hardware shipments to grow at a CAGR of 32.0% between 2022 and 2027.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Industrial IoT and Embedded </w:t>
      </w:r>
    </w:p>
    <w:p>
      <w:pPr>
        <w:pStyle w:val="TextBody"/>
        <w:bidi w:val="0"/>
        <w:spacing w:before="120" w:after="0"/>
        <w:jc w:val="left"/>
        <w:rPr>
          <w:rFonts w:ascii="Times New Roman" w:hAnsi="Times New Roman"/>
          <w:sz w:val="20"/>
        </w:rPr>
      </w:pPr>
      <w:r>
        <w:rPr>
          <w:rFonts w:ascii="Times New Roman" w:hAnsi="Times New Roman"/>
          <w:sz w:val="20"/>
        </w:rPr>
        <w:t xml:space="preserve">The industrial IoT and embedded semiconductor TAM includes chips used by a wide range of goods, including washing machines, thermostats, digital cameras, drones, sensors, surveillance cameras, manufacturing equipment, robotics, electric motor controllers and city infrastructure and building management equipment. IDC expects the total number of IoT connected devices to grow from approximately 37.6 billion in 2022 to approximately 49.1 billion by 2026. We expect the industrial IoT and embedded chip market to grow from approximately $41.5 billion in the calendar year ended December 31, 2022 to $50.5 billion in the calendar year ending December 31, 2025, representing a CAGR of 6.7% over that period. Our market share in the IoT and embedded chip market has grown from 58.4% as of December 31, 2020 to 64.5% as of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Many manufacturers and logistics companies are using advanced sensors and smart machines capable of capturing and analyzing data in real time to improve and automate industrial processes and logistics systems. Combining the data captured by sensors with AI and data analytics can result in improvements in manufacturing yield and system throughput. Our products are broadly applicable for sensors and embedded computers that require small, power efficient and smart processors.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Networking Equipment </w:t>
      </w:r>
    </w:p>
    <w:p>
      <w:pPr>
        <w:pStyle w:val="TextBody"/>
        <w:bidi w:val="0"/>
        <w:spacing w:before="120" w:after="0"/>
        <w:jc w:val="left"/>
        <w:rPr>
          <w:rFonts w:ascii="Times New Roman" w:hAnsi="Times New Roman"/>
          <w:sz w:val="20"/>
        </w:rPr>
      </w:pPr>
      <w:r>
        <w:rPr>
          <w:rFonts w:ascii="Times New Roman" w:hAnsi="Times New Roman"/>
          <w:sz w:val="20"/>
        </w:rPr>
        <w:t xml:space="preserve">Our networking equipment TAM includes chips deployed into wireless networking such as base-station equipment, enterprise Wi-Fi, and wired networking equipment such as routers and switches. According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IBISWorld, total internet traffic volume is expected to grow from 335 exabytes per month in 2022 to 580 exabytes per month in 2025, representing a CAGR of 20%, thereby increasing the need to deploy additional networking equipment.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is growing as more wired and wireless infrastructure is deployed, as much of the data consumed in the cloud is created at the edge and needs to be transmitted over networks to the data center for processing. We expect the networking equipment chip market to grow from approximately $17.2 billion in the calendar year ended December 31, 2022 to approximately $18.2 billion in the calendar year ending December 31, 2025, representing a CAGR of 1.8% over that period. Our market share in the networking equipment market has increased from 18.8% as of December 31, 2020 to 25.5% as of December 31, 2022. Arm is posed to accelerate market-share gains resulting from the deployment of 5G networks as infrastructure scales from fewer large cell towers covering a wide area to a large number of small cells providing high-speed coverage, with a single architecture across both large and small cells to allow for flexible deployment of software and workloads.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Cloud Compute </w:t>
      </w:r>
    </w:p>
    <w:p>
      <w:pPr>
        <w:pStyle w:val="TextBody"/>
        <w:bidi w:val="0"/>
        <w:spacing w:before="120" w:after="0"/>
        <w:jc w:val="left"/>
        <w:rPr>
          <w:rFonts w:ascii="Times New Roman" w:hAnsi="Times New Roman"/>
          <w:sz w:val="20"/>
        </w:rPr>
      </w:pPr>
      <w:r>
        <w:rPr>
          <w:rFonts w:ascii="Times New Roman" w:hAnsi="Times New Roman"/>
          <w:sz w:val="20"/>
        </w:rPr>
        <w:t xml:space="preserve">The cloud compute market includes the main server chips, DPUs, and SmartNICs used by CSPs to run their operations. These CSPs include Amazon AWS, Microsoft Azure, Google Cloud, Alibaba Cloud, Baidu, Inc., Tencent Holdings Ltd. and Oracle Corporation. We expect the cloud compute market to grow from approximately $17.9 billion in the calendar year ended December 31, 2022 to approximately $28.4 billion in the calendar year ending December 31, 2025, representing a CAGR of 16.6% over that period. The increase in cloud computing has been driven by the rapid increase in data traffic generated by consumers and enterprises globally and by the migration of enterprise workloads to the cloud. As a result, IDC predicts spending on cloud infrastructure to reach approximately 68% of total compute and storage infrastructure spend by 2027. As the volume of workloads continues to increase, CSPs are increasingly seeking custom processor solutions that can deliver improvements in performance per watt and total cost of ownership. </w:t>
      </w:r>
    </w:p>
    <w:p>
      <w:pPr>
        <w:pStyle w:val="TextBody"/>
        <w:bidi w:val="0"/>
        <w:spacing w:before="240" w:after="0"/>
        <w:jc w:val="left"/>
        <w:rPr>
          <w:rFonts w:ascii="Times New Roman" w:hAnsi="Times New Roman"/>
          <w:sz w:val="20"/>
        </w:rPr>
      </w:pPr>
      <w:r>
        <w:rPr>
          <w:rFonts w:ascii="Times New Roman" w:hAnsi="Times New Roman"/>
          <w:sz w:val="20"/>
        </w:rPr>
        <w:t xml:space="preserve">Arm-based chips have been gaining market share as CSPs, such as Amazon and Alibaba, have started to deploy Arm products in their own in-house designed chips used in their data centers, and as other CSPs, such as Microsoft and Oracle, start to deploy chips designed by Arm licensees, such as Ampere. As a result, we expect our market share of cloud compute to grow significantly faster than the overall cloud compute market. Our market share in the cloud compute market has grown from 7.2% as of December 31, 2020 to 10.1% as of December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Other Infrastructure refers to the technological components and systems that support various aspects of computing, networking, and data processing and include chips deployed into HPC systems, enterprise servers, and edge networking equipment. We expect the other infrastructure market to grow from approximately $12.7 billion in the calendar year ended December 31, 2022 to approximately $13.7 billion in the calendar year ending December 31, 2025, representing a CAGR of 2.7% over that period. Our market share in the other infrastructure market has grown from 9.1% as of December 31, 2020 to 16.2% as of December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Automotive </w:t>
      </w:r>
    </w:p>
    <w:p>
      <w:pPr>
        <w:pStyle w:val="TextBody"/>
        <w:bidi w:val="0"/>
        <w:spacing w:before="120" w:after="0"/>
        <w:jc w:val="left"/>
        <w:rPr>
          <w:rFonts w:ascii="Times New Roman" w:hAnsi="Times New Roman"/>
          <w:sz w:val="20"/>
        </w:rPr>
      </w:pPr>
      <w:r>
        <w:rPr>
          <w:rFonts w:ascii="Times New Roman" w:hAnsi="Times New Roman"/>
          <w:sz w:val="20"/>
        </w:rPr>
        <w:t xml:space="preserve">Our automotive TAM includes all chips with processors within vehicles. This includes chips used for IVI, ADAS, engine management, and body and chassis control. We expect the automotive chip market to grow from approximately $18.8 billion in the calendar year ended December 31, 2022 to approximately $29.1 billion in the calendar year ending December 31, 2025, representing a CAGR of 15.7% over that period. Today, our market share in the automotive market is highest in more technologically advanced functional areas such as IVI and ADAS. Our market share in the automotive market has grown from 33.0% as of December 31, 2020 to 40.8% as of December 31, 2022. Our total automotive royalty revenue grew 36% in the fiscal year ended March 31, 2023, as compared to the previous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automotive TAM is expected to increase as ADAS, electrification, IVI, and eventually autonomous driving, accelerate requirements for higher compute performance in newly manufactured vehicles. At the same time, automakers must operate with strict constraints on power consumption, heat dissipation, and packaging,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prioritizing functional safety. Furthermore, automotive electronics are transitioning from hardware-defined to software-defined architecture and compute, enabling new services and features such as ADAS to be continuously improved via over-the-air updates. Gartner estimates that by 2029, software-defined vehicles will surpass 90% of total unit production, up from 3% in 2021. Many of these trends mirror the evolution of the smartphone and, therefore, we believe that we are well positioned to outpace the growth of the overall automotive market.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Model and Customers </w:t>
      </w:r>
    </w:p>
    <w:p>
      <w:pPr>
        <w:pStyle w:val="TextBody"/>
        <w:bidi w:val="0"/>
        <w:spacing w:before="120" w:after="0"/>
        <w:jc w:val="left"/>
        <w:rPr>
          <w:rFonts w:ascii="Times New Roman" w:hAnsi="Times New Roman"/>
          <w:sz w:val="20"/>
        </w:rPr>
      </w:pPr>
      <w:r>
        <w:rPr>
          <w:rFonts w:ascii="Times New Roman" w:hAnsi="Times New Roman"/>
          <w:sz w:val="20"/>
        </w:rPr>
        <w:t xml:space="preserve">Our open and flexible business model provides access to high-quality CPU products for a wide range of potential customer types and end markets. We license our products to semiconductor companies, OEMs, and other organizations to design their chips. Our customers license our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 Total Access </w:t>
      </w:r>
    </w:p>
    <w:p>
      <w:pPr>
        <w:pStyle w:val="TextBody"/>
        <w:bidi w:val="0"/>
        <w:spacing w:before="120" w:after="0"/>
        <w:jc w:val="left"/>
        <w:rPr>
          <w:rFonts w:ascii="Times New Roman" w:hAnsi="Times New Roman"/>
          <w:sz w:val="20"/>
        </w:rPr>
      </w:pPr>
      <w:r>
        <w:rPr>
          <w:rFonts w:ascii="Times New Roman" w:hAnsi="Times New Roman"/>
          <w:sz w:val="20"/>
        </w:rPr>
        <w:t xml:space="preserve">Arm Total Access provides access to the widest range of Arm products and is intended for customers who use Arm products in chips for multiple end markets. An Arm Total Access licensee pays an annual fee determined at execution of the agreement, and, in return, the licensee gains access to our portfolio of products, including new products that are introduced during the term of the license. As of March 31, 2023, we had 18 Arm Total Access agreements with leading CSPs, microcontroller chip vendors, and networking chip vendors, including approximately half of our top 20 customers. Arm Total Access customers include Amazon AWS, Infineon Technologies AG, Marvell Technology, Inc., Microsoft, NXP Semiconductors N.V., Realtek Semiconductor Corp, STMicroelectronics N.V. and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 Flexible Access </w:t>
      </w:r>
    </w:p>
    <w:p>
      <w:pPr>
        <w:pStyle w:val="TextBody"/>
        <w:bidi w:val="0"/>
        <w:spacing w:before="120" w:after="0"/>
        <w:jc w:val="left"/>
        <w:rPr>
          <w:rFonts w:ascii="Times New Roman" w:hAnsi="Times New Roman"/>
          <w:sz w:val="20"/>
        </w:rPr>
      </w:pPr>
      <w:r>
        <w:rPr>
          <w:rFonts w:ascii="Times New Roman" w:hAnsi="Times New Roman"/>
          <w:sz w:val="20"/>
        </w:rPr>
        <w:t xml:space="preserve">Arm Flexible Access is a low cost entry model for smaller companies and provides access to some of our most popular products for consumer electronics and embedded computing. An Arm Flexible Access licensee pays a nominal fee per year and, in return, gains access to more than 80 components, including our Cortex-M and Cortex-R family of CPUs and many of the most widely deployed Cortex-A CPUs and our System IP products. Although customers are free to experiment with products contained in the Arm Flexible Access package, they must pay a single use license fee for any products they include in a final chip design, and such license fee is based on the specific products incorporated in that final chip design. As of March 31, 2023, we had 203 Arm Flexible Access agreements, including many smaller companies and start-ups who are still developing their first Arm-based chip. </w:t>
      </w:r>
    </w:p>
    <w:p>
      <w:pPr>
        <w:pStyle w:val="TextBody"/>
        <w:bidi w:val="0"/>
        <w:spacing w:before="240" w:after="0"/>
        <w:jc w:val="left"/>
        <w:rPr>
          <w:rFonts w:ascii="Times New Roman" w:hAnsi="Times New Roman"/>
          <w:sz w:val="20"/>
        </w:rPr>
      </w:pPr>
      <w:r>
        <w:rPr>
          <w:rFonts w:ascii="Times New Roman" w:hAnsi="Times New Roman"/>
          <w:sz w:val="20"/>
        </w:rPr>
        <w:t xml:space="preserve">Both Arm Total Access and Arm Flexible Access agreements provide our customers with access to a broad portfolio of Arm products, which changes the relationship between Arm and our customer from a sales engagement to a design partnership. Once the Arm Total Access or Arm Flexible Access is signed, our focus moves to design wins, helping our customer maximize the value of the Arm products that they have licensed.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Technology License Agreements </w:t>
      </w:r>
    </w:p>
    <w:p>
      <w:pPr>
        <w:pStyle w:val="TextBody"/>
        <w:bidi w:val="0"/>
        <w:spacing w:before="120" w:after="0"/>
        <w:jc w:val="left"/>
        <w:rPr>
          <w:rFonts w:ascii="Times New Roman" w:hAnsi="Times New Roman"/>
          <w:sz w:val="20"/>
        </w:rPr>
      </w:pPr>
      <w:r>
        <w:rPr>
          <w:rFonts w:ascii="Times New Roman" w:hAnsi="Times New Roman"/>
          <w:sz w:val="20"/>
        </w:rPr>
        <w:t xml:space="preserve">A Technology License Agreement has been the primary means for a customer to access Arm products for many years. To gain access to Arm products under a TLA, a customer pays a fixed license fee to access a single CPU product or other technology design. The license fee depends on which Arm products are being licensed, the term during which the licensee is able to design using our products covered by the license (manufacturing rights are typically perpetual), and the number of chip products of the licensee that may use our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we have deepened our relationships with our customers, we have started to migrate them to more holistic license agreements, including Arm Total Access and Arm Flexible Access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Architecture Licenses </w:t>
      </w:r>
    </w:p>
    <w:p>
      <w:pPr>
        <w:pStyle w:val="TextBody"/>
        <w:bidi w:val="0"/>
        <w:spacing w:before="120" w:after="0"/>
        <w:jc w:val="left"/>
        <w:rPr>
          <w:rFonts w:ascii="Times New Roman" w:hAnsi="Times New Roman"/>
          <w:sz w:val="20"/>
        </w:rPr>
      </w:pPr>
      <w:r>
        <w:rPr>
          <w:rFonts w:ascii="Times New Roman" w:hAnsi="Times New Roman"/>
          <w:sz w:val="20"/>
        </w:rPr>
        <w:t xml:space="preserve">A very small number of companies want to design customized Arm CPUs for their next-generation chips. For these companies, we can provide an architecture license which allows the licensee to develop their own CPU design that is compliant with the Arm ISA. In addition to the architecture license fee, the licensee agrees to pay a royalty on every chip that contains the Arm-compliant design. As the creation of an optimized CPU is very costly and time consuming, architecture licensees often also license Arm CPU products to use either as a complementary processor alongside the licensees Arm-compliant CPU design, or in other chips where the licensees own design is unsuitable. We expect the number of new licensees for this technology to diminish over time as the effort required on their part to provide the customization often does not provide a reasonable return on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 licenses can yield royalties for many years </w:t>
      </w:r>
    </w:p>
    <w:p>
      <w:pPr>
        <w:pStyle w:val="TextBody"/>
        <w:bidi w:val="0"/>
        <w:spacing w:before="120" w:after="0"/>
        <w:jc w:val="left"/>
        <w:rPr>
          <w:rFonts w:ascii="Times New Roman" w:hAnsi="Times New Roman"/>
          <w:sz w:val="20"/>
        </w:rPr>
      </w:pPr>
      <w:r>
        <w:rPr>
          <w:rFonts w:ascii="Times New Roman" w:hAnsi="Times New Roman"/>
          <w:sz w:val="20"/>
        </w:rPr>
        <w:t xml:space="preserve">Regardless of the license model a customer uses, we receive a per-unit royalty fee on substantially every chip shipped. Because each chip may ship for many years, and each Arm CPU can be reused in new products as new applications emerge, these licensing agreements help to ensure a long tail of recurring royalty revenues, which provide significant visibility into future revenue streams. Arm is still collecting royalty revenues for products that were first developed and licensed in the early 1990s. For example, based on royalty revenue information provided to us by customers in quarterly royalty reports, approximately 46% of our royalty revenue for the fiscal year ended March 31, 2023 came from products released between 1990 to 2012. Our recurring royalties support Arms revenue growth into the future and provide enhanced performance visibility and predictability, as new products and architectures are launched.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Competitive Strengths </w:t>
      </w:r>
    </w:p>
    <w:p>
      <w:pPr>
        <w:pStyle w:val="TextBody"/>
        <w:bidi w:val="0"/>
        <w:spacing w:before="120" w:after="0"/>
        <w:jc w:val="left"/>
        <w:rPr>
          <w:rFonts w:ascii="Times New Roman" w:hAnsi="Times New Roman"/>
          <w:sz w:val="20"/>
        </w:rPr>
      </w:pPr>
      <w:r>
        <w:rPr>
          <w:rFonts w:ascii="Times New Roman" w:hAnsi="Times New Roman"/>
          <w:sz w:val="20"/>
        </w:rPr>
        <w:t xml:space="preserve">We have enjoyed success for more than 30 years by providing market-leading technology, adapting our solution to changing market needs and building a software developer ecosystem unlike any other in history. Our competitive strengths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Technology Leadership with Proven Capabilities Across Markets</w:t>
            </w:r>
            <w:r>
              <w:rPr>
                <w:rFonts w:ascii="Times New Roman" w:hAnsi="Times New Roman"/>
                <w:b/>
                <w:sz w:val="20"/>
              </w:rPr>
              <w:t xml:space="preserve">. </w:t>
            </w:r>
            <w:r>
              <w:rPr>
                <w:rFonts w:ascii="Times New Roman" w:hAnsi="Times New Roman"/>
                <w:sz w:val="20"/>
              </w:rPr>
              <w:t xml:space="preserve">Arm CPU technology has been an industry leader for many years and continues to be the most widely deployed architecture globally. Since our inception, our customers have shipped more than 250 billion Arm-based chips, and we estimate that Arm had an approximate 48.9% market share by value in the calendar year ended December 31, 2022, up from approximately 39.7% in the calendar year ended December 31, 2014. Our products are used in virtually all smartphones, a majority of tablets and digital TVs, and a significant proportion of all chips with embedded processors. We have an established presence in the cloud market, working with many of the largest hyperscalers, including Amazon, Alibaba, Alphabet and Microsoft. In 2018, we entered the cloud compute market, and, as of December 31, 2022, we have grown our market share to approximately 10.1%. In the automotive market, we work with many of the leading suppliers, and we believe that, on average, each new vehicle produced in our fiscal year ended March 31, 2023 contained approximately 13 Arm-based chips. Our products deliver leading performance per watt and provides the flexibility to design custom chips, addressing the growing need for power-efficient compute capabilities. We believe that these factors, which have driven our success in the mobile and consumer electronics markets, are emerging as key factors in the automotive, cloud compute, networking equipment, and other growth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Worlds Most Extensive Ecosystem of Third-Party Software and Hardware Partners</w:t>
            </w:r>
            <w:r>
              <w:rPr>
                <w:rFonts w:ascii="Times New Roman" w:hAnsi="Times New Roman"/>
                <w:b/>
                <w:sz w:val="20"/>
              </w:rPr>
              <w:t xml:space="preserve">. </w:t>
            </w:r>
            <w:r>
              <w:rPr>
                <w:rFonts w:ascii="Times New Roman" w:hAnsi="Times New Roman"/>
                <w:sz w:val="20"/>
              </w:rPr>
              <w:t xml:space="preserve">Arm has the worlds largest ecosystem of third-party software and hardware partners, including chip design and verification tools vendors, advanced fabrication, operating system and application vendors, software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tools providers, and training and support services companies. As of March 31, 2023, more than 1,000 partner companies were invested in developing products that complement Arms technology, allowing Arm customers to get their products to market more efficiently with reduced cost, development time, and risk. The wide deployment of chips based on the Arm ISA provides software and tools companies with a large market to develop and sell their products into. As of March 31, 2023, there were more than 8 million apps running on Arm-based devices built by more than 15 million developers designing software for Arm-based systems. We estimate that, Arms engineers invested more than 10 million hours in creating the base software and tools for chips containing Armv8 processors, and that the developers have then spent another 1.5 billion hours creating their apps and software. We also estimate that Arm will be investing more than 30 million hours creating the base software and tools for Armv9 processors, which will enable the next generation of apps and software for Arm-based chips.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 Building the required software ecosystem around an architecture requires significant investment and can take decades. For instance, we started to invest in the technology and ecosystem for the server market in 2007, but it took over 10 years for Arm to start to gain share, given the lack of an existing hardware/software ecosystem at the start.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Deep Integration with Customers and Ecosystem Partners</w:t>
            </w:r>
            <w:r>
              <w:rPr>
                <w:rFonts w:ascii="Times New Roman" w:hAnsi="Times New Roman"/>
                <w:b/>
                <w:sz w:val="20"/>
              </w:rPr>
              <w:t xml:space="preserve">. </w:t>
            </w:r>
            <w:r>
              <w:rPr>
                <w:rFonts w:ascii="Times New Roman" w:hAnsi="Times New Roman"/>
                <w:sz w:val="20"/>
              </w:rPr>
              <w:t xml:space="preserve">We work closely with our customers and ecosystem partners to understand future industry trends and the evolution of end markets. We have worked in partnership with our top 10 customers by royalty revenue, for the fiscal year ended March 31, 2023, for an average of over 20 years. When a major semiconductor company licenses Arm products to deploy in their product roadmap, they are committing to use Arm products in multiple generations of their future chips. We believe that it is essential that we align with our customers on their development plans and engineering timeline, so that our products meet or exceed their requirements and are delivered at the right time in their chip development timeline. Because it can take two to three years to design a new Arm processor, and it can take another two to three years to develop a chip, this close relationship with our customers R&amp;D functions can provide us with unparalleled visibility into the product pipeline of our customers and, by extension, their customers and end markets. This requires us to not only work closely with our direct customers, but also with other elements of the ecosystem to understand and align product plans. Our collaborative relationships with partners in our extensive ecosystem, including companies that contribute design tools, manufacturing capabilities, software and other components, provide us with unique insights across the entire semiconductor industry, enabling us to invest in developing new products years, and sometimes up to a decade, before the products are deployed to end-users.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Efficient Model and Long-Term Visibility Enables Investment in Future Products.</w:t>
            </w:r>
            <w:r>
              <w:rPr>
                <w:rFonts w:ascii="Times New Roman" w:hAnsi="Times New Roman"/>
                <w:sz w:val="20"/>
              </w:rPr>
              <w:t xml:space="preserve"> Our business model provides significant flexibility to fund long-term investments in future products. We have a capital-light and people-focused model, with most of our investments directed at hiring and retaining engineers undertaking advanced research and development. With few exceptions, there are no direct costs associated with signing a technology license or in collecting a royalty, which enabled us, in the fiscal year ended March 31, 2023, to generate 96% gross margins and fund extensive investments in research and development. Arm incurs research and development investments today for the development of products that will be licensed in the future, with royalty fees to follow for years, and often decades,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Some products continue to generate royalty revenue even after 25 years following their initial development, and approximately 46% of royalty revenue received in the fiscal year ended March 31, 2023 came from products released between 1990 to 2012, based on royalty revenue information provided to us by customers in quarterly royalty reports.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We Satisfy our Customers Processor Design Needs in a Mutually Beneficial Way.</w:t>
            </w:r>
            <w:r>
              <w:rPr>
                <w:rFonts w:ascii="Times New Roman" w:hAnsi="Times New Roman"/>
                <w:sz w:val="20"/>
              </w:rPr>
              <w:t xml:space="preserve"> We invest extensively in creating leading products that can be used across 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 house.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World-Class R&amp;D Team with a Proven Track Record of Innovation. </w:t>
            </w:r>
            <w:r>
              <w:rPr>
                <w:rFonts w:ascii="Times New Roman" w:hAnsi="Times New Roman"/>
                <w:sz w:val="20"/>
              </w:rPr>
              <w:t xml:space="preserve">We are an engineering-first company, with 4,753 of our employees, or approximately 80% of our global employees, as of March 31, 2023, focused on research, design, and technical innovation. Our customers rely on us to deliver advanced technology, leveraging our extensive capabilities and scale across our CPU, GPU, systems, and platform products. Our culture encourages cross collaboration between teams and individuals, and we highly value collective effort. As a result of our unique reach and impact, we are able to attract and retain some of the brightest semiconductor engineers in the world. Our research and development team is prolific at developing new inventions, for which we seek patents to the greatest extent possible. As of March 31, 2023, we owned or co-owned a portfolio of approximately 6,800 issued patents and had approximately 2,700 patent applications pending worldwide, many of which are relevant to the key technologies used in many of the chips manufactured today.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Growth Strategies </w:t>
      </w:r>
    </w:p>
    <w:p>
      <w:pPr>
        <w:pStyle w:val="TextBody"/>
        <w:bidi w:val="0"/>
        <w:spacing w:before="120" w:after="0"/>
        <w:jc w:val="left"/>
        <w:rPr>
          <w:rFonts w:ascii="Times New Roman" w:hAnsi="Times New Roman"/>
          <w:sz w:val="20"/>
        </w:rPr>
      </w:pPr>
      <w:r>
        <w:rPr>
          <w:rFonts w:ascii="Times New Roman" w:hAnsi="Times New Roman"/>
          <w:sz w:val="20"/>
        </w:rPr>
        <w:t xml:space="preserve">We assess our investments through the lens of sustainable growth. Our research and development and new business initiatives are often tied to revenue streams five to ten years in the future, while our historical investments drive revenue and enable profitability and cash flow generation today. Key levers of our growth strategy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Gain or Maintain Share in Long-Term Growth Markets. </w:t>
            </w:r>
            <w:r>
              <w:rPr>
                <w:rFonts w:ascii="Times New Roman" w:hAnsi="Times New Roman"/>
                <w:sz w:val="20"/>
              </w:rPr>
              <w:t xml:space="preserve">We already have significant market share in some high-value markets, such as mobile applications processors, which enables us to invest in other growth opportunities. As of December 31, 2022, our market share in growth markets, including cloud computing, networking equipment, automotive and consumer electronics, was 10.1%, 25.5%, 40.8% and 32.3%, respectively. We believe that the increasing need for high-powered and energy-efficient computing, as well as our continued investments, will enable us to grow our market share in these segments. We are gaining share in cloud compute, as we provide CPU products that have leading performance per watt, and we provide CSPs with the flexibility to design their own chips to meet their specific needs more effectively, at a much lower cost than purchasing an off-the-shelf chip based on an alternative architecture. Additionally, the automotive market is being transformed through increasingly advanced vehicle software, infotainment, ADAS and eventually autonomous systems, which drives the need for more chips and more advanced chips in every vehicle. We already have a leading share of these new chips being integrated into vehicles today, and we believe we are well positioned to be the CPU architecture for vehicles of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Increase the Value of Arm Processors in Every Smart Device</w:t>
            </w:r>
            <w:r>
              <w:rPr>
                <w:rFonts w:ascii="Times New Roman" w:hAnsi="Times New Roman"/>
                <w:sz w:val="20"/>
              </w:rPr>
              <w:t xml:space="preserve">. As chip designs become more advanced and complex, we believe that our investments in additional functionality, higher performance, higher efficiency, and more specialized designs will allow us to deliver more value to our partners. For smartphones, we continue to increase our investments in CPU and GPU products to provide PC-like speed and graphics and all-day battery life. For the automotive market, our CPUs balance increasing performance with the constraints of energy consumption and heat dissipation, while also meeting the highest Automotive Safety Integrity Level standards required for ADAS and autonomous driving. For servers and high-end networking equipment, we are enabling market-leading core counts, such as in Amperes Altra Max and Alibabas Yitian 710 server processors, which both have 128 Arm CPU cores. These innovations enable us to license more advanced Arm products, and for our customers to implement Arm-based chips with multiple CPUs and more cores, all of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capture more value per chip. For example, a chip with an Arm CPU based on the latest Armv9 architecture and with eight cores, plus an Arm GPU, will typically have a much higher royalty rate than a chip with a dual-core Arm CPU core based on an older architecture. Our customers have only just started to ship chips based on the latest Armv9 technology, enabling natural expansion in our royalty per chip as the deployment of our latest technology accelerates.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Expand our System IP and SoC Offerings</w:t>
            </w:r>
            <w:r>
              <w:rPr>
                <w:rFonts w:ascii="Times New Roman" w:hAnsi="Times New Roman"/>
                <w:i/>
                <w:sz w:val="20"/>
              </w:rPr>
              <w:t xml:space="preserve">. </w:t>
            </w:r>
            <w:r>
              <w:rPr>
                <w:rFonts w:ascii="Times New Roman" w:hAnsi="Times New Roman"/>
                <w:sz w:val="20"/>
              </w:rPr>
              <w:t xml:space="preserve">To enable further improvements in performance and efficiency, we continue to develop a broader set of configurable systems IP offerings, including proven on-chip interconnect, security IP, memory controllers, and other design IP to be used with our processors, including the integration of multiple IP technologies into a subsystem and additional information to assist in fabrication. More recently, we have invested in a holistic, solution-focused approach to design, expanding beyond individual design IP elements to providing a more complete system. By delivering SoC solutions optimized for specific use cases, we can ensure that the entire system works together seamlessly to provide maximum performance and efficiency. At the same time, by designing an increasingly greater portion of the overall chip design, we are further reducing incremental development investment and risk borne by our customers while also enabling us to capture more value per device.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Invest in Next-Generation Technologies. </w:t>
            </w:r>
            <w:r>
              <w:rPr>
                <w:rFonts w:ascii="Times New Roman" w:hAnsi="Times New Roman"/>
                <w:sz w:val="20"/>
              </w:rPr>
              <w:t xml:space="preserve">We continuously evaluate emerging markets and technologies that may enable us to create more advanced products that bring more value to our customers and ecosystem. For example, we are leading the way in integrating AI and ML capabilities across all devices through our highly scalable architecture. All modern smartphones are AI and ML capable by virtue of their Arm processors, and we are increasingly working with companies in other markets, such as consumer electronics and automotive, to deploy AI-based solutions. For the networking, cloud and data center markets, we continue to add AI-specific features to our CPUs to enable market-leading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Benefit from the Flexibility of Arm Products</w:t>
            </w:r>
            <w:r>
              <w:rPr>
                <w:rFonts w:ascii="Times New Roman" w:hAnsi="Times New Roman"/>
                <w:i/>
                <w:sz w:val="20"/>
              </w:rPr>
              <w:t xml:space="preserve">. </w:t>
            </w:r>
            <w:r>
              <w:rPr>
                <w:rFonts w:ascii="Times New Roman" w:hAnsi="Times New Roman"/>
                <w:sz w:val="20"/>
              </w:rPr>
              <w:t xml:space="preserve">Each Arm processor provides a certain compute capability within a power budget and, as such, can be used in multiple different devices that have similar compute requirements. An Arm customer who may have designed a processor for one application may, in the future, find additional applications that can utilize this technology. Consequently, Arm products may be used in new products for new end markets for many years or in some cases decades. For example, a processor originally licensed to go into a chip for a smartphone, can also be used in a chip for a tablet, digital TV, or smart speaker. We expect this trend to continue with growing proliferation of devices and use cases.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Expand Access to Arm Products Through our Flexible Business Model.</w:t>
            </w:r>
            <w:r>
              <w:rPr>
                <w:rFonts w:ascii="Times New Roman" w:hAnsi="Times New Roman"/>
                <w:sz w:val="20"/>
              </w:rPr>
              <w:t xml:space="preserve"> We are focused on making Arm products as easy as possible to access and to integrate into a chip design. We will continue to expand our flexible engagement model to provide all companies with easy access to Arm products, including low and no-cost offerings for startups. In recent years and with a growing portfolio of new products, we have started to move customers onto product portfolio licenses, where each customer will gain access to a broad portfolio of Arm products. Our business model makes licensing our products much easier by allowing our customers to quickly gain access to Arm products. We believe our business model will encourage customer experimentation and result in a broader range of Arm features being used. Our business model is also designed to provide better alignment between pricing and the value delivered by us across low- and high-end devices.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Cybersecurity and Data Privacy </w:t>
      </w:r>
    </w:p>
    <w:p>
      <w:pPr>
        <w:pStyle w:val="TextBody"/>
        <w:bidi w:val="0"/>
        <w:spacing w:before="120" w:after="0"/>
        <w:jc w:val="left"/>
        <w:rPr>
          <w:rFonts w:ascii="Times New Roman" w:hAnsi="Times New Roman"/>
          <w:sz w:val="20"/>
        </w:rPr>
      </w:pPr>
      <w:r>
        <w:rPr>
          <w:rFonts w:ascii="Times New Roman" w:hAnsi="Times New Roman"/>
          <w:sz w:val="20"/>
        </w:rPr>
        <w:t xml:space="preserve">We are focused on delivering to our customers and third-party partners a secure environment that supports innovation and the development of our products while reinforcing our position as a trusted partner in the ecosystem. We collect, store and otherwise process certain personal, confidential, and proprietary information in the ordinary course of our business, including trade secrets, employee data and other sensitive data. In addition, our third-party partners and customers regularly provide us with highly sensitive information, including details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about their future product plans and roadmaps. To protect this information, our dedicated Enterprise Security team works on an ongoing basis to develop our understanding of active threats targeting Arm and its partner ecosystem and effectively leverages this intelligence using security analytics and automated testing to improve our situational awareness and defense. Our security model and controls are based on international standards and industry best practices, such as the National Institute of Standards and Technologys cyber security framework. </w:t>
      </w:r>
    </w:p>
    <w:p>
      <w:pPr>
        <w:pStyle w:val="TextBody"/>
        <w:bidi w:val="0"/>
        <w:spacing w:before="240" w:after="0"/>
        <w:jc w:val="left"/>
        <w:rPr>
          <w:rFonts w:ascii="Times New Roman" w:hAnsi="Times New Roman"/>
          <w:sz w:val="20"/>
        </w:rPr>
      </w:pPr>
      <w:r>
        <w:rPr>
          <w:rFonts w:ascii="Times New Roman" w:hAnsi="Times New Roman"/>
          <w:sz w:val="20"/>
        </w:rPr>
        <w:t xml:space="preserve">We also have a dedicated privacy team that builds and executes our privacy program, which includes working with our legal team to conduct privacy and impact assessments and reviews, and support data protection and privacy-related requests. We continually monitor the regulatory environment and from time to time make additional changes to our services and business practices to enable us and our customers to comply with applicable laws, regulations, rules, standards, and other obligations. See Risk FactorsRisks Relating to Government Regulation and Legal ComplianceActual or perceived failures to satisfy data protection, security, privacy or other laws, regulations, rules, standards and other government- and industry-specific obligations could adversely affect our business, results of operations, financial condition and reputation.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architecture and CPU designs are the leading independent processor technologies licensed to other companies. In addition, our established worldwide network of partners and customers affords us broad presence, which paired with an unparalleled software developer ecosystem gives us an advantage over other companies that license processor-related technology. Our products are used in nearly all smartphones, a majority of tablets and digital TVs, and a significant proportion of all chips with embedded processors. In addition, we believe that our extensive ecosystem and the high barriers to entry into certain of our end markets enhance our competitive position. The breadth of our ecosystem creates a virtuous cycle that benefits our customers and closely integrates us into their design cycle. We have deep relationships with our customers and ecosystem partners, which provide unique visibility across the entire semiconductor industry. </w:t>
      </w:r>
    </w:p>
    <w:p>
      <w:pPr>
        <w:pStyle w:val="TextBody"/>
        <w:bidi w:val="0"/>
        <w:spacing w:before="240" w:after="0"/>
        <w:jc w:val="left"/>
        <w:rPr>
          <w:rFonts w:ascii="Times New Roman" w:hAnsi="Times New Roman"/>
          <w:sz w:val="20"/>
        </w:rPr>
      </w:pPr>
      <w:r>
        <w:rPr>
          <w:rFonts w:ascii="Times New Roman" w:hAnsi="Times New Roman"/>
          <w:sz w:val="20"/>
        </w:rPr>
        <w:t xml:space="preserve">We compete based on a variety of factors, including price, performance, product quality, software availability, marketing and distribution capability, customer support, name recognition and financial strength. Further, given our reliance on our partners and customers, our competitive position is dependent on our partners and customers competitive positions. In addition, our partners and customers do not license our products exclusively; rather, several of our partners and customers also design, develop, manufacture and market processors based on non-Arm based architectures as well as develop their own Physical IP in-house. Our partners and customers compete with each other and with us in various applications. The level of competition and the nature of the competitor generally varies based on the end market. For established markets where there is an incumbent architecture with a supporting ecosystem, it can be difficult for a new architecture to displace existing architectures and, therefore, to gain market share. For example, we have made significant progress and have established a large market share in markets such as smartphones, consumer electronics and IoT. We face competition primarily from other architectures like x86 and RISC-V in many of these markets. Furthermore, certain semiconductor companies, including some of our existing customers, have designed or are in the process of designing their own architectures in markets such as smartphone application processors, other mobile chips, consumer electronics, IoT and embedded computing, networking equipment, automotive, and cloud compute. </w:t>
      </w:r>
    </w:p>
    <w:p>
      <w:pPr>
        <w:pStyle w:val="TextBody"/>
        <w:bidi w:val="0"/>
        <w:spacing w:before="240" w:after="0"/>
        <w:jc w:val="left"/>
        <w:rPr>
          <w:rFonts w:ascii="Times New Roman" w:hAnsi="Times New Roman"/>
          <w:sz w:val="20"/>
        </w:rPr>
      </w:pPr>
      <w:r>
        <w:rPr>
          <w:rFonts w:ascii="Times New Roman" w:hAnsi="Times New Roman"/>
          <w:sz w:val="20"/>
        </w:rPr>
        <w:t xml:space="preserve">The markets for our products are intensely competitive and are characterized by rapid technological change. These changes result in frequent product introductions, short product life cycles and increased product capabilities typically representing significant price and performance improvements. We face significant competition from established technologies such as the x86 architecture, as well as from free, open-source technologies, including the RISC-V architecture. Many of our customers are also major supporters of the RISC-V architecture and related technologies. If the RISC-V architecture and related technologies continue to be developed and market support for RISC-V increases, our customers may choose to utilize this free, open-source architecture instead of our products. The x86 and RISC-V architectures have business models that are different from ours and may be more attractive to our customers. Our current and potential competitors also may establish cooperative relationships among themselves or with third parties that may further enhance their resources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strengthen their positions within these markets or they may be subject to more favorable regulatory regimes. For example, in August 2023, a group of our customers and other competitors announced a joint venture aimed at accelerating the adoption of RISC-V. In addition, some semiconductor companies, including certain of our customers, have developed their own proprietary architecture for specific markets or applications.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FactorsRisks Relating to Our Business and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Sales and Partner Enablement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we have the industrys largest ecosystem of third-party software and hardware partners, including advanced manufacturing, OS and application developers, software tools vendors, and training and support services. The availability of our marketing, sales and support services to our ecosystem is critical to the success of our products and allows us to create and maintain deep customer and partner relationships, through which we have visibility into the future requirements of the end markets for our products. As of March 2023, we had over 650 employees across the world dedicated to marketing, sales, and partner enablement. We market our products directly to our semiconductor partners and customers from our offices across the world. Our CPUs and related technologies are marketed on the basis of a number of factors, including performance, power consumption, price, speed-to-market, support and maintenance offerings and the availability of third-party support. We also capitalize on the extensive marketing and distribution networks of our semiconductor partners who market and distribute our products directly to systems companies. </w:t>
      </w:r>
    </w:p>
    <w:p>
      <w:pPr>
        <w:pStyle w:val="TextBody"/>
        <w:bidi w:val="0"/>
        <w:spacing w:before="240" w:after="0"/>
        <w:jc w:val="left"/>
        <w:rPr>
          <w:rFonts w:ascii="Times New Roman" w:hAnsi="Times New Roman"/>
          <w:sz w:val="20"/>
        </w:rPr>
      </w:pPr>
      <w:r>
        <w:rPr>
          <w:rFonts w:ascii="Times New Roman" w:hAnsi="Times New Roman"/>
          <w:sz w:val="20"/>
        </w:rPr>
        <w:t xml:space="preserve">Our solution is used by many different types of customers, including major chip vendors, OEMs, service providers, start-ups or small business units, and researchers and academics. The combination of billions of chips, shipping into myriad end markets, the breadth of our software ecosystem, and the millions of chip design engineers and software developers collectively has created a virtuous cycle in which software developers write software for Arm-based devices because it is the biggest market for their products, and chip designers choose our processors because they have the broadest support network. As a result, we believe we are well-positioned to continue to attract and retain customers through our dedicated marketing, sales and partner enablement teams.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We are an engineering-first company, with approximately 80% of our global employees, as of March 31, 2023, focused on research, design, and technical innovation, and we have global operations and research and development centers in the U.K., Europe, North America, India, and Asia-Pacific. Our ability to compete is substantially dependent on advancement of our products in order to meet evolving market demands. Our engineers are involved in researching and developing new versions of processor cores, specialist processors, such as graphics IP and AI accelerators, System IP and Physical IP technology as well as related software and tools applications. Our significant research and development investments and increasing market share in certain markets, such as mobile applications processors, consumer electronics, and embedded computing, enable us to invest more effectively and efficiently in the development of new products in various end markets such as the automotive and cloud computing markets. We have committed, and intend to continue to commit, significant financial and other resources to technology and product innovation and development. For more information about our research and development policies, see Managements Discussion and Analysis of Financial Condition and Results of OperationsComponents of Results of OperationsResearch and Development and Managements Discussion and Analysis of Financial Condition and Results of OperationsResults of OperationsComparison of Performance for the Fiscal Years Ended March 31, 2022 and 2021Research and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success and ability to compete effectively depend significantly on protecting our IP. To protect our IP rights, we primarily rely on patent, copyright, trade secret and trademark laws, trade secret protection and confidentiality agreements, as well as license agreements with our employees, customers, partners, and others. We have an active program of protecting our proprietary technology through the filing of patents, registration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trademarks, and use of confidentiality agreements and other IP rights. As of March 31, 2023, we owned or co-owned approximately 6,800 issued patents and have approximately 2,700 patent applications pending worldwide. The majority of these patents and patent applications fall into the categories of processor architecture and microarchitecture, ML and computer vision, graphic processor architecture, on-chip system design and memory technology. We maintain and support an active program to protect our IP, primarily through encouraging engineers to propose new invention submissions and defending issued patents against infringement. </w:t>
      </w:r>
    </w:p>
    <w:p>
      <w:pPr>
        <w:pStyle w:val="TextBody"/>
        <w:bidi w:val="0"/>
        <w:spacing w:before="240" w:after="0"/>
        <w:jc w:val="left"/>
        <w:rPr>
          <w:rFonts w:ascii="Times New Roman" w:hAnsi="Times New Roman"/>
          <w:sz w:val="20"/>
        </w:rPr>
      </w:pPr>
      <w:r>
        <w:rPr>
          <w:rFonts w:ascii="Times New Roman" w:hAnsi="Times New Roman"/>
          <w:sz w:val="20"/>
        </w:rPr>
        <w:t xml:space="preserve">Approximately 97% of our active patent portfolio (granted and pending) is owned solely by us, or jointly with, our subsidiaries, with the remaining 3% comprising patent assets jointly owned with one or more third parties. Through intra-group licensing arrangements, we have access to our entire patent portfolio for the purposes of licensing technology or otherwise providing services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our global operations, efforts to protect our technology, trade secrets and other proprietary information can be difficult, particularly in jurisdictions that provide limited or no protection for IP rights. If confidential information (including, but not limited to, trade secrets, and proprietary technology and information) is improperly shared we would likely seek to determine the source and whether or not financial losses could be recovered through contractual claims against a licensee. Additionally, we would seek to block importation of finished goods created in such limited-protection territories into territories where there exist better protections. Although we intend to protect our rights vigorously, there can be no assurance that such measures will be successful. See Risk FactorsRisks Relating to Our Business and IndustryFailure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The IPLA with Arm China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the IPLA with Arm China. </w:t>
      </w:r>
    </w:p>
    <w:p>
      <w:pPr>
        <w:pStyle w:val="TextBody"/>
        <w:bidi w:val="0"/>
        <w:spacing w:before="240" w:after="0"/>
        <w:jc w:val="left"/>
        <w:rPr>
          <w:rFonts w:ascii="Times New Roman" w:hAnsi="Times New Roman"/>
          <w:sz w:val="20"/>
        </w:rPr>
      </w:pPr>
      <w:r>
        <w:rPr>
          <w:rFonts w:ascii="Times New Roman" w:hAnsi="Times New Roman"/>
          <w:sz w:val="20"/>
        </w:rPr>
        <w:t xml:space="preserve">Under the IPLA, Arm China licenses certain of our IP from us. In turn, Arm China sublicenses such IP to its PRC customers, as the exclusive distributor of our IP licenses to customers in the PRC.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Customers. </w:t>
            </w:r>
            <w:r>
              <w:rPr>
                <w:rFonts w:ascii="Times New Roman" w:hAnsi="Times New Roman"/>
                <w:sz w:val="20"/>
              </w:rPr>
              <w:t xml:space="preserve">Arm China is permitted to sublicense to customers in the PRC. This includes any ultimate parent of a group that is incorporated in the PRC and traded on any official stock exchange, any entity whose ultimate parent is incorporated in the PRC, and any entity under the ultimate control of a PRC citizen. However, it does not include PRC subsidiaries of companies incorporated outside of the PRC, even though these companies may still sell products in the PRC.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Products. </w:t>
            </w:r>
            <w:r>
              <w:rPr>
                <w:rFonts w:ascii="Times New Roman" w:hAnsi="Times New Roman"/>
                <w:sz w:val="20"/>
              </w:rPr>
              <w:t xml:space="preserve">Arm China can sublicense our standard IP offerings. Arm China is required to procure our consent in order to sublicense non-standard technology or architectural licenses.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may remove any sublicensable IP that we declare obsolete or no longer generally make available to our licensees, whereupon Arm Chinas rights with respect to such IP are limited to licenses it previously granted. </w:t>
      </w:r>
    </w:p>
    <w:p>
      <w:pPr>
        <w:pStyle w:val="TextBody"/>
        <w:bidi w:val="0"/>
        <w:spacing w:before="120" w:after="0"/>
        <w:jc w:val="left"/>
        <w:rPr>
          <w:rFonts w:ascii="Times New Roman" w:hAnsi="Times New Roman"/>
          <w:sz w:val="20"/>
        </w:rPr>
      </w:pPr>
      <w:r>
        <w:rPr>
          <w:rFonts w:ascii="Times New Roman" w:hAnsi="Times New Roman"/>
          <w:sz w:val="20"/>
        </w:rPr>
        <w:t xml:space="preserve">Arm China may only distribute our IP in accordance with our model license terms provided by us. Any deviations from our model license terms require our consent.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Pricing. </w:t>
            </w:r>
            <w:r>
              <w:rPr>
                <w:rFonts w:ascii="Times New Roman" w:hAnsi="Times New Roman"/>
                <w:sz w:val="20"/>
              </w:rPr>
              <w:t xml:space="preserve">There are no material restrictions under the IPLA on the prices that Arm China may set for its sublicenses.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Term. </w:t>
            </w:r>
            <w:r>
              <w:rPr>
                <w:rFonts w:ascii="Times New Roman" w:hAnsi="Times New Roman"/>
                <w:sz w:val="20"/>
              </w:rPr>
              <w:t xml:space="preserve">The initial term of the IPLA is through April 23, 2048, after which the IPLA will automatically renew for consecutive 10-year periods until the later of (a) the last to expire of the patents licensed pursuant to the IPLA expires and (b) the last of the trade secrets licensed pursuant to the IPLA ceases to be confidential (other than through the fault of us or Arm China). During the term of the IPLA, Arm China may grant sublicenses to its PRC customers. There are no material restrictions on the duration of the sublicenses that Arm China provides during the term of the IPLA.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Termination.</w:t>
            </w:r>
            <w:r>
              <w:rPr>
                <w:rFonts w:ascii="Times New Roman" w:hAnsi="Times New Roman"/>
                <w:sz w:val="20"/>
              </w:rPr>
              <w:t xml:space="preserve"> We and Arm China each have the ability to unilaterally terminate the IPLA upon the occurrence of standard termination events, such as the non-terminating partys material uncured breach of the IPLA, bankruptcy or extended force majeure event of at least 180 days having a material adverse effect on the terminating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IPLA, Arm China may also develop its own IP. However, Arm China is only permitted to develop (i) certain derivative products incorporating our IP and (ii) Arm Chinas own products that do not incorporate our IP, where such products constitute technology related to IC products or technology that enables companies to build ICs, and exclude any processor cores. Under the IPLA, we are entitled to approximately 90% of the revenues generated by Arm China on our IP products that it most frequently sublicenses to its customers.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IPLA,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2023, 2022, and 2021, revenues attributable to our relationship with Arm China were approximately 24%, 18%, and 20% of our total revenue,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FactorsRisks Relating to Our Business and IndustryWe depend on our commercial relationship with Arm China to access the PRC market. If that commercial relationship no longer existed or deteriorates, our ability to compete in the PRC market could be materially and adversely affected and Risk FactorsRisks Relating to Our Business and IndustryNeither we nor SoftBank Group control the operations of Arm China, which operates independently of us. </w:t>
      </w:r>
    </w:p>
    <w:p>
      <w:pPr>
        <w:pStyle w:val="TextBody"/>
        <w:bidi w:val="0"/>
        <w:spacing w:before="360" w:after="0"/>
        <w:jc w:val="left"/>
        <w:rPr>
          <w:rFonts w:ascii="Times New Roman" w:hAnsi="Times New Roman"/>
          <w:b/>
          <w:sz w:val="20"/>
        </w:rPr>
      </w:pPr>
      <w:r>
        <w:rPr>
          <w:rFonts w:ascii="Times New Roman" w:hAnsi="Times New Roman"/>
          <w:b/>
          <w:sz w:val="20"/>
        </w:rPr>
        <w:t xml:space="preserve">Our People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Core Beliefs define how we work together to ensure our continued success. We believe that our employees commitment to developing and contributing positively to our culture in a manner consistent with our Core Beliefs is a differentiating factor that creates a competitive advantage for us and our ecosystem, supports the execution of our long-term business strategy and is attractive to current and prospective employees. Our Core Beliefs are an important aspiration for us and, as part of their annual review, our people are rated on how effectively they live our Core Beliefs. </w:t>
      </w:r>
    </w:p>
    <w:p>
      <w:pPr>
        <w:pStyle w:val="TextBody"/>
        <w:bidi w:val="0"/>
        <w:spacing w:before="240" w:after="0"/>
        <w:jc w:val="left"/>
        <w:rPr>
          <w:rFonts w:ascii="Times New Roman" w:hAnsi="Times New Roman"/>
          <w:sz w:val="20"/>
        </w:rPr>
      </w:pPr>
      <w:r>
        <w:rPr>
          <w:rFonts w:ascii="Times New Roman" w:hAnsi="Times New Roman"/>
          <w:sz w:val="20"/>
        </w:rPr>
        <w:t xml:space="preserve">Our three Core Beliefs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Do great things</w:t>
            </w:r>
            <w:r>
              <w:rPr>
                <w:rFonts w:ascii="Times New Roman" w:hAnsi="Times New Roman"/>
                <w:sz w:val="20"/>
              </w:rPr>
              <w:t xml:space="preserve">working at pace, embracing challenges, finding a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We, not I</w:t>
            </w:r>
            <w:r>
              <w:rPr>
                <w:rFonts w:ascii="Times New Roman" w:hAnsi="Times New Roman"/>
                <w:sz w:val="20"/>
              </w:rPr>
              <w:t xml:space="preserve">winning together, not alone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Be your brilliant self</w:t>
            </w:r>
            <w:r>
              <w:rPr>
                <w:rFonts w:ascii="Times New Roman" w:hAnsi="Times New Roman"/>
                <w:sz w:val="20"/>
              </w:rPr>
              <w:t xml:space="preserve">exemplified by skillful individuality, performance, and inclusion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line with our focus on embedding Diversity, Equity and Inclusion (DEI) in everything we do, DEI practices are integrated into each of our Core Beliefs.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Employee Value Proposition, we have made a series of commitments to our people and their experience of working at Arm that we measure through our annual engagement survey. These include ensuring our people contribute to solving the worlds complex technology problems and spend their time on valuable work that matters; rewarding our people competitively and equitably for the work they do and the skills and experience they bring to Arm; developing our people towards the careers they want and supporting their success in work and life; co-creating an inclusive environment by integrating DEI practices into everything we do; and using our position as a global company to be a force for good.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Diversity, Equity, and Inclusion </w:t>
      </w:r>
    </w:p>
    <w:p>
      <w:pPr>
        <w:pStyle w:val="TextBody"/>
        <w:bidi w:val="0"/>
        <w:spacing w:before="120" w:after="0"/>
        <w:jc w:val="left"/>
        <w:rPr>
          <w:rFonts w:ascii="Times New Roman" w:hAnsi="Times New Roman"/>
          <w:sz w:val="20"/>
        </w:rPr>
      </w:pPr>
      <w:r>
        <w:rPr>
          <w:rFonts w:ascii="Times New Roman" w:hAnsi="Times New Roman"/>
          <w:sz w:val="20"/>
        </w:rPr>
        <w:t xml:space="preserve">We know that diverse teams drive innovation and creativity, excel at solving complex problems and make better decisions. We are committed to fostering a culture of inclusion in which representation matters, people are valued, diverse perspectives are heard, and everyones skills are utilized.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foundation of our DEI strategy is to integrate DEI practices into everything we do. We have four pillars of our DEI strategy: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People</w:t>
            </w:r>
            <w:r>
              <w:rPr>
                <w:rFonts w:ascii="Times New Roman" w:hAnsi="Times New Roman"/>
                <w:sz w:val="20"/>
              </w:rPr>
              <w:t xml:space="preserve">Hire, support, and empower talent from all backgrounds at all levels throughout the entire employee life cycle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Culture</w:t>
            </w:r>
            <w:r>
              <w:rPr>
                <w:rFonts w:ascii="Times New Roman" w:hAnsi="Times New Roman"/>
                <w:sz w:val="20"/>
              </w:rPr>
              <w:t xml:space="preserve">Embody core beliefs and inclusive actions every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Leadership</w:t>
            </w:r>
            <w:r>
              <w:rPr>
                <w:rFonts w:ascii="Times New Roman" w:hAnsi="Times New Roman"/>
                <w:sz w:val="20"/>
              </w:rPr>
              <w:t xml:space="preserve">Lead internally and externally with DEI as a business, people, and culture imperative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Partnerships</w:t>
            </w:r>
            <w:r>
              <w:rPr>
                <w:rFonts w:ascii="Times New Roman" w:hAnsi="Times New Roman"/>
                <w:sz w:val="20"/>
              </w:rPr>
              <w:t xml:space="preserve">Utilize DEI as a strategic enabler across the ecosystem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developed and regularly review performance indicators to evaluate our progress in pursuit of our DEI priorities. For example, we have a company-wide accountability measure for commitment to DEI as part of the annual review process. In the past two years, over 99% of our people have supported our DEI strategy by getting involved in our DEI initiatives. </w:t>
      </w:r>
    </w:p>
    <w:p>
      <w:pPr>
        <w:pStyle w:val="TextBody"/>
        <w:bidi w:val="0"/>
        <w:spacing w:before="240" w:after="0"/>
        <w:jc w:val="left"/>
        <w:rPr>
          <w:rFonts w:ascii="Times New Roman" w:hAnsi="Times New Roman"/>
          <w:sz w:val="20"/>
        </w:rPr>
      </w:pPr>
      <w:r>
        <w:rPr>
          <w:rFonts w:ascii="Times New Roman" w:hAnsi="Times New Roman"/>
          <w:sz w:val="20"/>
        </w:rPr>
        <w:t xml:space="preserve">In 2022, we were among the winners of the annual Glassdoor Employees Choice Awards for the best places to work in the U.K. This award is entirely based on voluntary and anonymous feedback that our employees have shared on Glassdoor.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Wellbeing and Benefits </w:t>
      </w:r>
    </w:p>
    <w:p>
      <w:pPr>
        <w:pStyle w:val="TextBody"/>
        <w:bidi w:val="0"/>
        <w:spacing w:before="120" w:after="0"/>
        <w:jc w:val="left"/>
        <w:rPr>
          <w:rFonts w:ascii="Times New Roman" w:hAnsi="Times New Roman"/>
          <w:sz w:val="20"/>
        </w:rPr>
      </w:pPr>
      <w:r>
        <w:rPr>
          <w:rFonts w:ascii="Times New Roman" w:hAnsi="Times New Roman"/>
          <w:sz w:val="20"/>
        </w:rPr>
        <w:t xml:space="preserve">We invest in our people by taking a holistic approach to their wellbeing, which includes physical, mental, social, and financial wellbeing. We offer a range of benefits and programs, like flexible work hours and time off for life-changing and defining situations through our progressive leave policy and support for new parents.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Talent </w:t>
      </w:r>
    </w:p>
    <w:p>
      <w:pPr>
        <w:pStyle w:val="TextBody"/>
        <w:bidi w:val="0"/>
        <w:spacing w:before="120" w:after="0"/>
        <w:jc w:val="left"/>
        <w:rPr>
          <w:rFonts w:ascii="Times New Roman" w:hAnsi="Times New Roman"/>
          <w:sz w:val="20"/>
        </w:rPr>
      </w:pPr>
      <w:r>
        <w:rPr>
          <w:rFonts w:ascii="Times New Roman" w:hAnsi="Times New Roman"/>
          <w:sz w:val="20"/>
        </w:rPr>
        <w:t xml:space="preserve">We aspire to attract, engage, and retain the innovators of tomorrow, and we aim to recruit individuals with diverse backgrounds, skills, and abilities who will contribute to our success. We seek candidates through a variety of channels, including job boards, social networks, universities and more. Our employee referral program is one of our key recruitment tools and, on average, nearly 25% of our hires each quarter join us following a referral by one of our employees.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Early Careers program, we recruited over 150 university graduates globally in the fiscal year ended March 31, 2023, spread across our offices in the U.K., U.S., India and Europe. </w:t>
      </w:r>
    </w:p>
    <w:p>
      <w:pPr>
        <w:pStyle w:val="TextBody"/>
        <w:bidi w:val="0"/>
        <w:spacing w:before="240" w:after="0"/>
        <w:jc w:val="left"/>
        <w:rPr>
          <w:rFonts w:ascii="Times New Roman" w:hAnsi="Times New Roman"/>
          <w:sz w:val="20"/>
        </w:rPr>
      </w:pPr>
      <w:r>
        <w:rPr>
          <w:rFonts w:ascii="Times New Roman" w:hAnsi="Times New Roman"/>
          <w:sz w:val="20"/>
        </w:rPr>
        <w:t xml:space="preserve">Putting DEI at the heart of our recruiting, we have strategic partnerships to source interns, apprentices, and graduates, and we collaborate with other organizations to recruit individuals with diverse backgrounds. We are committed to a hiring process free of any bias or discrimination and in compliance with applicable laws in each of the countries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We have a learning culture where colleagues are empowered to own and drive development to meet their work and personal goals by learning through the shared experience of others, learning resources and practice. We invest heavily in technical development with a dedicated team to support colleagues in obtaining the proper training to advance their technical capabilities in support of our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w:t>
      </w:r>
    </w:p>
    <w:p>
      <w:pPr>
        <w:pStyle w:val="TextBody"/>
        <w:bidi w:val="0"/>
        <w:spacing w:before="120" w:after="0"/>
        <w:jc w:val="left"/>
        <w:rPr>
          <w:rFonts w:ascii="Times New Roman" w:hAnsi="Times New Roman"/>
          <w:sz w:val="20"/>
        </w:rPr>
      </w:pPr>
      <w:r>
        <w:rPr>
          <w:rFonts w:ascii="Times New Roman" w:hAnsi="Times New Roman"/>
          <w:sz w:val="20"/>
        </w:rPr>
        <w:t xml:space="preserve">We employ a global workforce that spans across 19 countries. As of March 31, 2023, approximately 80% of our 5,963 global employees were engaged in engineering activities delivering products for our partners to schedule and specification as well as driving innovations in our industry. During the fiscal year ended March 31, 2023, we engaged an average of 1,421 contractors and consultants.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number of our employees for each of the past three financial years: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456"/>
        <w:gridCol w:w="366"/>
        <w:gridCol w:w="155"/>
        <w:gridCol w:w="1456"/>
        <w:gridCol w:w="60"/>
        <w:gridCol w:w="366"/>
        <w:gridCol w:w="155"/>
        <w:gridCol w:w="1456"/>
        <w:gridCol w:w="60"/>
        <w:gridCol w:w="366"/>
        <w:gridCol w:w="155"/>
        <w:gridCol w:w="1456"/>
        <w:gridCol w:w="65"/>
      </w:tblGrid>
      <w:tr>
        <w:trPr/>
        <w:tc>
          <w:tcPr>
            <w:tcW w:w="2456"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4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Function</w:t>
            </w:r>
          </w:p>
        </w:tc>
        <w:tc>
          <w:tcPr>
            <w:tcW w:w="366"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2023</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2022</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2021</w:t>
            </w:r>
          </w:p>
        </w:tc>
        <w:tc>
          <w:tcPr>
            <w:tcW w:w="65"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4,753</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4,758</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4,712</w:t>
            </w:r>
          </w:p>
        </w:tc>
        <w:tc>
          <w:tcPr>
            <w:tcW w:w="65" w:type="dxa"/>
            <w:tcBorders/>
            <w:shd w:fill="CCEEFF" w:val="clear"/>
            <w:vAlign w:val="bottom"/>
          </w:tcPr>
          <w:p>
            <w:pPr>
              <w:pStyle w:val="TableContents"/>
              <w:bidi w:val="0"/>
              <w:spacing w:before="0" w:after="283"/>
              <w:jc w:val="left"/>
              <w:rPr/>
            </w:pPr>
            <w:r>
              <w:rPr/>
              <w:t> </w:t>
            </w:r>
          </w:p>
        </w:tc>
      </w:tr>
      <w:tr>
        <w:trPr/>
        <w:tc>
          <w:tcPr>
            <w:tcW w:w="2456" w:type="dxa"/>
            <w:tcBorders/>
          </w:tcPr>
          <w:p>
            <w:pPr>
              <w:pStyle w:val="TableContents"/>
              <w:bidi w:val="0"/>
              <w:spacing w:before="0" w:after="0"/>
              <w:jc w:val="left"/>
              <w:rPr>
                <w:rFonts w:ascii="Times New Roman" w:hAnsi="Times New Roman"/>
                <w:sz w:val="20"/>
              </w:rPr>
            </w:pPr>
            <w:r>
              <w:rPr>
                <w:rFonts w:ascii="Times New Roman" w:hAnsi="Times New Roman"/>
                <w:sz w:val="20"/>
              </w:rPr>
              <w:t>Non-Engineering</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1,210</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1,571</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1,655</w:t>
            </w:r>
          </w:p>
        </w:tc>
        <w:tc>
          <w:tcPr>
            <w:tcW w:w="65"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Geographic Distribution</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456" w:type="dxa"/>
            <w:tcBorders/>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2,785</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3,219</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3,161</w:t>
            </w:r>
          </w:p>
        </w:tc>
        <w:tc>
          <w:tcPr>
            <w:tcW w:w="65"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1,157</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1,177</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1,246</w:t>
            </w:r>
          </w:p>
        </w:tc>
        <w:tc>
          <w:tcPr>
            <w:tcW w:w="65" w:type="dxa"/>
            <w:tcBorders/>
            <w:shd w:fill="CCEEFF" w:val="clear"/>
            <w:vAlign w:val="bottom"/>
          </w:tcPr>
          <w:p>
            <w:pPr>
              <w:pStyle w:val="TableContents"/>
              <w:bidi w:val="0"/>
              <w:spacing w:before="0" w:after="283"/>
              <w:jc w:val="left"/>
              <w:rPr/>
            </w:pPr>
            <w:r>
              <w:rPr/>
              <w:t> </w:t>
            </w:r>
          </w:p>
        </w:tc>
      </w:tr>
      <w:tr>
        <w:trPr/>
        <w:tc>
          <w:tcPr>
            <w:tcW w:w="2456"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848</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793</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826</w:t>
            </w:r>
          </w:p>
        </w:tc>
        <w:tc>
          <w:tcPr>
            <w:tcW w:w="65"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1,173</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1,140</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1,134</w:t>
            </w:r>
          </w:p>
        </w:tc>
        <w:tc>
          <w:tcPr>
            <w:tcW w:w="65" w:type="dxa"/>
            <w:tcBorders/>
            <w:shd w:fill="CCEEFF" w:val="clear"/>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4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4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45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45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Employees</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5,963</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6,329</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6,367</w:t>
            </w:r>
          </w:p>
        </w:tc>
        <w:tc>
          <w:tcPr>
            <w:tcW w:w="65"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4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4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45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consider relations with our employees to be good and have never experienced a work stoppage. Our employees in France and Hungary are represented by works councils. We consider our relationship with these works councils to be productive and constructive, and there are currently no ongoing disputes. </w:t>
      </w:r>
    </w:p>
    <w:p>
      <w:pPr>
        <w:pStyle w:val="TextBody"/>
        <w:bidi w:val="0"/>
        <w:spacing w:before="240" w:after="0"/>
        <w:jc w:val="left"/>
        <w:rPr>
          <w:rFonts w:ascii="Times New Roman" w:hAnsi="Times New Roman"/>
          <w:sz w:val="20"/>
        </w:rPr>
      </w:pPr>
      <w:r>
        <w:rPr>
          <w:rFonts w:ascii="Times New Roman" w:hAnsi="Times New Roman"/>
          <w:sz w:val="20"/>
        </w:rPr>
        <w:t xml:space="preserve">During the fiscal year ended March 31, 2023, we restructured our business to focus on activities that move our strategy forward while taking a more disciplined approach on our costs and investment activities. To achieve this, we stopped work that was duplicative or no longer critical to our future success. This restructuring resulted in the termination of 436 general and administrative positions across nine countries. Most of these terminations were in the U.K. and the U.S. The restructuring was completed by June 2022. </w:t>
      </w:r>
    </w:p>
    <w:p>
      <w:pPr>
        <w:pStyle w:val="TextBody"/>
        <w:bidi w:val="0"/>
        <w:spacing w:before="240" w:after="0"/>
        <w:jc w:val="left"/>
        <w:rPr>
          <w:rFonts w:ascii="Times New Roman" w:hAnsi="Times New Roman"/>
          <w:sz w:val="20"/>
        </w:rPr>
      </w:pPr>
      <w:r>
        <w:rPr>
          <w:rFonts w:ascii="Times New Roman" w:hAnsi="Times New Roman"/>
          <w:sz w:val="20"/>
        </w:rPr>
        <w:t xml:space="preserve">There are currently no plans for future restructuring; however, we continue to proactively review our organizational design in relation to our evolving business needs and make ordinary course adjustments, as necessary or appropriate, on an ongoing basis.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Social and Governance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in the power of technology to build a better world for everyone, but we understand that technological advancement cannot be achieved at the expense of the environment or our societal well-being. We are committed to maximizing our positive societal impact; minimizing our climate impact; and promoting ethical and responsible business practices and the personal wellbeing of our employees and the communities we impact.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Decarbonizing Compute </w:t>
      </w:r>
    </w:p>
    <w:p>
      <w:pPr>
        <w:pStyle w:val="TextBody"/>
        <w:bidi w:val="0"/>
        <w:spacing w:before="120" w:after="0"/>
        <w:jc w:val="left"/>
        <w:rPr>
          <w:rFonts w:ascii="Times New Roman" w:hAnsi="Times New Roman"/>
          <w:sz w:val="20"/>
        </w:rPr>
      </w:pPr>
      <w:r>
        <w:rPr>
          <w:rFonts w:ascii="Times New Roman" w:hAnsi="Times New Roman"/>
          <w:sz w:val="20"/>
        </w:rPr>
        <w:t xml:space="preserve">Arm has a long-term ambition to contribute to decarbonizing compute, and we are working towards this goal by first seeking to reduce our own carbon emissions. In September 2020, we committed to achieving net zero carbon by 2030, 20 years ahead of the 2050 target outlined in the United Nations Paris Climate Agreement. To achieve this, we are committed to taking a science-aligned approach to cut absolute emissions by 50% (from a 2019 baseline) by 2030 and follow a 1.5° Celsius pathway. We have committed to a 42% reduction in supply-chain carbon, which is supported by our work with the Carbon Disclosure Project (CDP) Supply Chain. Through the CDP Supply Chain, we have gathered data to reduce supply chain emissions, and the next step is to work with suppliers to reduce these emissions. </w:t>
      </w:r>
    </w:p>
    <w:p>
      <w:pPr>
        <w:pStyle w:val="TextBody"/>
        <w:bidi w:val="0"/>
        <w:spacing w:before="240" w:after="0"/>
        <w:jc w:val="left"/>
        <w:rPr>
          <w:rFonts w:ascii="Times New Roman" w:hAnsi="Times New Roman"/>
          <w:sz w:val="20"/>
        </w:rPr>
      </w:pPr>
      <w:r>
        <w:rPr>
          <w:rFonts w:ascii="Times New Roman" w:hAnsi="Times New Roman"/>
          <w:sz w:val="20"/>
        </w:rPr>
        <w:t xml:space="preserve">We also recognize that our power- and energy-efficient products have a role to play in decarbonizing compute, and our longer-term objective is to explore how we can continue to maximize these initiatives within our ecosystem. We recognize the importance of transparent reporting and produce comprehensive reports that demonstrate our commitment to the issues that are material to our business and stakeholders, for example by reporting against the Global Reporting Initiative Index and to the CDP. </w:t>
      </w:r>
    </w:p>
    <w:p>
      <w:pPr>
        <w:pStyle w:val="TextBody"/>
        <w:bidi w:val="0"/>
        <w:spacing w:before="360" w:after="0"/>
        <w:jc w:val="left"/>
        <w:rPr>
          <w:rFonts w:ascii="Times New Roman" w:hAnsi="Times New Roman"/>
          <w:b/>
          <w:i/>
          <w:sz w:val="20"/>
        </w:rPr>
      </w:pPr>
      <w:r>
        <w:rPr>
          <w:rFonts w:ascii="Times New Roman" w:hAnsi="Times New Roman"/>
          <w:b/>
          <w:i/>
          <w:sz w:val="20"/>
        </w:rPr>
        <w:t xml:space="preserve">Closing the Digital Divide </w:t>
      </w:r>
    </w:p>
    <w:p>
      <w:pPr>
        <w:pStyle w:val="TextBody"/>
        <w:bidi w:val="0"/>
        <w:spacing w:before="120" w:after="0"/>
        <w:jc w:val="left"/>
        <w:rPr>
          <w:rFonts w:ascii="Times New Roman" w:hAnsi="Times New Roman"/>
          <w:sz w:val="20"/>
        </w:rPr>
      </w:pPr>
      <w:r>
        <w:rPr>
          <w:rFonts w:ascii="Times New Roman" w:hAnsi="Times New Roman"/>
          <w:sz w:val="20"/>
        </w:rPr>
        <w:t xml:space="preserve">We are working to maximize our positive social impact by closing the digital divide between those who have full access to digital technologies and the billions of people who currently do not. We do this with our employees and our ecosystem of social impact partners to find opportunities where we can add value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expertise. Through our Arm Flexible Access and developer programs, we have lowered the barriers to using our products and this has had a positive impact on start-ups and initiatives in the environmental and social space. </w:t>
      </w:r>
    </w:p>
    <w:p>
      <w:pPr>
        <w:pStyle w:val="TextBody"/>
        <w:bidi w:val="0"/>
        <w:spacing w:before="240" w:after="0"/>
        <w:jc w:val="left"/>
        <w:rPr>
          <w:rFonts w:ascii="Times New Roman" w:hAnsi="Times New Roman"/>
          <w:sz w:val="20"/>
        </w:rPr>
      </w:pPr>
      <w:r>
        <w:rPr>
          <w:rFonts w:ascii="Times New Roman" w:hAnsi="Times New Roman"/>
          <w:sz w:val="20"/>
        </w:rPr>
        <w:t xml:space="preserve">Our Arm Education initiative aims to help close education and skills gaps in Computer Engineering and STEM. As part of the initiative, we provide teaching and learning resources, IP, tools, and other support to universities and work closely with academic and industry partners on research collaborations. Since 2013, we have supported and collaborated with over 2,500 universities worldwide and enabled more than 10,000 Arm-based classes.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Community Engagement </w:t>
      </w:r>
    </w:p>
    <w:p>
      <w:pPr>
        <w:pStyle w:val="TextBody"/>
        <w:bidi w:val="0"/>
        <w:spacing w:before="120" w:after="0"/>
        <w:jc w:val="left"/>
        <w:rPr>
          <w:rFonts w:ascii="Times New Roman" w:hAnsi="Times New Roman"/>
          <w:sz w:val="20"/>
        </w:rPr>
      </w:pPr>
      <w:r>
        <w:rPr>
          <w:rFonts w:ascii="Times New Roman" w:hAnsi="Times New Roman"/>
          <w:sz w:val="20"/>
        </w:rPr>
        <w:t xml:space="preserve">At a local level, Team Arm, our employee community engagement program, provides our people with opportunities to volunteer and fundraise for charitable purposes. Everyone at Arm is entitled to time off once per month to engage in volunteer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Governance </w:t>
      </w:r>
    </w:p>
    <w:p>
      <w:pPr>
        <w:pStyle w:val="TextBody"/>
        <w:bidi w:val="0"/>
        <w:spacing w:before="120" w:after="0"/>
        <w:jc w:val="left"/>
        <w:rPr>
          <w:rFonts w:ascii="Times New Roman" w:hAnsi="Times New Roman"/>
          <w:sz w:val="20"/>
        </w:rPr>
      </w:pPr>
      <w:r>
        <w:rPr>
          <w:rFonts w:ascii="Times New Roman" w:hAnsi="Times New Roman"/>
          <w:sz w:val="20"/>
        </w:rPr>
        <w:t xml:space="preserve">We strive to be a leader in corporate responsibility and demonstrate our values through responsible business practices. We are guided by governance policies promoting a core moral stance on ethical issues, security and safety. Our Board of Directors is responsible for reviewing our policies, metrics and risks that relate to ESG. Further, our management team maintains a Sustainability Committee that oversees and monitors the implementation of our sustainability programs, and ESG risks are reported through managements Risk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continue to examine the sustainability topics that are most relevant for our business and stakeholders as we further develop and advance our sustainability strategy. We have established company policies, including, our Code of Conduct, our Code of Conduct for Suppliers, our Anti-Bribery and Corruption Policy and DEI policies, that support our efforts to operate sustainably by guiding our employees, partners and suppliers in their business dealings and requiring compliance with applicable laws and regulations. These company policies address practices and requirements that we have established with respect to environmental protection, responsible sourcing, human rights, labor standards and ethics, diversity, and compliance, among other topics. We review these policies regularly to ensure that they remain relevant to our organization, our people, our partners and applicable laws and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global headquarters are located in Cambridge, U.K., occupying approximately 322,950 square feet of leased office space in the aggregate, with the leases expiring between 2023 and 2044. We are currently on a temporary extension of one of the leases for our global headquarters while we negotiate the lease renewal. We also lease additional facilities in Belgium, Denmark, France, Germany, Hungary, India, Ireland, Israel, Japan, South Korea, Norway, Poland, Slovenia, Sweden, Taiwan, the U.K., and the U.S.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current global headquarters and global offices are well maintained and adequate for our current needs and that suitable additional or substitute space at commercially reasonable terms will be available as needed.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regulation by various governmental agencies, including, but not limited to, such agencies in the U.K., the European Union, the U.S., and the PRC. These laws and regulations affect our activities in areas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but not limited to, labor, telecommunications, IP ownership and infringement, tax, economic sanctions, import and export requirements and controls, anti-corruption, national security and foreign investment, foreign exchange controls and cash repatriation restrictions, privacy and data protection (such as the GDPR, the U.K. GDPR, and the CCPA), security and cybersecurity, and data localization requirements, anti-competition, environmental, health and safety, financial reporting and the certification requirements associated with public sector contracts. We monitor changes in these laws, regulations, treaties, and agreements, and believe that we are in material compliance with applicable laws. See Risk FactorsRisks Relating to Government Regulation and Legal Compliance and Risk FactorsRisks Relating to U.S. and U.K. Tax Regimes.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In addition,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We are currently involved in pending litigation, including, but not limited to, a lawsuit that we issued against Qualcomm and Nuvia in the United States District Court for the District of Delaware (Case No. 1:22-cv-01146). In addition, our products are involved in pending litigation to which we are not a party. We cannot provide you any assurances regarding how any such litigation will be resolved, what benefits we will obtain or what losses we might incur. The results of any current or future litigation cannot be predicted with certainty, and regardless of the outcome, litigation can have an adverse impact on us because of defense and settlement costs, diversion of management resources and other factors. See Risk FactorsRisks Relating to Our Business and IndustryWe are currently involved in pending litigation and Risk FactorsRisks Relating to Our Business and IndustryWe may be sued by third parties for alleged infringement, misappropriation or other violation of their IP rights or proprietary rights and our defense against these claims can be costly</w:t>
      </w:r>
      <w:r>
        <w:rPr>
          <w:rFonts w:ascii="Times New Roman" w:hAnsi="Times New Roman"/>
          <w:i/>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rom393891_19"/>
      <w:bookmarkEnd w:id="20"/>
      <w:r>
        <w:rPr>
          <w:rFonts w:ascii="Times New Roman" w:hAnsi="Times New Roman"/>
          <w:b/>
          <w:sz w:val="20"/>
        </w:rPr>
        <w:t xml:space="preserve">MANAGEMENT AND EXECUTIVE REMUNERATION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our executive officers and directors as of the date of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75"/>
        <w:gridCol w:w="120"/>
        <w:gridCol w:w="335"/>
        <w:gridCol w:w="120"/>
        <w:gridCol w:w="545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55" w:type="dxa"/>
            <w:tcBorders/>
            <w:vAlign w:val="center"/>
          </w:tcPr>
          <w:p>
            <w:pPr>
              <w:pStyle w:val="TableContents"/>
              <w:bidi w:val="0"/>
              <w:spacing w:before="0" w:after="283"/>
              <w:jc w:val="left"/>
              <w:rPr>
                <w:sz w:val="4"/>
                <w:szCs w:val="4"/>
              </w:rPr>
            </w:pPr>
            <w:r>
              <w:rPr>
                <w:sz w:val="4"/>
                <w:szCs w:val="4"/>
              </w:rPr>
            </w:r>
          </w:p>
        </w:tc>
      </w:tr>
      <w:tr>
        <w:trPr/>
        <w:tc>
          <w:tcPr>
            <w:tcW w:w="417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3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bottom"/>
          </w:tcPr>
          <w:p>
            <w:pPr>
              <w:pStyle w:val="TableContents"/>
              <w:bidi w:val="0"/>
              <w:spacing w:before="0" w:after="283"/>
              <w:jc w:val="left"/>
              <w:rPr/>
            </w:pPr>
            <w:r>
              <w:rPr/>
              <w:t>  </w:t>
            </w:r>
          </w:p>
        </w:tc>
        <w:tc>
          <w:tcPr>
            <w:tcW w:w="54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417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Non-Executive Directors:</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455" w:type="dxa"/>
            <w:tcBorders/>
            <w:shd w:fill="CCEEFF" w:val="clear"/>
            <w:vAlign w:val="bottom"/>
          </w:tcPr>
          <w:p>
            <w:pPr>
              <w:pStyle w:val="TableContents"/>
              <w:bidi w:val="0"/>
              <w:spacing w:before="0" w:after="283"/>
              <w:jc w:val="left"/>
              <w:rPr>
                <w:sz w:val="4"/>
                <w:szCs w:val="4"/>
              </w:rPr>
            </w:pPr>
            <w:r>
              <w:rPr>
                <w:sz w:val="4"/>
                <w:szCs w:val="4"/>
              </w:rPr>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Masayoshi Son</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center"/>
              <w:rPr/>
            </w:pPr>
            <w:r>
              <w:rPr/>
              <w:t>66</w:t>
            </w:r>
          </w:p>
        </w:tc>
        <w:tc>
          <w:tcPr>
            <w:tcW w:w="120" w:type="dxa"/>
            <w:tcBorders/>
            <w:vAlign w:val="bottom"/>
          </w:tcPr>
          <w:p>
            <w:pPr>
              <w:pStyle w:val="TableContents"/>
              <w:bidi w:val="0"/>
              <w:spacing w:before="0" w:after="283"/>
              <w:jc w:val="left"/>
              <w:rPr/>
            </w:pPr>
            <w:r>
              <w:rPr/>
              <w:t>  </w:t>
            </w:r>
          </w:p>
        </w:tc>
        <w:tc>
          <w:tcPr>
            <w:tcW w:w="5455" w:type="dxa"/>
            <w:tcBorders/>
            <w:vAlign w:val="bottom"/>
          </w:tcPr>
          <w:p>
            <w:pPr>
              <w:pStyle w:val="TableContents"/>
              <w:bidi w:val="0"/>
              <w:spacing w:before="0" w:after="283"/>
              <w:jc w:val="left"/>
              <w:rPr/>
            </w:pPr>
            <w:r>
              <w:rPr/>
              <w:t>Chairman of the Board of Directors</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D. Fisher</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center"/>
              <w:rPr/>
            </w:pPr>
            <w:r>
              <w:rPr/>
              <w:t>75</w:t>
            </w:r>
          </w:p>
        </w:tc>
        <w:tc>
          <w:tcPr>
            <w:tcW w:w="120" w:type="dxa"/>
            <w:tcBorders/>
            <w:shd w:fill="CCEEFF" w:val="clear"/>
            <w:vAlign w:val="bottom"/>
          </w:tcPr>
          <w:p>
            <w:pPr>
              <w:pStyle w:val="TableContents"/>
              <w:bidi w:val="0"/>
              <w:spacing w:before="0" w:after="283"/>
              <w:jc w:val="left"/>
              <w:rPr/>
            </w:pPr>
            <w:r>
              <w:rPr/>
              <w:t>  </w:t>
            </w:r>
          </w:p>
        </w:tc>
        <w:tc>
          <w:tcPr>
            <w:tcW w:w="5455" w:type="dxa"/>
            <w:tcBorders/>
            <w:shd w:fill="CCEEFF" w:val="clear"/>
            <w:vAlign w:val="bottom"/>
          </w:tcPr>
          <w:p>
            <w:pPr>
              <w:pStyle w:val="TableContents"/>
              <w:bidi w:val="0"/>
              <w:spacing w:before="0" w:after="283"/>
              <w:jc w:val="left"/>
              <w:rPr/>
            </w:pPr>
            <w:r>
              <w:rPr/>
              <w:t>Director</w:t>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Jeffrey A. Sine</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center"/>
              <w:rPr/>
            </w:pPr>
            <w:r>
              <w:rPr/>
              <w:t>68</w:t>
            </w:r>
          </w:p>
        </w:tc>
        <w:tc>
          <w:tcPr>
            <w:tcW w:w="120" w:type="dxa"/>
            <w:tcBorders/>
            <w:vAlign w:val="bottom"/>
          </w:tcPr>
          <w:p>
            <w:pPr>
              <w:pStyle w:val="TableContents"/>
              <w:bidi w:val="0"/>
              <w:spacing w:before="0" w:after="283"/>
              <w:jc w:val="left"/>
              <w:rPr/>
            </w:pPr>
            <w:r>
              <w:rPr/>
              <w:t>  </w:t>
            </w:r>
          </w:p>
        </w:tc>
        <w:tc>
          <w:tcPr>
            <w:tcW w:w="5455" w:type="dxa"/>
            <w:tcBorders/>
            <w:vAlign w:val="bottom"/>
          </w:tcPr>
          <w:p>
            <w:pPr>
              <w:pStyle w:val="TableContents"/>
              <w:bidi w:val="0"/>
              <w:spacing w:before="0" w:after="283"/>
              <w:jc w:val="left"/>
              <w:rPr/>
            </w:pPr>
            <w:r>
              <w:rPr/>
              <w:t>Director</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Karen E. Dykstra</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center"/>
              <w:rPr/>
            </w:pPr>
            <w:r>
              <w:rPr/>
              <w:t>64</w:t>
            </w:r>
          </w:p>
        </w:tc>
        <w:tc>
          <w:tcPr>
            <w:tcW w:w="120" w:type="dxa"/>
            <w:tcBorders/>
            <w:shd w:fill="CCEEFF" w:val="clear"/>
            <w:vAlign w:val="bottom"/>
          </w:tcPr>
          <w:p>
            <w:pPr>
              <w:pStyle w:val="TableContents"/>
              <w:bidi w:val="0"/>
              <w:spacing w:before="0" w:after="283"/>
              <w:jc w:val="left"/>
              <w:rPr/>
            </w:pPr>
            <w:r>
              <w:rPr/>
              <w:t>  </w:t>
            </w:r>
          </w:p>
        </w:tc>
        <w:tc>
          <w:tcPr>
            <w:tcW w:w="5455" w:type="dxa"/>
            <w:tcBorders/>
            <w:shd w:fill="CCEEFF" w:val="clear"/>
            <w:vAlign w:val="bottom"/>
          </w:tcPr>
          <w:p>
            <w:pPr>
              <w:pStyle w:val="TableContents"/>
              <w:bidi w:val="0"/>
              <w:spacing w:before="0" w:after="283"/>
              <w:jc w:val="left"/>
              <w:rPr/>
            </w:pPr>
            <w:r>
              <w:rPr/>
              <w:t>Director</w:t>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Anthony Michael Fadell</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center"/>
              <w:rPr/>
            </w:pPr>
            <w:r>
              <w:rPr/>
              <w:t>54</w:t>
            </w:r>
          </w:p>
        </w:tc>
        <w:tc>
          <w:tcPr>
            <w:tcW w:w="120" w:type="dxa"/>
            <w:tcBorders/>
            <w:vAlign w:val="bottom"/>
          </w:tcPr>
          <w:p>
            <w:pPr>
              <w:pStyle w:val="TableContents"/>
              <w:bidi w:val="0"/>
              <w:spacing w:before="0" w:after="283"/>
              <w:jc w:val="left"/>
              <w:rPr/>
            </w:pPr>
            <w:r>
              <w:rPr/>
              <w:t>  </w:t>
            </w:r>
          </w:p>
        </w:tc>
        <w:tc>
          <w:tcPr>
            <w:tcW w:w="5455" w:type="dxa"/>
            <w:tcBorders/>
            <w:vAlign w:val="bottom"/>
          </w:tcPr>
          <w:p>
            <w:pPr>
              <w:pStyle w:val="TableContents"/>
              <w:bidi w:val="0"/>
              <w:spacing w:before="0" w:after="283"/>
              <w:jc w:val="left"/>
              <w:rPr/>
            </w:pPr>
            <w:r>
              <w:rPr/>
              <w:t>Director</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Rosemary Schooler</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center"/>
              <w:rPr/>
            </w:pPr>
            <w:r>
              <w:rPr/>
              <w:t>55</w:t>
            </w:r>
          </w:p>
        </w:tc>
        <w:tc>
          <w:tcPr>
            <w:tcW w:w="120" w:type="dxa"/>
            <w:tcBorders/>
            <w:shd w:fill="CCEEFF" w:val="clear"/>
            <w:vAlign w:val="bottom"/>
          </w:tcPr>
          <w:p>
            <w:pPr>
              <w:pStyle w:val="TableContents"/>
              <w:bidi w:val="0"/>
              <w:spacing w:before="0" w:after="283"/>
              <w:jc w:val="left"/>
              <w:rPr/>
            </w:pPr>
            <w:r>
              <w:rPr/>
              <w:t>  </w:t>
            </w:r>
          </w:p>
        </w:tc>
        <w:tc>
          <w:tcPr>
            <w:tcW w:w="5455" w:type="dxa"/>
            <w:tcBorders/>
            <w:shd w:fill="CCEEFF" w:val="clear"/>
            <w:vAlign w:val="bottom"/>
          </w:tcPr>
          <w:p>
            <w:pPr>
              <w:pStyle w:val="TableContents"/>
              <w:bidi w:val="0"/>
              <w:spacing w:before="0" w:after="283"/>
              <w:jc w:val="left"/>
              <w:rPr/>
            </w:pPr>
            <w:r>
              <w:rPr/>
              <w:t>Director</w:t>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Paul E. Jacobs, PhD</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center"/>
              <w:rPr/>
            </w:pPr>
            <w:r>
              <w:rPr/>
              <w:t>60</w:t>
            </w:r>
          </w:p>
        </w:tc>
        <w:tc>
          <w:tcPr>
            <w:tcW w:w="120" w:type="dxa"/>
            <w:tcBorders/>
            <w:vAlign w:val="bottom"/>
          </w:tcPr>
          <w:p>
            <w:pPr>
              <w:pStyle w:val="TableContents"/>
              <w:bidi w:val="0"/>
              <w:spacing w:before="0" w:after="283"/>
              <w:jc w:val="left"/>
              <w:rPr/>
            </w:pPr>
            <w:r>
              <w:rPr/>
              <w:t>  </w:t>
            </w:r>
          </w:p>
        </w:tc>
        <w:tc>
          <w:tcPr>
            <w:tcW w:w="5455" w:type="dxa"/>
            <w:tcBorders/>
            <w:vAlign w:val="bottom"/>
          </w:tcPr>
          <w:p>
            <w:pPr>
              <w:pStyle w:val="TableContents"/>
              <w:bidi w:val="0"/>
              <w:spacing w:before="0" w:after="283"/>
              <w:jc w:val="left"/>
              <w:rPr/>
            </w:pPr>
            <w:r>
              <w:rPr/>
              <w:t>Director</w:t>
            </w:r>
          </w:p>
        </w:tc>
      </w:tr>
      <w:tr>
        <w:trPr>
          <w:trHeight w:val="240" w:hRule="atLeast"/>
        </w:trPr>
        <w:tc>
          <w:tcPr>
            <w:tcW w:w="41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5575" w:type="dxa"/>
            <w:gridSpan w:val="2"/>
            <w:tcBorders/>
            <w:vAlign w:val="center"/>
          </w:tcPr>
          <w:p>
            <w:pPr>
              <w:pStyle w:val="TableContents"/>
              <w:bidi w:val="0"/>
              <w:spacing w:before="0" w:after="283"/>
              <w:jc w:val="left"/>
              <w:rPr>
                <w:sz w:val="4"/>
                <w:szCs w:val="4"/>
              </w:rPr>
            </w:pPr>
            <w:r>
              <w:rPr>
                <w:sz w:val="4"/>
                <w:szCs w:val="4"/>
              </w:rPr>
            </w:r>
          </w:p>
        </w:tc>
      </w:tr>
      <w:tr>
        <w:trPr/>
        <w:tc>
          <w:tcPr>
            <w:tcW w:w="417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 xml:space="preserve">Executive Officers: </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455" w:type="dxa"/>
            <w:tcBorders/>
            <w:shd w:fill="CCEEFF" w:val="clear"/>
            <w:vAlign w:val="bottom"/>
          </w:tcPr>
          <w:p>
            <w:pPr>
              <w:pStyle w:val="TableContents"/>
              <w:bidi w:val="0"/>
              <w:spacing w:before="0" w:after="283"/>
              <w:jc w:val="left"/>
              <w:rPr>
                <w:sz w:val="4"/>
                <w:szCs w:val="4"/>
              </w:rPr>
            </w:pPr>
            <w:r>
              <w:rPr>
                <w:sz w:val="4"/>
                <w:szCs w:val="4"/>
              </w:rPr>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Rene Haas</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center"/>
              <w:rPr/>
            </w:pPr>
            <w:r>
              <w:rPr/>
              <w:t>61</w:t>
            </w:r>
          </w:p>
        </w:tc>
        <w:tc>
          <w:tcPr>
            <w:tcW w:w="120" w:type="dxa"/>
            <w:tcBorders/>
            <w:vAlign w:val="bottom"/>
          </w:tcPr>
          <w:p>
            <w:pPr>
              <w:pStyle w:val="TableContents"/>
              <w:bidi w:val="0"/>
              <w:spacing w:before="0" w:after="283"/>
              <w:jc w:val="left"/>
              <w:rPr/>
            </w:pPr>
            <w:r>
              <w:rPr/>
              <w:t>  </w:t>
            </w:r>
          </w:p>
        </w:tc>
        <w:tc>
          <w:tcPr>
            <w:tcW w:w="5455" w:type="dxa"/>
            <w:tcBorders/>
            <w:vAlign w:val="bottom"/>
          </w:tcPr>
          <w:p>
            <w:pPr>
              <w:pStyle w:val="TableContents"/>
              <w:bidi w:val="0"/>
              <w:spacing w:before="0" w:after="283"/>
              <w:jc w:val="left"/>
              <w:rPr/>
            </w:pPr>
            <w:r>
              <w:rPr/>
              <w:t>Chief Executive Officer and Director</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Jason Child</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tcPr>
          <w:p>
            <w:pPr>
              <w:pStyle w:val="TableContents"/>
              <w:bidi w:val="0"/>
              <w:spacing w:before="0" w:after="283"/>
              <w:jc w:val="center"/>
              <w:rPr/>
            </w:pPr>
            <w:r>
              <w:rPr/>
              <w:t>54</w:t>
            </w:r>
          </w:p>
        </w:tc>
        <w:tc>
          <w:tcPr>
            <w:tcW w:w="120" w:type="dxa"/>
            <w:tcBorders/>
            <w:shd w:fill="CCEEFF" w:val="clear"/>
            <w:vAlign w:val="bottom"/>
          </w:tcPr>
          <w:p>
            <w:pPr>
              <w:pStyle w:val="TableContents"/>
              <w:bidi w:val="0"/>
              <w:spacing w:before="0" w:after="283"/>
              <w:jc w:val="left"/>
              <w:rPr/>
            </w:pPr>
            <w:r>
              <w:rPr/>
              <w:t>  </w:t>
            </w:r>
          </w:p>
        </w:tc>
        <w:tc>
          <w:tcPr>
            <w:tcW w:w="5455" w:type="dxa"/>
            <w:tcBorders/>
            <w:shd w:fill="CCEEFF" w:val="clear"/>
            <w:vAlign w:val="bottom"/>
          </w:tcPr>
          <w:p>
            <w:pPr>
              <w:pStyle w:val="TableContents"/>
              <w:bidi w:val="0"/>
              <w:spacing w:before="0" w:after="283"/>
              <w:jc w:val="left"/>
              <w:rPr/>
            </w:pPr>
            <w:r>
              <w:rPr/>
              <w:t>Executive Vice President and Chief Financial Officer</w:t>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Kirsty Gill</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center"/>
              <w:rPr/>
            </w:pPr>
            <w:r>
              <w:rPr/>
              <w:t>51</w:t>
            </w:r>
          </w:p>
        </w:tc>
        <w:tc>
          <w:tcPr>
            <w:tcW w:w="120" w:type="dxa"/>
            <w:tcBorders/>
            <w:vAlign w:val="bottom"/>
          </w:tcPr>
          <w:p>
            <w:pPr>
              <w:pStyle w:val="TableContents"/>
              <w:bidi w:val="0"/>
              <w:spacing w:before="0" w:after="283"/>
              <w:jc w:val="left"/>
              <w:rPr/>
            </w:pPr>
            <w:r>
              <w:rPr/>
              <w:t>  </w:t>
            </w:r>
          </w:p>
        </w:tc>
        <w:tc>
          <w:tcPr>
            <w:tcW w:w="5455" w:type="dxa"/>
            <w:tcBorders/>
            <w:vAlign w:val="bottom"/>
          </w:tcPr>
          <w:p>
            <w:pPr>
              <w:pStyle w:val="TableContents"/>
              <w:bidi w:val="0"/>
              <w:spacing w:before="0" w:after="283"/>
              <w:jc w:val="left"/>
              <w:rPr/>
            </w:pPr>
            <w:r>
              <w:rPr/>
              <w:t>Executive Vice President and Chief People Officer</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Spencer Collins</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0"/>
              <w:jc w:val="center"/>
              <w:rPr>
                <w:rFonts w:ascii="Times New Roman" w:hAnsi="Times New Roman"/>
                <w:sz w:val="20"/>
              </w:rPr>
            </w:pPr>
            <w:r>
              <w:rPr>
                <w:rFonts w:ascii="Times New Roman" w:hAnsi="Times New Roman"/>
                <w:sz w:val="20"/>
              </w:rPr>
              <w:t>42</w:t>
            </w:r>
          </w:p>
        </w:tc>
        <w:tc>
          <w:tcPr>
            <w:tcW w:w="120" w:type="dxa"/>
            <w:tcBorders/>
            <w:shd w:fill="CCEEFF" w:val="clear"/>
            <w:vAlign w:val="bottom"/>
          </w:tcPr>
          <w:p>
            <w:pPr>
              <w:pStyle w:val="TableContents"/>
              <w:bidi w:val="0"/>
              <w:spacing w:before="0" w:after="283"/>
              <w:jc w:val="left"/>
              <w:rPr/>
            </w:pPr>
            <w:r>
              <w:rPr/>
              <w:t>  </w:t>
            </w:r>
          </w:p>
        </w:tc>
        <w:tc>
          <w:tcPr>
            <w:tcW w:w="5455" w:type="dxa"/>
            <w:tcBorders/>
            <w:shd w:fill="CCEEFF" w:val="clear"/>
            <w:vAlign w:val="bottom"/>
          </w:tcPr>
          <w:p>
            <w:pPr>
              <w:pStyle w:val="TableContents"/>
              <w:bidi w:val="0"/>
              <w:spacing w:before="0" w:after="283"/>
              <w:jc w:val="left"/>
              <w:rPr/>
            </w:pPr>
            <w:r>
              <w:rPr/>
              <w:t>Executive Vice President and Chief Legal Officer</w:t>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Richard Grisenthwaite</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0"/>
              <w:jc w:val="center"/>
              <w:rPr>
                <w:rFonts w:ascii="Times New Roman" w:hAnsi="Times New Roman"/>
                <w:sz w:val="20"/>
              </w:rPr>
            </w:pPr>
            <w:r>
              <w:rPr>
                <w:rFonts w:ascii="Times New Roman" w:hAnsi="Times New Roman"/>
                <w:sz w:val="20"/>
              </w:rPr>
              <w:t>55</w:t>
            </w:r>
          </w:p>
        </w:tc>
        <w:tc>
          <w:tcPr>
            <w:tcW w:w="120" w:type="dxa"/>
            <w:tcBorders/>
            <w:vAlign w:val="bottom"/>
          </w:tcPr>
          <w:p>
            <w:pPr>
              <w:pStyle w:val="TableContents"/>
              <w:bidi w:val="0"/>
              <w:spacing w:before="0" w:after="283"/>
              <w:jc w:val="left"/>
              <w:rPr/>
            </w:pPr>
            <w:r>
              <w:rPr/>
              <w:t>  </w:t>
            </w:r>
          </w:p>
        </w:tc>
        <w:tc>
          <w:tcPr>
            <w:tcW w:w="5455" w:type="dxa"/>
            <w:tcBorders/>
            <w:vAlign w:val="bottom"/>
          </w:tcPr>
          <w:p>
            <w:pPr>
              <w:pStyle w:val="TableContents"/>
              <w:bidi w:val="0"/>
              <w:spacing w:before="0" w:after="283"/>
              <w:jc w:val="left"/>
              <w:rPr/>
            </w:pPr>
            <w:r>
              <w:rPr/>
              <w:t>Executive Vice President and Chief Architect</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 Abbey</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0"/>
              <w:jc w:val="center"/>
              <w:rPr>
                <w:rFonts w:ascii="Times New Roman" w:hAnsi="Times New Roman"/>
                <w:sz w:val="20"/>
              </w:rPr>
            </w:pPr>
            <w:r>
              <w:rPr>
                <w:rFonts w:ascii="Times New Roman" w:hAnsi="Times New Roman"/>
                <w:sz w:val="20"/>
              </w:rPr>
              <w:t>53</w:t>
            </w:r>
          </w:p>
        </w:tc>
        <w:tc>
          <w:tcPr>
            <w:tcW w:w="120" w:type="dxa"/>
            <w:tcBorders/>
            <w:shd w:fill="CCEEFF" w:val="clear"/>
            <w:vAlign w:val="bottom"/>
          </w:tcPr>
          <w:p>
            <w:pPr>
              <w:pStyle w:val="TableContents"/>
              <w:bidi w:val="0"/>
              <w:spacing w:before="0" w:after="283"/>
              <w:jc w:val="left"/>
              <w:rPr/>
            </w:pPr>
            <w:r>
              <w:rPr/>
              <w:t>  </w:t>
            </w:r>
          </w:p>
        </w:tc>
        <w:tc>
          <w:tcPr>
            <w:tcW w:w="5455" w:type="dxa"/>
            <w:tcBorders/>
            <w:shd w:fill="CCEEFF" w:val="clear"/>
            <w:vAlign w:val="bottom"/>
          </w:tcPr>
          <w:p>
            <w:pPr>
              <w:pStyle w:val="TableContents"/>
              <w:bidi w:val="0"/>
              <w:spacing w:before="0" w:after="283"/>
              <w:jc w:val="left"/>
              <w:rPr/>
            </w:pPr>
            <w:r>
              <w:rPr/>
              <w:t>Executive Vice President and Chief Commercial Officer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Non-Executive Directors </w:t>
      </w:r>
    </w:p>
    <w:p>
      <w:pPr>
        <w:pStyle w:val="TextBody"/>
        <w:bidi w:val="0"/>
        <w:spacing w:before="120" w:after="0"/>
        <w:jc w:val="left"/>
        <w:rPr>
          <w:rFonts w:ascii="Times New Roman" w:hAnsi="Times New Roman"/>
          <w:sz w:val="20"/>
        </w:rPr>
      </w:pPr>
      <w:r>
        <w:rPr>
          <w:rFonts w:ascii="Times New Roman" w:hAnsi="Times New Roman"/>
          <w:i/>
          <w:sz w:val="20"/>
        </w:rPr>
        <w:t xml:space="preserve">Masayoshi Son </w:t>
      </w:r>
      <w:r>
        <w:rPr>
          <w:rFonts w:ascii="Times New Roman" w:hAnsi="Times New Roman"/>
          <w:sz w:val="20"/>
        </w:rPr>
        <w:t xml:space="preserve">has served as a Director and Chairman of our Board of Directors since March 2018. From September 2016 to March 2018, Mr. Son served as Chairman of the Board of Directors of Arm Holdings plc. Mr. Son founded SoftBank Group in September 1981 and has been its Chairman and Chief Executive Officer since February 1986. Founded initially as a PC software distribution business, SoftBank Group and its portfolio of companies have expanded to cover a range of technologies, including advanced telecommunications, internet services, AI, smart robotics, and IoT. Mr. Son has overseen investments in some of the worlds fastest-growing technology companies. Mr. Son serves in various capacities within SoftBank Groups portfolio of companies, including SoftBank Corp. (Japanese Telecommunication Operator) as its Chairman since 2015 and served as its Chairman and Chief Executive Officer from 2006 to 2015. Mr. Son has also served as Honorary Chairman of the Broadband Association in Japan. </w:t>
      </w:r>
    </w:p>
    <w:p>
      <w:pPr>
        <w:pStyle w:val="TextBody"/>
        <w:bidi w:val="0"/>
        <w:spacing w:before="240" w:after="0"/>
        <w:jc w:val="left"/>
        <w:rPr>
          <w:rFonts w:ascii="Times New Roman" w:hAnsi="Times New Roman"/>
          <w:sz w:val="20"/>
        </w:rPr>
      </w:pPr>
      <w:r>
        <w:rPr>
          <w:rFonts w:ascii="Times New Roman" w:hAnsi="Times New Roman"/>
          <w:sz w:val="20"/>
        </w:rPr>
        <w:t xml:space="preserve">Mr. Son was selected to serve on our Board of Directors because of his vast executive leadership experience, including through his service as Chairman and Chief Executive Officer of SoftBank Group, a large international public company and our controlling shareholder, along with his significant expertise in technology and innovation. </w:t>
      </w:r>
    </w:p>
    <w:p>
      <w:pPr>
        <w:pStyle w:val="TextBody"/>
        <w:bidi w:val="0"/>
        <w:spacing w:before="240" w:after="0"/>
        <w:jc w:val="left"/>
        <w:rPr>
          <w:rFonts w:ascii="Times New Roman" w:hAnsi="Times New Roman"/>
          <w:sz w:val="20"/>
        </w:rPr>
      </w:pPr>
      <w:r>
        <w:rPr>
          <w:rFonts w:ascii="Times New Roman" w:hAnsi="Times New Roman"/>
          <w:i/>
          <w:sz w:val="20"/>
        </w:rPr>
        <w:t xml:space="preserve">Ronald D. Fisher </w:t>
      </w:r>
      <w:r>
        <w:rPr>
          <w:rFonts w:ascii="Times New Roman" w:hAnsi="Times New Roman"/>
          <w:sz w:val="20"/>
        </w:rPr>
        <w:t xml:space="preserve">has served as a Director of our Board of Directors since March 2018. Mr. Fisher is a Senior Advisor at SoftBank Investment Advisors. Mr. Fisher joined SoftBank Group in 1995 and was the founder and Managing Partner of SoftBank Capital. Mr. Fisher joined the Board of SoftBank Group in 1997 and was Vice Chairman from 2017 to 2022. Mr. Fisher has more than 40 years of experience of working with high-growth and turnaround technology companies. Prior to joining SoftBank Group, Mr. Fisher was the Chief Executive Officer of Phoenix Technologies Ltd., the leading developer and marketer of system software products for personal computers, from 1990 to 1995. Mr. Fisher joined Phoenix from Interactive Systems Corporation,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UNIX 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 </w:t>
      </w:r>
    </w:p>
    <w:p>
      <w:pPr>
        <w:pStyle w:val="TextBody"/>
        <w:bidi w:val="0"/>
        <w:spacing w:before="240" w:after="0"/>
        <w:jc w:val="left"/>
        <w:rPr>
          <w:rFonts w:ascii="Times New Roman" w:hAnsi="Times New Roman"/>
          <w:sz w:val="20"/>
        </w:rPr>
      </w:pPr>
      <w:r>
        <w:rPr>
          <w:rFonts w:ascii="Times New Roman" w:hAnsi="Times New Roman"/>
          <w:sz w:val="20"/>
        </w:rPr>
        <w:t xml:space="preserve">Mr. Fisher was selected to serve on our Board of Directors due to his extensive business, operational and management experience in the technology industry. </w:t>
      </w:r>
    </w:p>
    <w:p>
      <w:pPr>
        <w:pStyle w:val="TextBody"/>
        <w:bidi w:val="0"/>
        <w:spacing w:before="240" w:after="0"/>
        <w:jc w:val="left"/>
        <w:rPr>
          <w:rFonts w:ascii="Times New Roman" w:hAnsi="Times New Roman"/>
          <w:sz w:val="20"/>
        </w:rPr>
      </w:pPr>
      <w:r>
        <w:rPr>
          <w:rFonts w:ascii="Times New Roman" w:hAnsi="Times New Roman"/>
          <w:i/>
          <w:sz w:val="20"/>
        </w:rPr>
        <w:t>Jeffrey A. Sine</w:t>
      </w:r>
      <w:r>
        <w:rPr>
          <w:rFonts w:ascii="Times New Roman" w:hAnsi="Times New Roman"/>
          <w:sz w:val="20"/>
        </w:rPr>
        <w:t xml:space="preserve"> has served as a Director of our Board of Directors since September 2022. Mr. Sine is the Co-Founder and Partner of The Raine Group LLC, a global merchant bank focused on technology, media, and communications. Prior to founding The Raine Group LLC, he served as Vice Chairman and Global Head of Technology, Media &amp; Telecom Investment Banking at UBS Investment Bank. Mr. Sine was a Managing Director at Morgan Stanley and an attorney at Sullivan &amp; Cromwell in New York and London. Mr. Sine currently serves on the boards of many portfolio companies and subsidiaries of The Raine Group LLC. He also serves on the boards of National Public Radio, ITHAKA, Educational Testing Service, American University and The Manhattan Theatre Club. </w:t>
      </w:r>
    </w:p>
    <w:p>
      <w:pPr>
        <w:pStyle w:val="TextBody"/>
        <w:bidi w:val="0"/>
        <w:spacing w:before="240" w:after="0"/>
        <w:jc w:val="left"/>
        <w:rPr>
          <w:rFonts w:ascii="Times New Roman" w:hAnsi="Times New Roman"/>
          <w:sz w:val="20"/>
        </w:rPr>
      </w:pPr>
      <w:r>
        <w:rPr>
          <w:rFonts w:ascii="Times New Roman" w:hAnsi="Times New Roman"/>
          <w:sz w:val="20"/>
        </w:rPr>
        <w:t xml:space="preserve">Mr. Sine was selected to serve on our Board of Directors due to his significant experience as a leader and director of multiple global companies with international operations as well as his capital markets and financial experience from his tenure at global financial institutions. </w:t>
      </w:r>
    </w:p>
    <w:p>
      <w:pPr>
        <w:pStyle w:val="TextBody"/>
        <w:bidi w:val="0"/>
        <w:spacing w:before="240" w:after="0"/>
        <w:jc w:val="left"/>
        <w:rPr>
          <w:rFonts w:ascii="Times New Roman" w:hAnsi="Times New Roman"/>
          <w:sz w:val="20"/>
        </w:rPr>
      </w:pPr>
      <w:r>
        <w:rPr>
          <w:rFonts w:ascii="Times New Roman" w:hAnsi="Times New Roman"/>
          <w:i/>
          <w:sz w:val="20"/>
        </w:rPr>
        <w:t>Karen E. Dykstra</w:t>
      </w:r>
      <w:r>
        <w:rPr>
          <w:rFonts w:ascii="Times New Roman" w:hAnsi="Times New Roman"/>
          <w:sz w:val="20"/>
        </w:rPr>
        <w:t xml:space="preserve"> has served as a Director of our Board of Directors since September 2022. Ms. Dykstra is the Chief Financial Officer of VMware, Inc., a position she has held since June 2023. Ms. Dykstra previously served as Chief Financial and 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PresidentFinance, Corporate Controller, and in other capacities. Ms. Dykstra is a director of VMware, Inc. and former director of Crane Co., AOL, Inc. and Boston Properties, Inc. </w:t>
      </w:r>
    </w:p>
    <w:p>
      <w:pPr>
        <w:pStyle w:val="TextBody"/>
        <w:bidi w:val="0"/>
        <w:spacing w:before="240" w:after="0"/>
        <w:jc w:val="left"/>
        <w:rPr>
          <w:rFonts w:ascii="Times New Roman" w:hAnsi="Times New Roman"/>
          <w:sz w:val="20"/>
        </w:rPr>
      </w:pPr>
      <w:r>
        <w:rPr>
          <w:rFonts w:ascii="Times New Roman" w:hAnsi="Times New Roman"/>
          <w:sz w:val="20"/>
        </w:rPr>
        <w:t xml:space="preserve">Ms. Dykstra was selected to serve on our Board of Directors due to her broad executive management experience and financial expertise as the Chief Financial Officer of multiple global companies and her experience from serving on the board of directors of other companies in the technology industry. </w:t>
      </w:r>
    </w:p>
    <w:p>
      <w:pPr>
        <w:pStyle w:val="TextBody"/>
        <w:bidi w:val="0"/>
        <w:spacing w:before="240" w:after="0"/>
        <w:jc w:val="left"/>
        <w:rPr>
          <w:rFonts w:ascii="Times New Roman" w:hAnsi="Times New Roman"/>
          <w:sz w:val="20"/>
        </w:rPr>
      </w:pPr>
      <w:r>
        <w:rPr>
          <w:rFonts w:ascii="Times New Roman" w:hAnsi="Times New Roman"/>
          <w:i/>
          <w:sz w:val="20"/>
        </w:rPr>
        <w:t xml:space="preserve">Anthony Michael Fadell </w:t>
      </w:r>
      <w:r>
        <w:rPr>
          <w:rFonts w:ascii="Times New Roman" w:hAnsi="Times New Roman"/>
          <w:sz w:val="20"/>
        </w:rPr>
        <w:t>has served as a Director of our Board of Directors since September 2022. Mr. Fadell is an active investor and entrepreneur with over 30 years of experience in founding companies and designing consumer products. He is the Principal at the Build Collective, an investment and advisory firm that invests in deep tech startups. Currently, the Build Collective is working with startups on over 200 innovative technologies. Mr. Fadell is the founder and former Chief Executive Officer of Nest, a major pioneer in the IoT space. He was Senior Vice President of Apples iPod division and led the team that created the first 18 generations of the iPod and the first three generations of the iPhone. Mr. Fadell also served as an Advisor to the Chief Executive Officer at Apple. Throughout his career, Mr. Fadell has authored more than 300 patents. He is also a New York Times bestselling author of </w:t>
      </w:r>
      <w:r>
        <w:rPr>
          <w:rFonts w:ascii="Times New Roman" w:hAnsi="Times New Roman"/>
          <w:i/>
          <w:sz w:val="20"/>
        </w:rPr>
        <w:t>BUILD: An Unorthodox Guide to Making Things Worth Making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Mr. Fadell was selected to serve on our Board of Directors due to his extensive experience in a range of technology companies as well as his significant leadership experience, including serving as the founder and Chief Executive Officer of a leader in the IoT space, and his in-depth knowledge of the technology industry. </w:t>
      </w:r>
    </w:p>
    <w:p>
      <w:pPr>
        <w:pStyle w:val="TextBody"/>
        <w:bidi w:val="0"/>
        <w:spacing w:before="240" w:after="0"/>
        <w:jc w:val="left"/>
        <w:rPr>
          <w:rFonts w:ascii="Times New Roman" w:hAnsi="Times New Roman"/>
          <w:sz w:val="20"/>
        </w:rPr>
      </w:pPr>
      <w:r>
        <w:rPr>
          <w:rFonts w:ascii="Times New Roman" w:hAnsi="Times New Roman"/>
          <w:i/>
          <w:sz w:val="20"/>
        </w:rPr>
        <w:t>Rosemary Schooler</w:t>
      </w:r>
      <w:r>
        <w:rPr>
          <w:rFonts w:ascii="Times New Roman" w:hAnsi="Times New Roman"/>
          <w:sz w:val="20"/>
        </w:rPr>
        <w:t xml:space="preserve"> has served as a Director of our Board of Directors since December 2022. Ms. Schooler has over 30 years of experience in the global technology industry. She most recently served as Corporate 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President and General Manager of Data Center and AI Sales for Intel Corporation. During her 33-year career at 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non-profits, including the National Center for Women in Technology. She was previously a director for Cloudera and currently serves on the board of directors for Zurn Water Solutions. Ms. Schooler earned a B.S. in ceramic science and engineering from Penn State University. </w:t>
      </w:r>
    </w:p>
    <w:p>
      <w:pPr>
        <w:pStyle w:val="TextBody"/>
        <w:bidi w:val="0"/>
        <w:spacing w:before="240" w:after="0"/>
        <w:jc w:val="left"/>
        <w:rPr>
          <w:rFonts w:ascii="Times New Roman" w:hAnsi="Times New Roman"/>
          <w:sz w:val="20"/>
        </w:rPr>
      </w:pPr>
      <w:r>
        <w:rPr>
          <w:rFonts w:ascii="Times New Roman" w:hAnsi="Times New Roman"/>
          <w:sz w:val="20"/>
        </w:rPr>
        <w:t xml:space="preserve">Ms. Schooler was selected to serve on our Board of Directors due to her expansive knowledge of corporate strategy and strategic planning and vast experience as a leader in the technology industry. </w:t>
      </w:r>
    </w:p>
    <w:p>
      <w:pPr>
        <w:pStyle w:val="TextBody"/>
        <w:bidi w:val="0"/>
        <w:spacing w:before="240" w:after="0"/>
        <w:jc w:val="left"/>
        <w:rPr>
          <w:rFonts w:ascii="Times New Roman" w:hAnsi="Times New Roman"/>
          <w:sz w:val="20"/>
        </w:rPr>
      </w:pPr>
      <w:r>
        <w:rPr>
          <w:rFonts w:ascii="Times New Roman" w:hAnsi="Times New Roman"/>
          <w:i/>
          <w:sz w:val="20"/>
        </w:rPr>
        <w:t>Paul E. Jacobs, PhD</w:t>
      </w:r>
      <w:r>
        <w:rPr>
          <w:rFonts w:ascii="Times New Roman" w:hAnsi="Times New Roman"/>
          <w:sz w:val="20"/>
        </w:rPr>
        <w:t xml:space="preserve"> has served as a Director of our Board of Directors since December 2022. Dr. Jacobs is the Chairman and Chief Executive Officer of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serves as a director of Dropbox, Inc. and For Inspiration and Recognition of Science and Technology.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 </w:t>
      </w:r>
    </w:p>
    <w:p>
      <w:pPr>
        <w:pStyle w:val="TextBody"/>
        <w:bidi w:val="0"/>
        <w:spacing w:before="240" w:after="0"/>
        <w:jc w:val="left"/>
        <w:rPr>
          <w:rFonts w:ascii="Times New Roman" w:hAnsi="Times New Roman"/>
          <w:sz w:val="20"/>
        </w:rPr>
      </w:pPr>
      <w:r>
        <w:rPr>
          <w:rFonts w:ascii="Times New Roman" w:hAnsi="Times New Roman"/>
          <w:sz w:val="20"/>
        </w:rPr>
        <w:t xml:space="preserve">Dr. Jacobs was selected to serve on our Board of Directors based on his experience as the leader and board member of multiple global companies, as well as his innovation and business experience with companies in, and his in-depth knowledge of, the technology sector.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i/>
          <w:sz w:val="20"/>
        </w:rPr>
        <w:t xml:space="preserve">Rene Haas </w:t>
      </w:r>
      <w:r>
        <w:rPr>
          <w:rFonts w:ascii="Times New Roman" w:hAnsi="Times New Roman"/>
          <w:sz w:val="20"/>
        </w:rPr>
        <w:t xml:space="preserve">has served as our Chief Executive Officer and a Director since February 2022. Prior to being appointed as Chief Executive Officer, Mr. 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has sat on the boards of Arm China and SoftBank Group since December 2016 and June 2023, respectively. Mr. Haas also provides certain advisory and consulting services to SoftBank Group. Mr. Haas joined the Company in October 2013 as Vice President of Strategic Alliances and two years later was appointed to the Executive Committee and named Arms Chief Commercial Officer in charge of global sales and marketing. Before joining the Company, Mr. Haas held several applications management, applications engineering and product engineering roles, including seven years at NVIDIA as Vice President and General Manager of its computing products business. Prior to NVIDIA, Mr. Haas executive roles at Scintera Networks and Tensilica. Mr. Haas earned his Bachelor of Science in Electrical and Electronics Engineering from Clarkson University and is a graduate of the Stanford University Graduate School of Business Executive Education Program. Mr. Haas was selected to serve on our Board of Directors due to his knowledge of our business as our Chief Executive Officer and his extensive experience in the semiconductor industry. </w:t>
      </w:r>
    </w:p>
    <w:p>
      <w:pPr>
        <w:pStyle w:val="TextBody"/>
        <w:bidi w:val="0"/>
        <w:spacing w:before="240" w:after="0"/>
        <w:jc w:val="left"/>
        <w:rPr>
          <w:rFonts w:ascii="Times New Roman" w:hAnsi="Times New Roman"/>
          <w:sz w:val="20"/>
        </w:rPr>
      </w:pPr>
      <w:r>
        <w:rPr>
          <w:rFonts w:ascii="Times New Roman" w:hAnsi="Times New Roman"/>
          <w:i/>
          <w:sz w:val="20"/>
        </w:rPr>
        <w:t xml:space="preserve">Jason Child </w:t>
      </w:r>
      <w:r>
        <w:rPr>
          <w:rFonts w:ascii="Times New Roman" w:hAnsi="Times New Roman"/>
          <w:sz w:val="20"/>
        </w:rPr>
        <w:t xml:space="preserve">has served as our Executive Vice President and Chief Financial Officer since November 2022. Mr. Childs career spans 30 years across all aspects of global finance and strategy, accounting, capital markets and treasury, initial public offering execution, and investor relations. He has extensive experience in scaling disruptive technologies within enterprise software and software-as-a-service industries, e-commerce, local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commerce, consumer hardware and IoT, and online residential real estate. He most recently served as Senior Vice-President and Chief Financial Officer at Splunk, a technology company specializing in application management, security, and compliance, as well as business and web analytics. Mr. Child has also served as Chief Financial Officer for Groupon, Inc., a global e-commerce marketplace, Jawbone, a consumer technology and wearable device company, and Opendoor Technologies Inc, an online real estate company. Prior to those roles, he spent more than 11 years leading various global finance teams at Amazon and served as Chief Financial Officer of Amazon International. Mr. Child has served as a member of the board of directors of Coupang, Inc., an e-commerce company, since April 2022. He holds a B.A. from the Foster School of Business at the University of Washington, where he currently serves on its Global Advisory Board. </w:t>
      </w:r>
    </w:p>
    <w:p>
      <w:pPr>
        <w:pStyle w:val="TextBody"/>
        <w:bidi w:val="0"/>
        <w:spacing w:before="240" w:after="0"/>
        <w:jc w:val="left"/>
        <w:rPr>
          <w:rFonts w:ascii="Times New Roman" w:hAnsi="Times New Roman"/>
          <w:sz w:val="20"/>
        </w:rPr>
      </w:pPr>
      <w:r>
        <w:rPr>
          <w:rFonts w:ascii="Times New Roman" w:hAnsi="Times New Roman"/>
          <w:i/>
          <w:sz w:val="20"/>
        </w:rPr>
        <w:t>Kirsty Gill</w:t>
      </w:r>
      <w:r>
        <w:rPr>
          <w:rFonts w:ascii="Times New Roman" w:hAnsi="Times New Roman"/>
          <w:sz w:val="20"/>
        </w:rPr>
        <w:t xml:space="preserve"> has served as our Executive Vice President and Chief People Officer since April 2018. Ms. Gill joined the Company in 2002 and has held various leadership roles in the People group, including executive compensation, reward, organizational effectiveness, and people services and systems. As Chief People Officer, she is responsible for managing our policies with respect to our employees, our workplace and the sustainability of our business practices. Ms. Gill delivers a unique, progressive, and human working environment, ensuring that our Core Beliefs are reflected in our policies and practices, allowing everyone to thrive and contribute to their full potential. Prior to joining the Company, Ms. Gill was Human Resources Director for a start-up company, GF-X, and started her human resources career at Accenture. Ms. Gill graduated from the University of Cambridge and is a board member of Cambridge Ahead. </w:t>
      </w:r>
    </w:p>
    <w:p>
      <w:pPr>
        <w:pStyle w:val="TextBody"/>
        <w:bidi w:val="0"/>
        <w:spacing w:before="240" w:after="0"/>
        <w:jc w:val="left"/>
        <w:rPr>
          <w:rFonts w:ascii="Times New Roman" w:hAnsi="Times New Roman"/>
          <w:sz w:val="20"/>
        </w:rPr>
      </w:pPr>
      <w:r>
        <w:rPr>
          <w:rFonts w:ascii="Times New Roman" w:hAnsi="Times New Roman"/>
          <w:i/>
          <w:sz w:val="20"/>
        </w:rPr>
        <w:t>Spencer Collins</w:t>
      </w:r>
      <w:r>
        <w:rPr>
          <w:rFonts w:ascii="Times New Roman" w:hAnsi="Times New Roman"/>
          <w:sz w:val="20"/>
        </w:rPr>
        <w:t xml:space="preserve"> has served as our Executive Vice President and Chief Legal Officer since September 2022. Prior to his appointment, he served as Interim General Counsel from February 2022. Mr. Collins has more than 20 years of industry experience and has served as lead counsel on many of the highest-profile M&amp;A and investment transactions in the technology sector. Prior to joining the Company, Mr. Collins was Managing Partner and General Counsel at SoftBank Investment Advisors, the investment manager of SoftBank Vision Fund. Mr. Collins has also served as a partner in the investment team at SoftBank Investment Advisors. Prior to joining SoftBank Investment Advisors, he practiced as a technology-focused M&amp;A and investment lawyer in the London offices of White &amp; Case and Allen &amp; Overy. Mr. Collins also spent time on secondment from Allen &amp; Overy to Fenwick &amp; West. Mr. Collins holds an LL.B. with first class honors. </w:t>
      </w:r>
    </w:p>
    <w:p>
      <w:pPr>
        <w:pStyle w:val="TextBody"/>
        <w:bidi w:val="0"/>
        <w:spacing w:before="240" w:after="0"/>
        <w:jc w:val="left"/>
        <w:rPr>
          <w:rFonts w:ascii="Times New Roman" w:hAnsi="Times New Roman"/>
          <w:sz w:val="20"/>
        </w:rPr>
      </w:pPr>
      <w:r>
        <w:rPr>
          <w:rFonts w:ascii="Times New Roman" w:hAnsi="Times New Roman"/>
          <w:i/>
          <w:sz w:val="20"/>
        </w:rPr>
        <w:t xml:space="preserve">Richard Grisenthwaite </w:t>
      </w:r>
      <w:r>
        <w:rPr>
          <w:rFonts w:ascii="Times New Roman" w:hAnsi="Times New Roman"/>
          <w:sz w:val="20"/>
        </w:rPr>
        <w:t xml:space="preserve">has served as our Executive Vice President and Chief Architect since March 2022. Mr. Grisenthwaite joined Arm in March 1997, and is responsible for the long-term evolution of our architecture, leading its development for more than 20 years, beginning with Armv6. He is currently leading development on Armv9 to ensure its specialized processing unlocks new markets and opportunities across the full spectrum of compute. Early in his tenure at the Company, Mr. Grisenthwaite worked on Arm720T, Arm940T, and Arm1136EJF-S. Prior to joining the Company, he worked for Analog Devices on fixed-function digital signal processors and at Inmos/ST on the Transputer. Mr. Grisenthwaite is an Arm fellow, has a B.A. in Electrical and Information Sciences from the University of Cambridge and holds 107 patents in the field of microprocessors. </w:t>
      </w:r>
    </w:p>
    <w:p>
      <w:pPr>
        <w:pStyle w:val="TextBody"/>
        <w:bidi w:val="0"/>
        <w:spacing w:before="240" w:after="0"/>
        <w:jc w:val="left"/>
        <w:rPr>
          <w:rFonts w:ascii="Times New Roman" w:hAnsi="Times New Roman"/>
          <w:sz w:val="20"/>
        </w:rPr>
      </w:pPr>
      <w:r>
        <w:rPr>
          <w:rFonts w:ascii="Times New Roman" w:hAnsi="Times New Roman"/>
          <w:i/>
          <w:sz w:val="20"/>
        </w:rPr>
        <w:t>Will Abbey</w:t>
      </w:r>
      <w:r>
        <w:rPr>
          <w:rFonts w:ascii="Times New Roman" w:hAnsi="Times New Roman"/>
          <w:sz w:val="20"/>
        </w:rPr>
        <w:t xml:space="preserve"> has served as our Executive Vice President and Chief Commercial Officer since April 2023. Mr. Abbey joined the Company in 2004 and has held a number of leadership roles, including Senior Vice President of Sales and Partner Enablement, General Manager of our Physical Design group and Vice President of Commercial Operations for the Physical IP Division. Now, as Executive Vice President and Chief Commercial Officer, Mr. Abbey leads sales, field engineering, and partner enablement at the Company, helping some of the worlds most innovative organizations leverage the newest technologies to ready themselves for the next wave of digital transformation. From IP to AI, his unique insight has helped the worlds technology leaders transform their products and operations. Before joining the Company, he worked in product management positions at Celoxica, Infineon Technologies, and Loughborough Sound Images. Mr. Abbey serves on the board of EnPro Industries and holds a BEng from Sheffield Hallam University, U.K.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our executive officers or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Foreign Private Issuer Exemption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by the SEC. As a result, in accordance with SEC and Nasdaq rules, we may, and intend to, rely on and comply with certain home country governance requirements and exemptions thereunder rather than complying with Nasdaq corporate governance standards. While we expect to voluntarily follow most Nasdaq corporate governance rules, we intend to take advantage of certain exemptions, including, but not limited to, exemptions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rules applicable to domestic issuers requiring disclosure within four business days of any determination to grant a waiver of the Code of Conduct to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to obtain shareholder approval for certain issuances of securities, including shareholder approval of share option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our audit committee have review and oversight responsibilities over all related party transactions, as defined in Item 7.B of Form 20-F;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there be regularly scheduled meetings of only the independent directors at least twice a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to solicit proxies and provide proxy statements for all meetings of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the Companys bylaws or articles of association provide that a quorum for the shareholders meeting consists of at least 33 1/3% of the outstanding shares of the Companys voting common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follow the practices of England and Wales, our country of incorporation, in lieu of the foregoing requirements. Although we may rely on home country corporate governance practices in lieu of certain of the rules in the Nasdaq Rule 5600 Series and Rule 5250(d), we must comply with Nasdaqs Notification of Noncompliance requirement (Rule 5625), the Voting Rights requirement (Rule 5640), the Diverse Board Representation Rule (Rule 5605(f)), the Board Diversity Disclosure Rule (Rule 5606) and that we have an audit committee that satisfies Rule 5605(c)(3), consisting of committee members that meet the independence requirements of Rule 5605(c)(2)(A)(ii). </w:t>
      </w:r>
    </w:p>
    <w:p>
      <w:pPr>
        <w:pStyle w:val="TextBody"/>
        <w:bidi w:val="0"/>
        <w:spacing w:before="240" w:after="0"/>
        <w:jc w:val="left"/>
        <w:rPr>
          <w:rFonts w:ascii="Times New Roman" w:hAnsi="Times New Roman"/>
          <w:sz w:val="20"/>
        </w:rPr>
      </w:pPr>
      <w:r>
        <w:rPr>
          <w:rFonts w:ascii="Times New Roman" w:hAnsi="Times New Roman"/>
          <w:sz w:val="20"/>
        </w:rPr>
        <w:t xml:space="preserve">Accordingly, our shareholders will not have the same protections afforded to shareholders of companies that are subject to all of the corporate governance requirements of Nasdaq. We may utilize these exemptions for as long as we continue to qualify as a foreign private issuer. </w:t>
      </w:r>
    </w:p>
    <w:p>
      <w:pPr>
        <w:pStyle w:val="TextBody"/>
        <w:bidi w:val="0"/>
        <w:spacing w:before="360" w:after="0"/>
        <w:jc w:val="left"/>
        <w:rPr>
          <w:rFonts w:ascii="Times New Roman" w:hAnsi="Times New Roman"/>
          <w:b/>
          <w:sz w:val="20"/>
        </w:rPr>
      </w:pPr>
      <w:r>
        <w:rPr>
          <w:rFonts w:ascii="Times New Roman" w:hAnsi="Times New Roman"/>
          <w:b/>
          <w:sz w:val="20"/>
        </w:rPr>
        <w:t xml:space="preserve">Controlled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SoftBank Group is expected to beneficially own approximately     % of our outstanding ordinary shares upon the completion of this offering (or     % if the underwriters exercise in full their option to purchase additional ADSs from the selling shareholder). As a result of SoftBank Groups ownership, after the completion of this offering, we will be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As a controlled company, certain exemptions under the rules will mean that we are not required to comply with certain corporate governance requirements, including that (1) a majority of our Board of Directors consists of independent directors, as defined under Nasdaq listing rules, (2) a majority of the independent directors select or recommend its director nominees, (3) the remuneration committee be responsible for determining or recommending the compensation of executive officers other than our Chief Executive Officer, and (4) we have a remuneration committee that consists entirely of independent directors. We intend to take advantage of the foregoing exemptions. Accordingly, you will not have the same protections afforded to shareholders of companies that are subject to all of these corporate governance requirements. In the event that we cease to be a controlled company and our ADSs continue to be listed on Nasdaq, we will be required to comply with these provisions within the applicable transition periods. See Risk FactorsRisks Relating to Our Status as a Controlled Company and Foreign Private IssuerWe will be a controlled company within the meaning of the Nasdaq corporate governance rules and, as a result, be eligible to rely on exemptions from certain corporate governance requirements that provide protection to stockholders of companies that are not controlled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Composition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of Directors. Our Board of Directors currently consists of eight members, all of whom will continue to serve on our Board of Directors upon the completion of this offering. Mr. Son serves as the Chair of our Board of Directors. Our Board of Directors has affirmatively determined that none of Ms. Dykstra, Mr. Fadell, Ms. Schooler and Dr. Jacobs have a relationship that would interfere with the exercise of independent judgment in carrying out the responsibilities of director and that each of these directors is independent as that term is defined under Nasdaq rules. </w:t>
      </w:r>
    </w:p>
    <w:p>
      <w:pPr>
        <w:pStyle w:val="TextBody"/>
        <w:bidi w:val="0"/>
        <w:spacing w:before="240" w:after="0"/>
        <w:jc w:val="left"/>
        <w:rPr>
          <w:rFonts w:ascii="Times New Roman" w:hAnsi="Times New Roman"/>
          <w:sz w:val="20"/>
        </w:rPr>
      </w:pPr>
      <w:r>
        <w:rPr>
          <w:rFonts w:ascii="Times New Roman" w:hAnsi="Times New Roman"/>
          <w:sz w:val="20"/>
        </w:rPr>
        <w:t xml:space="preserve">Six of our eight current directors were appointed in 2022 in anticipation of becoming a public company. Prior to the appointment of these new directors, we undertook a fulsome review of the composition of our Board of Directors and the skills and qualifications necessary to lead our company going forward. Our Board of Directors considered diversity of experience and expertise as well as gender, racial and ethnic diversity. We believe that the diversity of viewpoints and collective experience of our directors makes our Board of Directors well positioned to lead Arm into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SoftBank Groups Director Nomination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does not have a standing nominating committee. Pursuant to the Shareholder Governance Agreement, SoftBank Group will have the right to designate a certain number of candidates for election to our Board of Directors based on its and its controlled affiliates ownership of our outstanding ordinary shares, provided that a certain number of such candidates must be independent under law or stock exchange rules applicable to our directors at the time of such nomination. SoftBank Groups designation rights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00"/>
        <w:gridCol w:w="648"/>
        <w:gridCol w:w="865"/>
        <w:gridCol w:w="2020"/>
        <w:gridCol w:w="60"/>
        <w:gridCol w:w="648"/>
        <w:gridCol w:w="865"/>
        <w:gridCol w:w="2020"/>
        <w:gridCol w:w="62"/>
      </w:tblGrid>
      <w:tr>
        <w:trPr/>
        <w:tc>
          <w:tcPr>
            <w:tcW w:w="2200"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Ownership of our outstanding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ordinary shares:</w:t>
            </w:r>
          </w:p>
        </w:tc>
        <w:tc>
          <w:tcPr>
            <w:tcW w:w="648" w:type="dxa"/>
            <w:tcBorders/>
            <w:vAlign w:val="bottom"/>
          </w:tcPr>
          <w:p>
            <w:pPr>
              <w:pStyle w:val="TableContents"/>
              <w:bidi w:val="0"/>
              <w:spacing w:before="0" w:after="283"/>
              <w:jc w:val="left"/>
              <w:rPr/>
            </w:pPr>
            <w:r>
              <w:rPr/>
              <w:t> </w:t>
            </w:r>
          </w:p>
        </w:tc>
        <w:tc>
          <w:tcPr>
            <w:tcW w:w="2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SoftBank Group</w:t>
              <w:br/>
              <w:t>candidates for election to</w:t>
              <w:br/>
              <w:t>our Board of Directors:</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2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SoftBank Group</w:t>
              <w:br/>
              <w:t>candidates that must</w:t>
              <w:br/>
              <w:t>be independent:</w:t>
            </w:r>
          </w:p>
        </w:tc>
        <w:tc>
          <w:tcPr>
            <w:tcW w:w="62" w:type="dxa"/>
            <w:tcBorders/>
            <w:vAlign w:val="bottom"/>
          </w:tcPr>
          <w:p>
            <w:pPr>
              <w:pStyle w:val="TableContents"/>
              <w:bidi w:val="0"/>
              <w:spacing w:before="0" w:after="283"/>
              <w:jc w:val="left"/>
              <w:rPr/>
            </w:pPr>
            <w:r>
              <w:rPr/>
              <w:t> </w:t>
            </w:r>
          </w:p>
        </w:tc>
      </w:tr>
      <w:tr>
        <w:trPr/>
        <w:tc>
          <w:tcPr>
            <w:tcW w:w="2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Greater than 70%</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3</w:t>
            </w:r>
          </w:p>
        </w:tc>
        <w:tc>
          <w:tcPr>
            <w:tcW w:w="62" w:type="dxa"/>
            <w:tcBorders/>
            <w:shd w:fill="CCEEFF" w:val="clear"/>
            <w:vAlign w:val="bottom"/>
          </w:tcPr>
          <w:p>
            <w:pPr>
              <w:pStyle w:val="TableContents"/>
              <w:bidi w:val="0"/>
              <w:spacing w:before="0" w:after="283"/>
              <w:jc w:val="left"/>
              <w:rPr/>
            </w:pPr>
            <w:r>
              <w:rPr/>
              <w:t> </w:t>
            </w:r>
          </w:p>
        </w:tc>
      </w:tr>
      <w:tr>
        <w:trPr/>
        <w:tc>
          <w:tcPr>
            <w:tcW w:w="2200"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70% and greater than 60%</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2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60% and greater than 50%</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2200"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50% and greater than 40%</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2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40% and greater than 30%</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2200"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30% and greater than 20%</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2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20% and greater than 5%</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SoftBank Groups rights to designate candidates for election to our Board of Directors are based on an eight-member board, including our Chief Executive Officer, and pursuant to the Shareholder Governance Agreement, will be modified ratably to reflect any change in the number of directors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effective upon completion of this offering and for so long as SoftBank Group and its controlled affiliates own more than 70% of our outstanding ordinary shares, SoftBank Group will have the right to increase the size of the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 Governance Agreement also provides SoftBank Group with proportional rights to representation on the committees of our Board of Directors, subject to applicable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two standing committees: an audit committee and a remuneration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oversees our corporate accounting and financial reporting process and assists our Board of Directors in monitoring our financial systems. Our audit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a qualified firm to serve as (i) the independent registered public accounting firm to audit our financial statements and (ii) the U.K. statutory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helping to ensure the independence and performance of the independent registered public accounting firm and the U.K. statutory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helping to maintain and foster an open avenue of communication between management and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U.K. statutory auditors, and reviewing, with management, the independent registered public accounting firm and U.K. statutory auditors, our interim and year-end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if applicable, in accordance with our related party transaction policy, any proposed transactions with related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policies and practices on risk assessment and risk management, including in respect of cyber security, data privacy and technology and information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reviewing a report by the independent registered public accounting firm at least annually, that describes its internal quality-control procedures, any material issues with such procedures, and any steps taken to deal with such issues when required by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all audit and all permissible non-audit services to be performed by the independent registered public accounting firm and U.K. statutory auditors.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                     and                , with                    serving as chair. Our Board of Directors has affirmatively determined that            ,            and                     meet the requirements for independence under current Nasdaq rules and the additional independence standards applicable to audit committee members established pursuant to Rule 10A-3 of the Exchange Act. In addition, our Board of Directors has determined that                    will qualify as an audit committee financial expert as defined by applicable SEC rules. Each member of our audit committee is financially literate.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Remuneration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oversees our remuneration policies, plans and benefits programs. Our remuneration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related to our remuneration plans and equity-based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concerning the overall remuneration philosophy, policies and plans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regarding the performance goals and objectives relevant to the remuneration of our Chief Executive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making recommendations to our Board of Directors regarding the performance of our Chief Executive Officer under the previously established performance criteria, goals and objectives, and evaluating and making recommendations to our Board of Directors regarding total remuneration for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regarding the remuneration to be paid to our non-executive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of Directors the approval of the directors remuneration report, which shall be subject to a shareholder advisory vote at the Companys annual general meeting each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and retaining a remuneration consultant;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matters that are specifically delegated to the remuneration committee by our Board of Directors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remuneration committee consists of                    ,                     and                    , with                     serving as chair.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120" w:after="0"/>
        <w:jc w:val="left"/>
        <w:rPr>
          <w:rFonts w:ascii="Times New Roman" w:hAnsi="Times New Roman"/>
          <w:sz w:val="20"/>
        </w:rPr>
      </w:pPr>
      <w:r>
        <w:rPr>
          <w:rFonts w:ascii="Times New Roman" w:hAnsi="Times New Roman"/>
          <w:sz w:val="20"/>
        </w:rPr>
        <w:t xml:space="preserve">We maintain a Code of Conduct applicable to our and our subsidiaries employees, independent contractors, senior management and directors, including our principal executive officer, principal financial officer, principal accounting officer or controller, or persons performing similar functions. Our Board of Directors will monitor compliance with our Code of Conduct, including reviewing the adequacy and effectiveness of our procedures to ensure proper compliance. Following the effectiveness of the registration statement of which this prospectus is a part, a current copy of the Code of Conduct will be posted on the Investor Relations section of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Remuneration of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March 31, 2023, the aggregate remuneration paid to the members of our Board of Directors and our executive officers for services in all capacities, including retirement and similar benefits but excluding Executive Awards (as described below), was $43,136,444. Of that aggregate amount, $17,297,457 was related to remuneration paid to the members of our Board of Directors. For the fiscal year ended March 31, 2023, the highest paid director received remuneration of $16,518,639, excluding the Executive Awards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do not set aside or accrue any amounts to provide pension, retirement or similar benefits to members of our Board of Directors or executive officers, although we made defined contribution pension contributions on behalf of, and paid pension allowances to, our directors and executive officers in an aggregate amount of $153,874 during the fiscal year ended March 31, 2023. </w:t>
      </w:r>
    </w:p>
    <w:p>
      <w:pPr>
        <w:pStyle w:val="TextBody"/>
        <w:bidi w:val="0"/>
        <w:spacing w:before="240" w:after="0"/>
        <w:jc w:val="left"/>
        <w:rPr>
          <w:rFonts w:ascii="Times New Roman" w:hAnsi="Times New Roman"/>
          <w:sz w:val="20"/>
        </w:rPr>
      </w:pPr>
      <w:r>
        <w:rPr>
          <w:rFonts w:ascii="Times New Roman" w:hAnsi="Times New Roman"/>
          <w:sz w:val="20"/>
        </w:rPr>
        <w:t xml:space="preserve">During the fiscal year ended March 31, 2023, pursuant to our equity incentive plans described under Equity Incentive Plans, we granted conditional rights to receive a specified amount of cash or our ordinary shares to our executive officers, which we refer to as Executive Awards, with outstanding awards in the aggregate amount of $64,769,682. For the fiscal year ended March 31, 2023, our highest paid director did not receive any RSUs and received an Executive Award in the amount of $20,000,000. For more information about awards that vest at the completion of this offering, see Awards Vesting at the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Employment Arrangements and Director Appointment Letters </w:t>
      </w:r>
    </w:p>
    <w:p>
      <w:pPr>
        <w:pStyle w:val="TextBody"/>
        <w:bidi w:val="0"/>
        <w:spacing w:before="120" w:after="0"/>
        <w:jc w:val="left"/>
        <w:rPr>
          <w:rFonts w:ascii="Times New Roman" w:hAnsi="Times New Roman"/>
          <w:i/>
          <w:sz w:val="20"/>
        </w:rPr>
      </w:pPr>
      <w:r>
        <w:rPr>
          <w:rFonts w:ascii="Times New Roman" w:hAnsi="Times New Roman"/>
          <w:i/>
          <w:sz w:val="20"/>
        </w:rPr>
        <w:t xml:space="preserve">Executive Officer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offer letters or employment agreements with our executive officers. Each of our executive officers is employed for an indefinite term unless either we or the executive officer gives prior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to terminate such employment. We may terminate an executive officers employment for cause, at any time, without advance notice or severance (except for accrued remuneration or where required by applicable law). Cause includes, for example, where the executive officer has committed gross misconduct or negligence. We may terminate an executive officers employment, for a fair reason and following a fair process, by providing prior written notice varying between 30 days and 12 months depending on the terms of the executives agreement or at any time for some executives based in the U.S. In such case of termination by us, we will provide severance payments to the executive officer as expressly required by the applicable law of the jurisdiction where the executive officer is based or per the terms contained in their individual agreement, if any. Two U.S. executives are entitled to receive severance if they resign for good reason, their employment is terminated due to death or permanent disability, or if there is a change in control event, as set out in their individual agreements. Good reason includes, for example, a significant diminution in authorities, duties or responsibilities, or a material reduction of the executives salary. To resign for good reason, the executive must provide sixty days of notice and a reasonable cure period. An executive officer may terminate their employment at any time with prior written notice, if required, as set out in their individual employment agreement.</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has agreed to hold, both during and after the employment agreement is terminated, in strict confidence and not to use, except for our benefit, any confidential information of our company or affiliates or of our customers, suppliers and other business partners. The executive officers have also agreed to disclose to us all inventions, designs and any other IP which they develop during their employment with us and to assist us in obtaining and enforcing patent, copyright and other legal rights for such inventions, designs, and IP. In addition, each of our executive officers has agreed to be bound by post-termination covenants in order to protect our business interests, including restrictions on soliciting our customers and our employees. Two U.S. executives have post-termination non-compete provisions that equal or exceed the duration of their severance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Non-Executive Director Appointment Letters Prior to the Consummation of this Offering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letters of appointment with each of our non-executive directors, except for Messrs. Son and Fisher. These letters set forth the terms on which each of our non-executive directors serve on our Board of Directors. Under the letters of appointment, our non-executive directors were entitled to receive (i) remuneration for their services as non-executive directors in accordance with the non-executive director remuneration policy described below and (ii) reimbursement for expenses incurred in connection with the performance of their duties as directors. Continued appointment under the letters was contingent on continued satisfactory performance, re-nomination by the independent directors and approval of the Board of Directors, re-election by the shareholders and any relevant statutory provisions and provisions of the Articles relating to removal of a director. These appointment letters were terminated prior to the consummation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Non-Executive Director Remuneration Policy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our Board of Directors intends to implement a new non-executive director remuneration policy applicable to each of our non-executive directors other than Mr. Son. Under such policy, our non-executive directors will receive an annual retainer of $80,000 in cash and $220,000 in equity awards under our Omnibus Incentive Plan (as defined below). In addition, our non-executive directors, other than Mr. Son, will receive a fee of $5,000 per meeting of the Board of Directors. Members of the audit committee and the remuneration committee will receive $15,000 and $10,000, respectively, in cash annually. The chairs of the audit committee and remuneration committee will receive $30,000 and $20,000, respectively, in cash annually. Non-executive directors do not receive benefits upon removal or resignation from their respective position as directors. We also will reimburse non-executive directors for expenses properly incurred in connection with the performance of his or her duties as a director, including, but not limited to, reasonable travel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equity-based awards to our executive officers and non-executive directors under: (1) the 2022 RSU Plan, (2) the NED Plan, (3) the 2019 AEP and (4) the 2019 EIP (collectively, the Prior Plans).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June 30, 2023, the total number of ordinary shares subject to outstanding RSU awards granted under the Prior Plans is 38,778,401, and the aggregate value of outstanding Executive Awards granted under the Prior Plans is $95 million. We do not plan to grant further awards under the Prior Plans following the completion of this offering. Instead, equity-based awards granted at or after the completion of this offering will be under our new omnibus incentive plan. The principal features of the four previously-adopted plans that pertain to outstanding awards held by our executive officers and non-executive directors, and the principal features of our 2023 Omnibus Incentive Plan (the Omnibus Incentive Plan), are summarized below. With respect to awards granted under the Prior Plans and the Omnibus Incentive Plan that may be satisfied by transfer or issue of our ordinary shares, the remuneration committee or other plan administrator may also satisfy them by transfer or issue of ADSs instead. Unless otherwise indicated, under this Equity Incentive Plans section, references to our ordinary shares shall also include references to ADSs. These summaries are qualified in their entirety by reference to the actual text of the applicable plan, each of which is filed as an exhibit to the registration statement of which this prospectus is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RSU Plan </w:t>
      </w:r>
    </w:p>
    <w:p>
      <w:pPr>
        <w:pStyle w:val="TextBody"/>
        <w:bidi w:val="0"/>
        <w:spacing w:before="120" w:after="0"/>
        <w:jc w:val="left"/>
        <w:rPr>
          <w:rFonts w:ascii="Times New Roman" w:hAnsi="Times New Roman"/>
          <w:sz w:val="20"/>
        </w:rPr>
      </w:pPr>
      <w:r>
        <w:rPr>
          <w:rFonts w:ascii="Times New Roman" w:hAnsi="Times New Roman"/>
          <w:sz w:val="20"/>
        </w:rPr>
        <w:t xml:space="preserve">The 2022 RSU Plan was adopted on June 13, 2022 and amended and restated on September 6, 2022. The 2022 RSU Plan allows for the grant of awards to our (and our subsidiaries) employees and executive directors. The principal features of the 2022 RSU Plan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2022 RSU Plan is administered by our remuneration committee. Our remuneration committee has the authority to construe and interpret the rules of the 2022 RSU Plan, including any sub-plans or appendices to the 2022 RSU Plan and the terms of awards granted under the 2022 RSU Plan, and to make all other determinations and take all actions deemed necessary or advisable for administering the 2022 RSU Plan. </w:t>
      </w:r>
    </w:p>
    <w:p>
      <w:pPr>
        <w:pStyle w:val="TextBody"/>
        <w:bidi w:val="0"/>
        <w:spacing w:before="360" w:after="0"/>
        <w:jc w:val="left"/>
        <w:rPr>
          <w:rFonts w:ascii="Times New Roman" w:hAnsi="Times New Roman"/>
          <w:i/>
          <w:sz w:val="20"/>
        </w:rPr>
      </w:pPr>
      <w:r>
        <w:rPr>
          <w:rFonts w:ascii="Times New Roman" w:hAnsi="Times New Roman"/>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2022 RSU Plan provides for the grant of RSUs, phantom awards, which are similar to RSUs, except that they may only be settled in cash, and other awards. Only Executive Awards, which are conditional rights to receive a specified amount of cash or our shares, have been awarded to our executive officers under the 2022 RSU Plan.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for Awards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nominal amount of shares over which the remuneration committee may grant awards under the 2022 RSU Plan and the NED Plan is limited so that it does not exceed at any time an amount equal to (x) 4% of the aggregate nominal amount of our fully diluted equity share capital </w:t>
      </w:r>
      <w:r>
        <w:rPr>
          <w:rFonts w:ascii="Times New Roman" w:hAnsi="Times New Roman"/>
          <w:i/>
          <w:sz w:val="20"/>
        </w:rPr>
        <w:t>less</w:t>
      </w:r>
      <w:r>
        <w:rPr>
          <w:rFonts w:ascii="Times New Roman" w:hAnsi="Times New Roman"/>
          <w:sz w:val="20"/>
        </w:rPr>
        <w:t xml:space="preserve"> (y) the aggregate of the nominal amount of shares allocated in respect of awards granted under the rules of the 2022 RSU Plan and awards granted under the rules of the NED Plan (excluding any shares allocated in respect of lapsed awards under the 2022 RSU Plan and the NED Plan). Shares that are delivered to recipients upon the vesting of an award under the 2022 RSU Plan may be satisfied through the issue of new ordinary shares or the transfer (including out of treasury) of shares. </w:t>
      </w:r>
    </w:p>
    <w:p>
      <w:pPr>
        <w:pStyle w:val="TextBody"/>
        <w:bidi w:val="0"/>
        <w:spacing w:before="360" w:after="0"/>
        <w:jc w:val="left"/>
        <w:rPr>
          <w:rFonts w:ascii="Times New Roman" w:hAnsi="Times New Roman"/>
          <w:i/>
          <w:sz w:val="20"/>
        </w:rPr>
      </w:pPr>
      <w:r>
        <w:rPr>
          <w:rFonts w:ascii="Times New Roman" w:hAnsi="Times New Roman"/>
          <w:i/>
          <w:sz w:val="20"/>
        </w:rPr>
        <w:t xml:space="preserve">Plan Term </w:t>
      </w:r>
    </w:p>
    <w:p>
      <w:pPr>
        <w:pStyle w:val="TextBody"/>
        <w:bidi w:val="0"/>
        <w:spacing w:before="120" w:after="0"/>
        <w:jc w:val="left"/>
        <w:rPr>
          <w:rFonts w:ascii="Times New Roman" w:hAnsi="Times New Roman"/>
          <w:sz w:val="20"/>
        </w:rPr>
      </w:pPr>
      <w:r>
        <w:rPr>
          <w:rFonts w:ascii="Times New Roman" w:hAnsi="Times New Roman"/>
          <w:sz w:val="20"/>
        </w:rPr>
        <w:t xml:space="preserve">No awards may be granted under the 2022 RSU Plan after the earlier of (i) the tenth anniversary of the date of the adoption of the 2022 RSU Plan, and (ii) the completion of our initial public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Key Terms of Executive Awards Granted to our Executive Officers under the 2022 RSU Plan </w:t>
      </w:r>
    </w:p>
    <w:p>
      <w:pPr>
        <w:pStyle w:val="TextBody"/>
        <w:bidi w:val="0"/>
        <w:spacing w:before="120" w:after="0"/>
        <w:jc w:val="left"/>
        <w:rPr>
          <w:rFonts w:ascii="Times New Roman" w:hAnsi="Times New Roman"/>
          <w:sz w:val="20"/>
        </w:rPr>
      </w:pPr>
      <w:r>
        <w:rPr>
          <w:rFonts w:ascii="Times New Roman" w:hAnsi="Times New Roman"/>
          <w:sz w:val="20"/>
        </w:rPr>
        <w:t xml:space="preserve">The Executive Awards granted to our executive officers under the 2022 RSU Plan entitle the executive officer to a fixed amount of cash or, after our initial public offering, our ordinary shares. We have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granted two types of Executive Awards under the 2022 RSU Plan, which we refer to as Annual Awards and One-time Launch Awards. On limited occasions, we have also granted Executive Awards with customized vesting schedules to certain of our executive officers. Annual Awards and One-time Launch Awards could be settled differently depending on whether vesting occurs before or after our initial public offering. The Annual Award typically consists of a portion that is subject only to a time-based vesting schedule and a portion that is subject to a performance-based and time-based vesting schedule. The time-based portion of the Annual Award vests on an annual basis over three years. The performance-based portion vests on an annual basis over three years, with each years vesting amount being within a range of 0% to 200% of the award value based on whether our annual performance metrics are satisfied. The One-time Launch Awards vest on an annual basis over three years, with no performance-based vesting conditions. We have also granted Executive Awards with terms that differ from those described above. Generally, these awards provide for all or a portion of the award to vest upon the earliest to occur of our initial public offering, a change in control event and a specified future date, subject to continued employment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Before our initial public offering, any portion of the Executive Awards that vest will be settled in cash. Upon and after our initial public offering, any portion of the Executive Awards that vest will be satisfied in our shares based on the closing price per ADS on the date of our initial public offering, subject to the right of our remuneration committee to satisfy all or part of any such vested portion in cash. As with the RSU awards, upon a change of control event, which generally includes the acquisition of more than 50% of the voting power of our shares or the sale of all or substantially all of our assets, a pro rata portion of the unvested Executive Awards will vest. </w:t>
      </w:r>
    </w:p>
    <w:p>
      <w:pPr>
        <w:pStyle w:val="TextBody"/>
        <w:bidi w:val="0"/>
        <w:spacing w:before="240" w:after="0"/>
        <w:jc w:val="left"/>
        <w:rPr>
          <w:rFonts w:ascii="Times New Roman" w:hAnsi="Times New Roman"/>
          <w:sz w:val="20"/>
        </w:rPr>
      </w:pPr>
      <w:r>
        <w:rPr>
          <w:rFonts w:ascii="Times New Roman" w:hAnsi="Times New Roman"/>
          <w:sz w:val="20"/>
        </w:rPr>
        <w:t xml:space="preserve">Generally, unvested awards granted under the 2022 RSU Plan will lapse on the date the executive officer ceases to be an eligible employee or executive director for any reason whatsoever under the 2022 RSU Plan (including, e.g., in connection with the termination of his or her employment or service as an executive director), except that if the cessation to be an eligible employee or executive director in question is due to ill-health, injury, disability or death, our remuneration committee may vest all or a portion of that participants awards. The executive officer will not be treated as ceasing to be an eligible employee or executive director for these purposes upon leaving the employment of a member of our group if, within the following seven days, he or she recommences employment with another member of our group. The awards will also lapse if our remuneration committee determines that part or all of any such unvested awards should lapse in accordance with any malus or clawback policy adopted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Before the record date on which such shares are actually issued or transferred, a participant is not entitled to any voting, dividend or other rights attaching to such shares. After such record date of the issue or transfer of such shares, the shares held by a participant will rank equally in all respects to our other ordinary shares. </w:t>
      </w:r>
    </w:p>
    <w:p>
      <w:pPr>
        <w:pStyle w:val="TextBody"/>
        <w:bidi w:val="0"/>
        <w:spacing w:before="360" w:after="0"/>
        <w:jc w:val="left"/>
        <w:rPr>
          <w:rFonts w:ascii="Times New Roman" w:hAnsi="Times New Roman"/>
          <w:i/>
          <w:sz w:val="20"/>
        </w:rPr>
      </w:pPr>
      <w:r>
        <w:rPr>
          <w:rFonts w:ascii="Times New Roman" w:hAnsi="Times New Roman"/>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All awards granted under the 2022 RSU Plan are subject to lapse, forfeiture and/or recoupment under any clawback policy that we may adopt pursuant to the listing standards of any national securities exchange or association on which our securities are listed or as is otherwise required by applicable laws. At this time, we have not adopted a policy regarding the recovery of certain incentive-based remuneration awarded to current and former executive officers in the event of an accounting restatement. In 2023, we intend to adopt a malus and clawback policy consistent with Rule 10D-1 of the Exchange Act, which requires U.S. national securities exchanges to adopt listing standards for the recovery of erroneously awarded remuneration under certain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variation of our equity share capital, a demerger or exempt distribution by virtue of section 1075 of the UK Corporation Tax Act 2010 or a special dividend or distribution, our remuneration committee (acting unanimously) may adjust the number and/or class of shares comprised in an award as it considers appropriate. </w:t>
      </w:r>
    </w:p>
    <w:p>
      <w:pPr>
        <w:pStyle w:val="TextBody"/>
        <w:bidi w:val="0"/>
        <w:spacing w:before="360" w:after="0"/>
        <w:jc w:val="left"/>
        <w:rPr>
          <w:rFonts w:ascii="Times New Roman" w:hAnsi="Times New Roman"/>
          <w:i/>
          <w:sz w:val="20"/>
        </w:rPr>
      </w:pPr>
      <w:r>
        <w:rPr>
          <w:rFonts w:ascii="Times New Roman" w:hAnsi="Times New Roman"/>
          <w:i/>
          <w:sz w:val="20"/>
        </w:rPr>
        <w:t xml:space="preserve">Plan Amendment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may amend the 2022 RSU Plan at any time; however, any amendment which would materially disadvantage participants may not be made without prior consent of the majority (assessed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to the size of the affected awards) of disadvantaged participants who respond to the request made by our remuneration committee to approve such amendment. Our remuneration committee has the absolute discretion to determine which participants are materially disadvantaged by a proposed amendment.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and Participant Payments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may not transfer, assign or otherwise dispose of an award or any rights in respect of it. If he or she does, whether voluntarily or involuntarily, then the award immediately lapses. No payment is required from a participant for the grant of an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Arm Non-Executive Directors RSU Award Plan </w:t>
      </w:r>
    </w:p>
    <w:p>
      <w:pPr>
        <w:pStyle w:val="TextBody"/>
        <w:bidi w:val="0"/>
        <w:spacing w:before="120" w:after="0"/>
        <w:jc w:val="left"/>
        <w:rPr>
          <w:rFonts w:ascii="Times New Roman" w:hAnsi="Times New Roman"/>
          <w:sz w:val="20"/>
        </w:rPr>
      </w:pPr>
      <w:r>
        <w:rPr>
          <w:rFonts w:ascii="Times New Roman" w:hAnsi="Times New Roman"/>
          <w:sz w:val="20"/>
        </w:rPr>
        <w:t xml:space="preserve">The NED Plan was adopted on September 6, 2022 and allows for the grant of RSUs and phantom awards to our non-executive directors. The principal features of the NED Plan and awards granted to our non-executive directors are substantially the same as the terms of the 2022 RSU Plan, except that only non-executive directors are eligible to receive awards and the only awards granted to our non-executive directors have been RSUs, which generally have provided for vesting to occur over a one-year period. The NED Plan is administered by our remuneration Committee. The aggregate number of shares over which the our remuneration committee may grant awards under the 2022 RSU Plan and the NED Plan is limited so that it does not exceed at any time an amount equal to (x) 4% of the aggregate nominal amount of our fully diluted equity share capital </w:t>
      </w:r>
      <w:r>
        <w:rPr>
          <w:rFonts w:ascii="Times New Roman" w:hAnsi="Times New Roman"/>
          <w:i/>
          <w:sz w:val="20"/>
        </w:rPr>
        <w:t>less</w:t>
      </w:r>
      <w:r>
        <w:rPr>
          <w:rFonts w:ascii="Times New Roman" w:hAnsi="Times New Roman"/>
          <w:sz w:val="20"/>
        </w:rPr>
        <w:t xml:space="preserve"> (y) the aggregate of the nominal amount of shares allocated in respect of awards granted under the rules of the 2022 RSU Plan and awards granted under the rules of the NED Plan (excluding any shares allocated in respect of lapsed awards under the 2022 RSU Plan and the NED Plan). No awards may be granted under the NED Plan after the earlier of (i) the tenth anniversary of the date of the adoption of the NED Plan, and (ii)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RSUs are awards that entitle the holder to a specified number of our ordinary shares, subject to satisfaction of vesting and other conditions. The RSUs granted to our non-executive directors vest in March or May of the year following the year of grant on the basis of the continued service of the director. The number of RSUs awarded to our non-executive directors for the fiscal year ended March 31, 2023 was determined by dividing $220,000 by an estimated per share value, with the award pro-rated for non-executive directors on the Board for less than the full year. In addition, a pro-rata portion of the non-executive directors RSUs vest upon the occurrence of a change of control event. In each case, once vested, the RSUs are capable of being settled in shares or cash (or a mix of both), as determined by the our remuneration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Arm Limited All-Employee Plan 2019 </w:t>
      </w:r>
    </w:p>
    <w:p>
      <w:pPr>
        <w:pStyle w:val="TextBody"/>
        <w:bidi w:val="0"/>
        <w:spacing w:before="120" w:after="0"/>
        <w:jc w:val="left"/>
        <w:rPr>
          <w:rFonts w:ascii="Times New Roman" w:hAnsi="Times New Roman"/>
          <w:sz w:val="20"/>
        </w:rPr>
      </w:pPr>
      <w:r>
        <w:rPr>
          <w:rFonts w:ascii="Times New Roman" w:hAnsi="Times New Roman"/>
          <w:sz w:val="20"/>
        </w:rPr>
        <w:t xml:space="preserve">The 2019 AEP was adopted by our shareholders on December 8, 2019 and amended and restated on each of May 18, 2021 and June 13, 2022, and allows for the grant of awards to our employees and executive directors. The material terms of the 2019 AEP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2019 AEP is administered by our remuneration committee. Our remuneration committee has the authority to construe and interpret the rules of the 2019 AEP, including any sub-plans or appendices to the 2019 AEP and the terms of awards granted under the 2019 AEP, and to make all other determinations and take all actions deemed necessary or advisable for administering the 2019 AEP.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for Awards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nominal amount of shares over which our remuneration committee may grant awards under the 2019 AEP will be limited so that it does not exceed at any time an amount equal to (x) 2.2% of the aggregate nominal amount of our fully diluted equity share capital </w:t>
      </w:r>
      <w:r>
        <w:rPr>
          <w:rFonts w:ascii="Times New Roman" w:hAnsi="Times New Roman"/>
          <w:i/>
          <w:sz w:val="20"/>
        </w:rPr>
        <w:t>less</w:t>
      </w:r>
      <w:r>
        <w:rPr>
          <w:rFonts w:ascii="Times New Roman" w:hAnsi="Times New Roman"/>
          <w:sz w:val="20"/>
        </w:rPr>
        <w:t xml:space="preserve"> (y) the aggregate of the nominal amount of shares allocated in respect of awards granted under the rules of the 2019 AEP (excluding any shares allocated in respect of lapsed awards under the 2019 AEP).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2019 AEP provides for the grant of RSUs and phantom shares. As of the date of this prospectus, our executive officers have only been granted RSUs pursuant to the 2019 AEP. </w:t>
      </w:r>
    </w:p>
    <w:p>
      <w:pPr>
        <w:pStyle w:val="TextBody"/>
        <w:bidi w:val="0"/>
        <w:spacing w:before="360" w:after="0"/>
        <w:jc w:val="left"/>
        <w:rPr>
          <w:rFonts w:ascii="Times New Roman" w:hAnsi="Times New Roman"/>
          <w:i/>
          <w:sz w:val="20"/>
        </w:rPr>
      </w:pPr>
      <w:r>
        <w:rPr>
          <w:rFonts w:ascii="Times New Roman" w:hAnsi="Times New Roman"/>
          <w:i/>
          <w:sz w:val="20"/>
        </w:rPr>
        <w:t xml:space="preserve">Key Terms of RSUs Granted to our Executive Officers under the 2019 AEP </w:t>
      </w:r>
    </w:p>
    <w:p>
      <w:pPr>
        <w:pStyle w:val="TextBody"/>
        <w:bidi w:val="0"/>
        <w:spacing w:before="120" w:after="0"/>
        <w:jc w:val="left"/>
        <w:rPr>
          <w:rFonts w:ascii="Times New Roman" w:hAnsi="Times New Roman"/>
          <w:sz w:val="20"/>
        </w:rPr>
      </w:pPr>
      <w:r>
        <w:rPr>
          <w:rFonts w:ascii="Times New Roman" w:hAnsi="Times New Roman"/>
          <w:sz w:val="20"/>
        </w:rPr>
        <w:t xml:space="preserve">RSUs granted to our executive officers under the 2019 AEP generally vest on a linear scale on the earliest to occur of (1) 180 days following our initial public offering with a listing value between $32 billion and $55 billion and above (with none of the awards vesting when the value is $32 billion or less and all awards vesting when the value is $55 billion or above), (2) the acquisition of more than 50% of the voting power of our shares, or sale of the Company or other change in control event with an implied value between $32 billion and $55 billion and above (with none of the awards vesting when the value is $32 billion or less and all awards vesting when the value is $55 billion or above), and (3) March 9, 2026 if the value of our fully diluted share capital on December 31, 2025 is between $55 billion and $75 billion and above (with none of the awards vesting when the value is $55 billion or less and all awards vesting when the value is $75 billion or above). </w:t>
      </w:r>
    </w:p>
    <w:p>
      <w:pPr>
        <w:pStyle w:val="TextBody"/>
        <w:bidi w:val="0"/>
        <w:spacing w:before="240" w:after="0"/>
        <w:jc w:val="left"/>
        <w:rPr>
          <w:rFonts w:ascii="Times New Roman" w:hAnsi="Times New Roman"/>
          <w:sz w:val="20"/>
        </w:rPr>
      </w:pPr>
      <w:r>
        <w:rPr>
          <w:rFonts w:ascii="Times New Roman" w:hAnsi="Times New Roman"/>
          <w:sz w:val="20"/>
        </w:rPr>
        <w:t xml:space="preserve">If there is a change of control event following our initial public offering but before the vesting date which is 180 days after the initial public offering, then the awards shall be capable of vesting only on the occurrence of such change of control event, and not the initial public offering, and for the purposes of calculating to what extent (if at all) a participants award vests, our remuneration committee must determine the extent to which the relevant vesting hurdle is met or exceeded on both: (i) the initial public offering and (ii) the relevant change of control event, and subject to certain exceptions, use whichever of the two measurements is more favorable to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Other terms applicable to the RSUs awarded to our executive officers under the 2019 AEP, including terms relating to termination of employment and forfeiture of the awards, awards being subject to any clawback polices we may adopt, adjustments in the event of changes to capitalization and similar events, plan amendments and transferability of awards, are generally consistent with the terms of the RSUs granted under the 2022 RSU Plan,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2019 EIP </w:t>
      </w:r>
    </w:p>
    <w:p>
      <w:pPr>
        <w:pStyle w:val="TextBody"/>
        <w:bidi w:val="0"/>
        <w:spacing w:before="120" w:after="0"/>
        <w:jc w:val="left"/>
        <w:rPr>
          <w:rFonts w:ascii="Times New Roman" w:hAnsi="Times New Roman"/>
          <w:sz w:val="20"/>
        </w:rPr>
      </w:pPr>
      <w:r>
        <w:rPr>
          <w:rFonts w:ascii="Times New Roman" w:hAnsi="Times New Roman"/>
          <w:sz w:val="20"/>
        </w:rPr>
        <w:t xml:space="preserve">The 2019 EIP was adopted by our shareholders on December 8, 2019 and amended and restated on September 6, 2022, and allows for the grant of awards to certain of our executive officers or other eligible employees designated by our remuneration committee in its absolute discretion acting unanimously. Only one of our executive officers holds an award under the 2019 EIP. The material terms of the 2019 EIP are substantially similar to the terms of the 2019 AEP described above, except that (1) participation is generally limited to our executive officers, (2) the aggregate number of shares over which our remuneration committee may grant awards under the 2019 EIP is 0.3% of the aggregate nominal amount of our fully diluted equity share capital (less the aggregate of the nominal amount of shares allocated in respect of awards granted under the rules of the 2019 EIP, excluding any shares allocated in respect of lapsed awards under the 2019 EIP), and (3) vesting of the executive officers RSUs upon the earliest to occur of an initial public offering, sale of the Company or other change in control event and a specified future date is not subject to the value thresholds noted in the discussion of the 2019 AEP.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Omnibus Incentive Plans </w:t>
      </w:r>
    </w:p>
    <w:p>
      <w:pPr>
        <w:pStyle w:val="TextBody"/>
        <w:bidi w:val="0"/>
        <w:spacing w:before="120" w:after="0"/>
        <w:jc w:val="left"/>
        <w:rPr>
          <w:rFonts w:ascii="Times New Roman" w:hAnsi="Times New Roman"/>
          <w:sz w:val="20"/>
        </w:rPr>
      </w:pPr>
      <w:r>
        <w:rPr>
          <w:rFonts w:ascii="Times New Roman" w:hAnsi="Times New Roman"/>
          <w:sz w:val="20"/>
        </w:rPr>
        <w:t xml:space="preserve">On             , 2023, our Board of Directors adopted and our shareholders approved the Omnibus Incentive Plan, which we intend to use following the completion of this offering for the grant of incentive awards to our employees, including our executive directors, and our non-employees, including our non-employee directors. The Omnibus Incentive Plan will become effective upon the completion of this offering. The principal terms of the Omnibus Incentive Plan are summarized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Our employees, including executive directors, and employees of our subsidiaries will be eligible to participate in the Omnibus Incentive Plan. Our non-executive directors and consultants, and non-executive directors and consultants of our subsidiaries, are eligible to participate in the Non-Employee Sub-Plan to the Omnibus Incentive Plan. Persons eligible to receive awards under the Omnibus Incentive Plan (including the Non-Employee Sub-Plan) are together referred to as service providers below. Except as otherwise specified, references below to the Omnibus Incentive Plan include the Non-Employee Sub-Plan, provided that in no event may an officer or employee grant, or have administrative discretion with respect to, his or her own award.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Omnibus Incentive Plan will be administered by our Board of Directors, our remuneration committee or any other committee composed of members of our Board of Directors that is appointed by our Board of Directors or our remuneration committee to administer the Omnibus Incentive Plan, subject to certain limitations imposed under the Omnibus Incentive Plan, and other applicable laws and stock exchange listing rules. The administrator will have the authority to construe and interpret the Omnibus Incentive Plan and the terms of awards granted under the Omnibus Incentive Plan. Subject to applicable law, the administrator may authorize one or more officers or employees to administer the Omnibus Incentive Plan.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for Awards </w:t>
      </w:r>
    </w:p>
    <w:p>
      <w:pPr>
        <w:pStyle w:val="TextBody"/>
        <w:bidi w:val="0"/>
        <w:spacing w:before="120" w:after="0"/>
        <w:jc w:val="left"/>
        <w:rPr>
          <w:rFonts w:ascii="Times New Roman" w:hAnsi="Times New Roman"/>
          <w:sz w:val="20"/>
        </w:rPr>
      </w:pPr>
      <w:r>
        <w:rPr>
          <w:rFonts w:ascii="Times New Roman" w:hAnsi="Times New Roman"/>
          <w:sz w:val="20"/>
        </w:rPr>
        <w:t xml:space="preserve">The maximum number of ordinary shares that may be issued under the Omnibus Incentive Plan as approved at the time of adoption of the Omnibus Incentive Plan was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our remuneration committee. No more than 20,500,000 ordinary shares may be issued under the Omnibus Incentive Plan upon the exercise of 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If an award under the Omnibus Incentive Plan is exchanged for or settled in cash, forfeited, canceled or expires without the issuance of our ordinary shares, any unused shares underlying the award will be deemed not to have been issued for purposes of determining the maximum number of ordinary shares that may be issued under the Omnibus Incentive Plan. Additionally, shares underlying awards issued by the Company in assumption of, or in substitution or exchange for, awards previously granted by a company acquired by the Company or any of its affiliates or with which the Company or any of its affiliates combines will not be deemed not to have been issued for purposes of determining the maximum number of ordinary shares that may be issued under the Omnibus Incentive Plan. To the extent not prohibited by applicable laws, any ordinary shares underlying an award that are surrendered or withheld in payment of the awards exercise or purchase price, or in satisfaction of tax withholding obligations with respect to an award, will be deemed not to have been issued for purposes of determining the maximum number of ordinary shares that may be issued under the Omnibus Incentive Plan, unless otherwise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Awards may be settled in ordinary shares or ADSs. References in this summary to ordinary shares include references to our ADSs. Ordinary shares issued under the Omnibus Incentive Plan may be new shares, shares purchased on the open market or treasury shares. </w:t>
      </w:r>
    </w:p>
    <w:p>
      <w:pPr>
        <w:pStyle w:val="TextBody"/>
        <w:bidi w:val="0"/>
        <w:spacing w:before="360" w:after="0"/>
        <w:jc w:val="left"/>
        <w:rPr>
          <w:rFonts w:ascii="Times New Roman" w:hAnsi="Times New Roman"/>
          <w:i/>
          <w:sz w:val="20"/>
        </w:rPr>
      </w:pPr>
      <w:r>
        <w:rPr>
          <w:rFonts w:ascii="Times New Roman" w:hAnsi="Times New Roman"/>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types of awards granted under the Omnibus Incentive Plan will be determined by the administrator, but may include awards of share options, share appreciation rights (SARs), restricted shares, RSUs, other awards of cash, shares or other property (which may include a specified cash amount that is payable in cash or shares, or awards tied to the appreciation in the value of shares), dividends and dividend equivalents. Vesting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to awards may be based on continued service, achievement of company, business unit or other performance objectives, or such other criteria as our remuneration committee may establish.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Options and SARs</w:t>
            </w:r>
            <w:r>
              <w:rPr>
                <w:rFonts w:ascii="Times New Roman" w:hAnsi="Times New Roman"/>
                <w:sz w:val="20"/>
              </w:rPr>
              <w:t xml:space="preserve">.    Options provide for the purchase of our ordinary shares in the future at an exercise price set at a specified price and usually become exercisable in one or more installments after the grant date, subject to the participants continued employment or service with us and/or subject to the satisfaction of performance targets established by the administrator. SARs entitle their holder, upon exercise, to receive from us an amount equal to the appreciation of the shares underlying the award between the grant date and the exercise date, payable either in ordinary shares, cash or a combination of the two, as determined by the administrator. The administrator will determine the number of shares underlying each option and SAR, the exercise or base price of each option and SAR and the conditions and limitations applicable to the exercise of each option and SAR. In general, the exercise price per share for each option or SAR granted under the Omnibus Incentive Plan will not be less than the nominal value of such share and for grantees who are subject to tax in the U.S. not less than the fair market value of such share at the time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Restricted Shares and RSUs</w:t>
            </w:r>
            <w:r>
              <w:rPr>
                <w:rFonts w:ascii="Times New Roman" w:hAnsi="Times New Roman"/>
                <w:sz w:val="20"/>
              </w:rPr>
              <w:t xml:space="preserve">.    Restricted shares are an award of non-transferable ordinary shares that remain forfeitable unless and until specified conditions are met and which may be subject to a purchase price. RSUs are contractual promises for grantees to receive our ordinary shares (or, as determined by the administrator, the cash equivalent) in the future, which may also be subject to vesting, issuance and forfeiture conditions. The administrator may provide that the delivery of the shares underlying RSUs will occur upon or as soon as reasonably practicable after the RSUs vest or will be deferred on a mandatory basis or at the election of the grantee. The terms and conditions applicable to restricted shares and RSUs will be determined by the administrator, subject to the conditions and limitations contained in the Omnibus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Other Awards; Dividends and Dividend Equivalents</w:t>
            </w:r>
            <w:r>
              <w:rPr>
                <w:rFonts w:ascii="Times New Roman" w:hAnsi="Times New Roman"/>
                <w:sz w:val="20"/>
              </w:rPr>
              <w:t xml:space="preserve">. Other awards may include awards of fully vested ordinary shares, cash incentive awards, and other awards valued wholly or partially by referring to, or otherwise based on, our ordinary shares or other property. Other awards may be granted to grantees and may also be available as a payment form in the settlement of other awards, as standalone payments and as payment in lieu of compensation to which a participant is otherwise entitled. The administrator will determine the terms and conditions of other awards, which may include any purchase price, performance goal, transfer restrictions and vesting conditions. Awards of restricted shares may also entitle the participant to receive dividends paid on the ordinary shares underlying the awards, and RSUs and other stock-based awards (other than options and SARs) may entitle the participant to receive dividend equivalents, which are notional entitlements representing the dividends that would have been paid had the ordinary shares underlying the award been outstanding. Dividends and dividend equivalents may be subject to the same vesting conditions as the awards to which they relate.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Awards may be granted in consideration of past or future services. The administrator may, but need not, require the payment of consideration by the participant with respect to an award. To the extent permitted by applicable law, the administrator may authorize the deferral of the settlement of awards.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terms of the Omnibus Incentive Plan do not address local laws in non-U.S. jurisdictions, we anticipate that provisions specific to such non-U.S. jurisdictions in which awards are granted will be addressed in the award agreement riders, which will set forth or modify otherwise applicable terms as needed to comply with local laws, including, as applicable, tax laws, securities laws, employment laws, data privacy requirements and exchange controls.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issuance of ordinary shares with respect to an award granted under the Omnibus Incentive Plan, participants generally will not be allowed to transfer awards. However, awards may be transferred by will or by the laws of descent and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Term of Plan; 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Omnibus Incentive Plan will have a five-year term; however, the administrator may amend, suspend or terminate the Omnibus Incentive Plan and award agreements at any time. Generally, if the administrator proposes any amendment, suspension or termination that would be to the material disadvantage of any grantees in respect of subsisting rights under the Omnibus Incentive Plan or the relevant award agreement, then: (i) the administrator must invite each such disadvantaged grantee to indicate whether or not they approve the amendment, and (ii) such amendment shall only take effect if the majority (assessed by reference to the size of affected awards) of the grantees who respond to an invitation consent to the amendment.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control, unless otherwise specified by the administrator or specified in an individual agreement with the participant, awards generally will only accelerate to the extent they are not substituted or assumed by the acquiring entity or if the awards are substituted or assumed by the acquiring entity and the participants service is terminated under specified circumstances within 18 months following the change in control. In the event the awards are not assumed or substituted by the acquiring or surviving entity in a change in control, except as otherwise determined by the administrator or provided in an award agreement, employment or similar agreement in the definitive change in control transaction agreement, time-based awards will become vested on a pro-rata basis as of the date of the change in control, and all or a portion of performance-based awards may vest, but only to the extent (if at all) determined by the administrator. The administrator may also elect to terminate an award in exchange for cash.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Adjustments for Certain Corporate Events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stock dividend, stock split or other non-reciprocal transaction that affects share values, the type and the number of ordinary shares, ADSs or other securities subject to the Omnibus Incentive Plan and outstanding awards, and the exercise or base price of outstanding awards will be equitably adjusted as appropriate to reflect the transaction. Additionally, in the event of a reorganization, amalgamation, dissolution, sale of assets or shares or other corporate transactions, the administrator may take a variety of actions with respect to outstanding awards, including canceling awards in exchange for cash or other property, accelerating the vesting of awards, causing awards to be terminated or replaced with other rights or property or providing for the substitution or assumption of outstanding awards in a manner intended to preserve the intended economic and other benefits of the plans and outstanding awards. </w:t>
      </w:r>
    </w:p>
    <w:p>
      <w:pPr>
        <w:pStyle w:val="TextBody"/>
        <w:bidi w:val="0"/>
        <w:spacing w:before="360" w:after="0"/>
        <w:jc w:val="left"/>
        <w:rPr>
          <w:rFonts w:ascii="Times New Roman" w:hAnsi="Times New Roman"/>
          <w:i/>
          <w:sz w:val="20"/>
        </w:rPr>
      </w:pPr>
      <w:r>
        <w:rPr>
          <w:rFonts w:ascii="Times New Roman" w:hAnsi="Times New Roman"/>
          <w:i/>
          <w:sz w:val="20"/>
        </w:rPr>
        <w:t xml:space="preserve">Non-U.S. and Non-U.K. Participants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may modify awards granted to participants who are non-U.S. or U.K. nationals or employed outside the U.S. and the U.K. or establish sub-plans or procedures to address differences in laws, rules, regulations or customs of such international jurisdictions with respect to tax, securities, currency, employee benefit or other matters or to enable awards to be granted in compliance with a tax favorable regime that may be available in any jurisdiction. </w:t>
      </w:r>
    </w:p>
    <w:p>
      <w:pPr>
        <w:pStyle w:val="TextBody"/>
        <w:bidi w:val="0"/>
        <w:spacing w:before="360" w:after="0"/>
        <w:jc w:val="left"/>
        <w:rPr>
          <w:rFonts w:ascii="Times New Roman" w:hAnsi="Times New Roman"/>
          <w:i/>
          <w:sz w:val="20"/>
        </w:rPr>
      </w:pPr>
      <w:r>
        <w:rPr>
          <w:rFonts w:ascii="Times New Roman" w:hAnsi="Times New Roman"/>
          <w:i/>
          <w:sz w:val="20"/>
        </w:rPr>
        <w:t xml:space="preserve">Non-Employee Sub-Plan </w:t>
      </w:r>
    </w:p>
    <w:p>
      <w:pPr>
        <w:pStyle w:val="TextBody"/>
        <w:bidi w:val="0"/>
        <w:spacing w:before="120" w:after="0"/>
        <w:jc w:val="left"/>
        <w:rPr>
          <w:rFonts w:ascii="Times New Roman" w:hAnsi="Times New Roman"/>
          <w:sz w:val="20"/>
        </w:rPr>
      </w:pPr>
      <w:r>
        <w:rPr>
          <w:rFonts w:ascii="Times New Roman" w:hAnsi="Times New Roman"/>
          <w:sz w:val="20"/>
        </w:rPr>
        <w:t xml:space="preserve">The Non-Employee Sub-Plan governs equity awards granted to our non-executive directors, consultants, advisers and other non-employee service providers and generally provides for awards to be made on identical terms to awards made under the Omnibus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Benefit Trust </w:t>
      </w:r>
    </w:p>
    <w:p>
      <w:pPr>
        <w:pStyle w:val="TextBody"/>
        <w:bidi w:val="0"/>
        <w:spacing w:before="120" w:after="0"/>
        <w:jc w:val="left"/>
        <w:rPr>
          <w:rFonts w:ascii="Times New Roman" w:hAnsi="Times New Roman"/>
          <w:sz w:val="20"/>
        </w:rPr>
      </w:pPr>
      <w:r>
        <w:rPr>
          <w:rFonts w:ascii="Times New Roman" w:hAnsi="Times New Roman"/>
          <w:sz w:val="20"/>
        </w:rPr>
        <w:t xml:space="preserve">We may establish an employee benefit trust (the EBT) which would be constituted by a trust deed entered into by the Company and a professional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would have the power to appoint and remove the trustee. The trustee of the EBT would have the power to acquire ordinary shares or ADSs. We could fund the EBT by loan or non-repayable grant or gift to acquire ordinary shares or ADSs by subscription for newly issued shares at nominal value or by purchasing ordinary shares or ADSs on the open market. Any ordinary shares or ADSs acquired by the EBT could be used for the purposes of satisfying awards under the Omnibus Incentive Plan, the 2022 RSU Plan, the 2019 AEP, the 2019 EIP and any other employee share plans established by our group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Arm Annual Bonus Plan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cash awards to our executive officers under the Arm Annual Bonus Plan (the Annual Bonus Plan). The principal features of this cash plan are summarized below. This summary is qualified in its entirety by reference to the actual text of the Annual Bonus Plan, which is filed as an exhibit to the registration statement of which this prospectus is a part.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For our executive officers, the Annual Bonus Plan is administered by our remuneration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Our (and our subsidiaries) employees (which include our executive officers) are eligible to participate in the Annual Bonus Plan. </w:t>
      </w:r>
    </w:p>
    <w:p>
      <w:pPr>
        <w:pStyle w:val="TextBody"/>
        <w:bidi w:val="0"/>
        <w:spacing w:before="360" w:after="0"/>
        <w:jc w:val="left"/>
        <w:rPr>
          <w:rFonts w:ascii="Times New Roman" w:hAnsi="Times New Roman"/>
          <w:i/>
          <w:sz w:val="20"/>
        </w:rPr>
      </w:pPr>
      <w:r>
        <w:rPr>
          <w:rFonts w:ascii="Times New Roman" w:hAnsi="Times New Roman"/>
          <w:i/>
          <w:sz w:val="20"/>
        </w:rPr>
        <w:t xml:space="preserve">Start of Plan Period </w:t>
      </w:r>
    </w:p>
    <w:p>
      <w:pPr>
        <w:pStyle w:val="TextBody"/>
        <w:bidi w:val="0"/>
        <w:spacing w:before="120" w:after="0"/>
        <w:jc w:val="left"/>
        <w:rPr>
          <w:rFonts w:ascii="Times New Roman" w:hAnsi="Times New Roman"/>
          <w:sz w:val="20"/>
        </w:rPr>
      </w:pPr>
      <w:r>
        <w:rPr>
          <w:rFonts w:ascii="Times New Roman" w:hAnsi="Times New Roman"/>
          <w:sz w:val="20"/>
        </w:rPr>
        <w:t xml:space="preserve">At the start of each plan period (which runs from April 1 of a year to March 31 of the following year), our remuneration committee determines: (i) whether the Annual Bonus Plan will be operated in respect of that plan period, (ii) which eligible executive officers may participate in the Annual Bonus Plan, (iii) each participants target percentage of the actual base salary which may be payable as the bonus award (the Target Bonus Percentage) for such plan period; and (iv) the performance conditions for such plan period. With respect to the fiscal year ended March 31, 2023, the target bonus opportunity of our executive officers was in the range from 100% to 125% of their base salary levels. The maximum bonus award that can be earned is 200% of the target bonus award (based on the Target Bonus Percentage of the participants salary) plus any individual performance multiplier.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Conditions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sets performance conditions for each plan period for the whole Company, one or more divisions or business units of the Arm group (or any subdivision thereof), and/or individual participants, as appropriate, and may in its sole discretion amend or waive the performance conditions in whole or in part (a) in accordance with the terms specified in the performance conditions, or (b) if events happen which cause our remuneration committee to consider that (i) the amended performance conditions would be a fairer measure of performance and would be no more difficult to satisfy than the existing performance conditions, or (ii) the existing performance conditions should be waived in whole or in part. Our remuneration committee may withhold, reduce or cancel all or any part of the bonus award for any participant in the event that our remuneration committee considers that such participants performance or conduct during the plan period warrants such action.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fiscal year ended March 31, 2023, the performance conditions were based on the revenue and profit (EBITDA) of our group.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fiscal year ended March 31, 2023, a participants actual bonus percentage was affected by (i) the Company performance multiplier (the maximum of which was 100%), and (ii) such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 performance multiplier, based on such participants overall ratings assigned in his or her 2023 annual review. The maximum bonus award a participant could receive for the fiscal year ended March 31, 2023 was 125% of the Target Bonus Percentage of his or her actual base salary (100% attributed to our performance, multiplied by 1.25 for an Exceptional rating). </w:t>
      </w:r>
    </w:p>
    <w:p>
      <w:pPr>
        <w:pStyle w:val="TextBody"/>
        <w:bidi w:val="0"/>
        <w:spacing w:before="360" w:after="0"/>
        <w:jc w:val="left"/>
        <w:rPr>
          <w:rFonts w:ascii="Times New Roman" w:hAnsi="Times New Roman"/>
          <w:i/>
          <w:sz w:val="20"/>
        </w:rPr>
      </w:pPr>
      <w:r>
        <w:rPr>
          <w:rFonts w:ascii="Times New Roman" w:hAnsi="Times New Roman"/>
          <w:i/>
          <w:sz w:val="20"/>
        </w:rPr>
        <w:t xml:space="preserve">New Hires </w:t>
      </w:r>
    </w:p>
    <w:p>
      <w:pPr>
        <w:pStyle w:val="TextBody"/>
        <w:bidi w:val="0"/>
        <w:spacing w:before="120" w:after="0"/>
        <w:jc w:val="left"/>
        <w:rPr>
          <w:rFonts w:ascii="Times New Roman" w:hAnsi="Times New Roman"/>
          <w:sz w:val="20"/>
        </w:rPr>
      </w:pPr>
      <w:r>
        <w:rPr>
          <w:rFonts w:ascii="Times New Roman" w:hAnsi="Times New Roman"/>
          <w:sz w:val="20"/>
        </w:rPr>
        <w:t xml:space="preserve">A person who becomes an eligible executive officer during the course of a plan period and who our remuneration committee determines shall become a participant will be eligible to receive a pro-rated bonus award for such plan period. The pro-rated bonus award will be calculated by determining what the participants full-year bonus award entitlement would have been under the applicable performance conditions and then making a pro-rata adjustment to such entitlement based on the portion of such plan period in which such participant participated in the Annual Bonus Plan. </w:t>
      </w:r>
    </w:p>
    <w:p>
      <w:pPr>
        <w:pStyle w:val="TextBody"/>
        <w:bidi w:val="0"/>
        <w:spacing w:before="360" w:after="0"/>
        <w:jc w:val="left"/>
        <w:rPr>
          <w:rFonts w:ascii="Times New Roman" w:hAnsi="Times New Roman"/>
          <w:i/>
          <w:sz w:val="20"/>
        </w:rPr>
      </w:pPr>
      <w:r>
        <w:rPr>
          <w:rFonts w:ascii="Times New Roman" w:hAnsi="Times New Roman"/>
          <w:i/>
          <w:sz w:val="20"/>
        </w:rPr>
        <w:t xml:space="preserve">Change of Performance Conditions and Targets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in its sole discretion and at any time within a plan period, may evaluate performance conditions and make changes to a participants defined targets. In such case, such participants bonus award shall be calculated based on our remuneration committees evaluation, in its sole discretion, of what such participants full-year bonus award entitlement would have been under the original performance conditions and what such participants full-year bonus award entitlement would be under the new performance conditions. Following this, our remuneration committee shall make an adjustment to such bonus award based on each of the two entitlements.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of Employment </w:t>
      </w:r>
    </w:p>
    <w:p>
      <w:pPr>
        <w:pStyle w:val="TextBody"/>
        <w:bidi w:val="0"/>
        <w:spacing w:before="120" w:after="0"/>
        <w:jc w:val="left"/>
        <w:rPr>
          <w:rFonts w:ascii="Times New Roman" w:hAnsi="Times New Roman"/>
          <w:sz w:val="20"/>
        </w:rPr>
      </w:pPr>
      <w:r>
        <w:rPr>
          <w:rFonts w:ascii="Times New Roman" w:hAnsi="Times New Roman"/>
          <w:sz w:val="20"/>
        </w:rPr>
        <w:t xml:space="preserve">Generally, a participant must be continuously employed by a member of our group through the end of the applicable plan period in order to receive a bonus award for such plan period. If a participant ceases to be an eligible executive officer prior to the end of such plan period for any reason, such participant shall immediately forfeit upon termination any and all entitlement to any portion of the bonus award for such plan period.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of control event during a plan period, the plan period will end and each participant will receive a bonus award payment, payable as soon as administratively practicable following such change of control event, calculated by determining what such participants full-year bonus award entitlement would have been based on deemed maximum achievement of the applicable performance conditions through the date of the consummation of such change of control event and then making a pro-rata adjustment to such entitlement based on the portion of such plan period occurring before the date on which such change of control event is consummated. </w:t>
      </w:r>
    </w:p>
    <w:p>
      <w:pPr>
        <w:pStyle w:val="TextBody"/>
        <w:bidi w:val="0"/>
        <w:spacing w:before="360" w:after="0"/>
        <w:jc w:val="left"/>
        <w:rPr>
          <w:rFonts w:ascii="Times New Roman" w:hAnsi="Times New Roman"/>
          <w:i/>
          <w:sz w:val="20"/>
        </w:rPr>
      </w:pPr>
      <w:r>
        <w:rPr>
          <w:rFonts w:ascii="Times New Roman" w:hAnsi="Times New Roman"/>
          <w:i/>
          <w:sz w:val="20"/>
        </w:rPr>
        <w:t xml:space="preserve">Plan 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our Board of Directors or Executive Committee (or another duly authorized committee) may (i) delete, alter or add to any of the provisions of the Annual Bonus Plan in any respect at any time unilaterally and without the consent of any participant, or (ii) terminate the Annual Bonus Plan at any time. If the Annual Bonus Plan is terminated during a plan period, such termination will not affect the operation of the Annual Bonus Plan for the rest of such plan period and bonus awards may be determined and paid pursuant to the rules of the Annual Bonus Plan. </w:t>
      </w:r>
    </w:p>
    <w:p>
      <w:pPr>
        <w:pStyle w:val="TextBody"/>
        <w:bidi w:val="0"/>
        <w:spacing w:before="360" w:after="0"/>
        <w:jc w:val="left"/>
        <w:rPr>
          <w:rFonts w:ascii="Times New Roman" w:hAnsi="Times New Roman"/>
          <w:b/>
          <w:sz w:val="20"/>
        </w:rPr>
      </w:pPr>
      <w:r>
        <w:rPr>
          <w:rFonts w:ascii="Times New Roman" w:hAnsi="Times New Roman"/>
          <w:b/>
          <w:sz w:val="20"/>
        </w:rPr>
        <w:t xml:space="preserve">Awards Vesting at the Completion of this Offering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Executive Awards and RSUs with customized vesting schedules to certain of our executive officers, which will begin vesting upon the completion of this offering. Executive Awards will be settled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number of ordinary shares based on the initial public offering price per ADS. In particular, (i) an Executive Award with a value of $20 million that was granted to our Chief Executive Officer will vest in its entirety upon consummation of this Offering and be settled by the delivery of                 ordinary shares, assuming an initial public offering price of $     per ADS, which is the midpoint of the price range set forth on the cover page of this prospectus, subject to a 12-month holding period, and (ii) Executive Awards with an aggregate value of $35 million that were granted to two executive officers will, upon the completion of this offering, vest in installments over 36 months based on the particular executive officers vesting schedule and be settled by the delivery of ordinary shares, assuming an initial public offering price of $         per ADS, which is the midpoint of the price range set forth on the cover page of this prospectus, upon the completion of this offering. Assuming an initial public offering price of $         per ADS, which is the midpoint of the price range set forth on the cover page of this prospectus, our executive officers will receive an aggregate of                  shares upon the completion of this offering, subject in each case to the awards vesting schedule and the terms of the award certificate.</w:t>
      </w:r>
    </w:p>
    <w:p>
      <w:pPr>
        <w:pStyle w:val="TextBody"/>
        <w:bidi w:val="0"/>
        <w:spacing w:before="240" w:after="0"/>
        <w:jc w:val="left"/>
        <w:rPr>
          <w:rFonts w:ascii="Times New Roman" w:hAnsi="Times New Roman"/>
          <w:sz w:val="20"/>
        </w:rPr>
      </w:pPr>
      <w:r>
        <w:rPr>
          <w:rFonts w:ascii="Times New Roman" w:hAnsi="Times New Roman"/>
          <w:sz w:val="20"/>
        </w:rPr>
        <w:t xml:space="preserve">In addition, we granted a special cash award in the amount of $20 million to our Chief Executive Officer, which will vest upon the completion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permitted by the Companies Act,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 prior to the completion of this offering. In addition to such indemnification, we provide our directors and executive officers with directors and officers liability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rom393891_20"/>
      <w:bookmarkEnd w:id="21"/>
      <w:r>
        <w:rPr>
          <w:rFonts w:ascii="Times New Roman" w:hAnsi="Times New Roman"/>
          <w:b/>
          <w:sz w:val="20"/>
        </w:rPr>
        <w:t xml:space="preserve">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director, director nominee and executive officer remuneration and indemnification arrangements discussed above in the section titled Management and Executive Remuneration, this section describes transactions or loans, since April 1, 2020, between us and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SoftBank Group </w:t>
      </w:r>
    </w:p>
    <w:p>
      <w:pPr>
        <w:pStyle w:val="TextBody"/>
        <w:bidi w:val="0"/>
        <w:spacing w:before="120" w:after="0"/>
        <w:jc w:val="left"/>
        <w:rPr>
          <w:rFonts w:ascii="Times New Roman" w:hAnsi="Times New Roman"/>
          <w:sz w:val="20"/>
        </w:rPr>
      </w:pPr>
      <w:r>
        <w:rPr>
          <w:rFonts w:ascii="Times New Roman" w:hAnsi="Times New Roman"/>
          <w:b/>
          <w:i/>
          <w:sz w:val="20"/>
        </w:rPr>
        <w:t>Shareholder Governance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will enter into the Shareholder Governance Agreement with SoftBank Group, which will govern certain aspects of the relationship between us and SoftBank Group following the completion of this offering, including matters related to pre-emptive rights, rights related to the composition of our Board of Directors and its committees, registration rights, rights related to related party transactions, information and other rights, consultation rights and a consent right, among other matters, including during periods in which SoftBank Group beneficially owns less than a majority of our outstanding ordinary shares. The form of the Shareholder Governance Agreement is attached as an exhibit to the registration statement of which this prospectus forms a part. </w:t>
      </w:r>
    </w:p>
    <w:p>
      <w:pPr>
        <w:pStyle w:val="TextBody"/>
        <w:bidi w:val="0"/>
        <w:spacing w:before="360" w:after="0"/>
        <w:jc w:val="left"/>
        <w:rPr>
          <w:rFonts w:ascii="Times New Roman" w:hAnsi="Times New Roman"/>
          <w:i/>
          <w:sz w:val="20"/>
        </w:rPr>
      </w:pPr>
      <w:r>
        <w:rPr>
          <w:rFonts w:ascii="Times New Roman" w:hAnsi="Times New Roman"/>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shall be entitled (but not obligated) to subscribe for a number of the securities we propose to allot or issue that will enable it to maintain its proportional legal and economic interests in our share capital prior to such allotment or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Rights Related to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Shareholder Governance Agreement, SoftBank Group will have the right to designate a certain number of candidates for election to our Board of Directors based on the level of its and its affiliates ownership of our outstanding ordinary shares, provided that a certain number of such candidates must be independent under law or stock exchange rules applicable to our directors at the time of such nomination. SoftBank Groups designation rights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97"/>
        <w:gridCol w:w="649"/>
        <w:gridCol w:w="865"/>
        <w:gridCol w:w="2020"/>
        <w:gridCol w:w="60"/>
        <w:gridCol w:w="649"/>
        <w:gridCol w:w="865"/>
        <w:gridCol w:w="2020"/>
        <w:gridCol w:w="63"/>
      </w:tblGrid>
      <w:tr>
        <w:trPr/>
        <w:tc>
          <w:tcPr>
            <w:tcW w:w="2197" w:type="dxa"/>
            <w:tcBorders/>
            <w:vAlign w:val="center"/>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19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Ownership of our outstanding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ordinary shares:</w:t>
            </w:r>
          </w:p>
        </w:tc>
        <w:tc>
          <w:tcPr>
            <w:tcW w:w="649" w:type="dxa"/>
            <w:tcBorders/>
            <w:vAlign w:val="bottom"/>
          </w:tcPr>
          <w:p>
            <w:pPr>
              <w:pStyle w:val="TableContents"/>
              <w:bidi w:val="0"/>
              <w:spacing w:before="0" w:after="283"/>
              <w:jc w:val="left"/>
              <w:rPr/>
            </w:pPr>
            <w:r>
              <w:rPr/>
              <w:t>  </w:t>
            </w:r>
          </w:p>
        </w:tc>
        <w:tc>
          <w:tcPr>
            <w:tcW w:w="2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SoftBank Group</w:t>
              <w:br/>
              <w:t>candidates for election to</w:t>
              <w:br/>
              <w:t>our Board of Directors:</w:t>
            </w:r>
          </w:p>
        </w:tc>
        <w:tc>
          <w:tcPr>
            <w:tcW w:w="6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288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SoftBank Group</w:t>
            </w:r>
            <w:r>
              <w:rPr/>
              <w:br/>
            </w:r>
            <w:r>
              <w:rPr>
                <w:b/>
              </w:rPr>
              <w:t>candidates that must</w:t>
              <w:br/>
              <w:t>be independent:</w:t>
            </w:r>
          </w:p>
        </w:tc>
        <w:tc>
          <w:tcPr>
            <w:tcW w:w="63" w:type="dxa"/>
            <w:tcBorders/>
            <w:vAlign w:val="bottom"/>
          </w:tcPr>
          <w:p>
            <w:pPr>
              <w:pStyle w:val="TableContents"/>
              <w:bidi w:val="0"/>
              <w:spacing w:before="0" w:after="283"/>
              <w:jc w:val="left"/>
              <w:rPr/>
            </w:pPr>
            <w:r>
              <w:rPr/>
              <w:t> </w:t>
            </w:r>
          </w:p>
        </w:tc>
      </w:tr>
      <w:tr>
        <w:trPr/>
        <w:tc>
          <w:tcPr>
            <w:tcW w:w="2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Greater than 70%</w:t>
            </w:r>
          </w:p>
        </w:tc>
        <w:tc>
          <w:tcPr>
            <w:tcW w:w="649"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3</w:t>
            </w:r>
          </w:p>
        </w:tc>
        <w:tc>
          <w:tcPr>
            <w:tcW w:w="63" w:type="dxa"/>
            <w:tcBorders/>
            <w:shd w:fill="CCEEFF" w:val="clear"/>
            <w:vAlign w:val="bottom"/>
          </w:tcPr>
          <w:p>
            <w:pPr>
              <w:pStyle w:val="TableContents"/>
              <w:bidi w:val="0"/>
              <w:spacing w:before="0" w:after="283"/>
              <w:jc w:val="left"/>
              <w:rPr/>
            </w:pPr>
            <w:r>
              <w:rPr/>
              <w:t> </w:t>
            </w:r>
          </w:p>
        </w:tc>
      </w:tr>
      <w:tr>
        <w:trPr/>
        <w:tc>
          <w:tcPr>
            <w:tcW w:w="2197"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70% and greater than 60%</w:t>
            </w:r>
          </w:p>
        </w:tc>
        <w:tc>
          <w:tcPr>
            <w:tcW w:w="649"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2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60% and greater than 50%</w:t>
            </w:r>
          </w:p>
        </w:tc>
        <w:tc>
          <w:tcPr>
            <w:tcW w:w="649"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2197"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50% and greater than 40%</w:t>
            </w:r>
          </w:p>
        </w:tc>
        <w:tc>
          <w:tcPr>
            <w:tcW w:w="649"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2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40% and greater than 30%</w:t>
            </w:r>
          </w:p>
        </w:tc>
        <w:tc>
          <w:tcPr>
            <w:tcW w:w="649"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2197"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30% and greater than 20%</w:t>
            </w:r>
          </w:p>
        </w:tc>
        <w:tc>
          <w:tcPr>
            <w:tcW w:w="649"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2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20% and greater than 5%</w:t>
            </w:r>
          </w:p>
        </w:tc>
        <w:tc>
          <w:tcPr>
            <w:tcW w:w="649"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SoftBank Groups rights to designate candidates for election to our Board of Directors are based on an eight-member board, including our Chief Executive Officer, and, pursuant to the Shareholder Governance Agreement, will be modified ratably to reflect any change in the number of directors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effective upon completion of this offering and for so long as SoftBank Group and its controlled affiliates own more than 70% of our outstanding ordinary shares, SoftBank Group will have the right to increase the size of the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 Governance Agreement also provides SoftBank Group with proportional rights to representation on the committees of our Board of Directors, subject to applicable restrictions.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Shareholder Governance Agreement, we will provide SoftBank Group with certain registration rights that will obligate us to register the resale of ordinary shares or securities convertible into or exchangeable for ordinary shares (including ADSs) (Registrable Securities) owned by SoftBank Group after the completion of this offering, provided that we will not be obligated to effect a registration, offer or sale when restricted from doing so under an applicable lock-up entered into in connection with a registered offering of our ordinary shares or securities convertible into or exchangeable for ordinary shares (including ADSs) (provided further that such restriction will not exceed 180 days after the date of pricing of this offering or 60 days after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other public offering). At the request of SoftBank Group, we will use our commercially reasonable efforts to register the resale of Registrable Securities owned by SoftBank Group or certain of its affiliates after the closing of this offering, or subsequently acquired, for public sale under the Securities Act on a registration statement on Form F-1, or a short-form registration statement on Form F-3 if we are then eligible to use such form to register the resale of Registrable Securities on SoftBank Groups behalf. There are no limitations on the total number of times that SoftBank Group may request such registration, but SoftBank Group will not be permitted to request such registration more than three times in any rolling 12-month period.</w:t>
      </w:r>
    </w:p>
    <w:p>
      <w:pPr>
        <w:pStyle w:val="TextBody"/>
        <w:bidi w:val="0"/>
        <w:spacing w:before="240" w:after="0"/>
        <w:jc w:val="left"/>
        <w:rPr>
          <w:rFonts w:ascii="Times New Roman" w:hAnsi="Times New Roman"/>
          <w:sz w:val="20"/>
        </w:rPr>
      </w:pPr>
      <w:r>
        <w:rPr>
          <w:rFonts w:ascii="Times New Roman" w:hAnsi="Times New Roman"/>
          <w:sz w:val="20"/>
        </w:rPr>
        <w:t xml:space="preserve">In addition, SoftBank Group or its relevant affiliates may require us to file and maintain the effectiveness of a short-form registration statement on Form F-3 after we are eligible to use that form to register the resale of Registrable Securities on SoftBank Groups or the relevant affiliates behalf. In the event that SoftBank Group requests registration in connection with registered underwritten offerings, SoftBank Group will retain the right to designate the underwriters for such offerings. </w:t>
      </w:r>
    </w:p>
    <w:p>
      <w:pPr>
        <w:pStyle w:val="TextBody"/>
        <w:bidi w:val="0"/>
        <w:spacing w:before="240" w:after="0"/>
        <w:jc w:val="left"/>
        <w:rPr>
          <w:rFonts w:ascii="Times New Roman" w:hAnsi="Times New Roman"/>
          <w:sz w:val="20"/>
        </w:rPr>
      </w:pPr>
      <w:r>
        <w:rPr>
          <w:rFonts w:ascii="Times New Roman" w:hAnsi="Times New Roman"/>
          <w:sz w:val="20"/>
        </w:rPr>
        <w:t xml:space="preserve">We will also provide SoftBank Group with piggyback registration rights that will entitle SoftBank Group or its relevant affiliates to include its Registrable Securities in future registrations effected by us of our securities under the Securities Act. There is no limit on the number of these piggyback registrations that SoftBank Group may request. SoftBank Groups piggyback rights will be subject to cutbacks on the number of Registrable Securities that SoftBank Group may include in registrations effected by us in connection with underwritten offerings, subject to the good faith determination by the managing underwriters for such offerings that the number of Registrable Securities to be offered by us and SoftBank Group exceeds the number of Registrable Securities that can reasonably be sold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cooperate in these registrations and certain other financing transactions. All expenses payable in connection with such registrations will be paid by us, except that SoftBank Group will pay all its own internal administrative and its own legal and similar costs and underwriting discounts and commissions applicable to the sale of ADSs representing its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 Governance Agreement will contain customary indemnification and contribution provisions by us for the benefit of SoftBank Group and, in limited situations, by SoftBank Group for the benefit of us with respect to the information provided by SoftBank Group for inclusion in any registration statement, prospectus or related document. </w:t>
      </w:r>
    </w:p>
    <w:p>
      <w:pPr>
        <w:pStyle w:val="TextBody"/>
        <w:bidi w:val="0"/>
        <w:spacing w:before="360" w:after="0"/>
        <w:jc w:val="left"/>
        <w:rPr>
          <w:rFonts w:ascii="Times New Roman" w:hAnsi="Times New Roman"/>
          <w:i/>
          <w:sz w:val="20"/>
        </w:rPr>
      </w:pPr>
      <w:r>
        <w:rPr>
          <w:rFonts w:ascii="Times New Roman" w:hAnsi="Times New Roman"/>
          <w:i/>
          <w:sz w:val="20"/>
        </w:rPr>
        <w:t xml:space="preserve">Rights Related to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related party transactions policy, material related party transactions must be reviewed and approved or ratified by the audit committee of our Board of Directors. The Shareholder Governance Agreement further provides, however, that, so long as SoftBank Group is considered a related party under our related party transactions policy, the following process will apply to transactions with SoftBank Group and its affiliates: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transactions with SoftBank Group and its affiliates that would otherwise be subject to the related party transactions policy will be presented to the audit committee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or arrangements existing on the date of our listing and disclosed in this prospectus, including immaterial amendments of such transactions, will be exempt from the review and approval or ratification requirements of our related party transactions policy, provided that extensions and material amendments thereof will require approval or ratification to the same extent as other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audit committee of our Board of Directors determines that a particular transaction or series of related transactions will be conducted in the ordinary course of our business (i.e., the licensing of intellectual property) upon terms generally available to third parties, such transaction will be exempt from the approval and ratification requirements of our related party transactions policy unless such transaction, or series of related transactions, has a value of over $20 million, in which case such transaction or series of transactions will be presented to the Board of Directors for approval or ratification;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audit committee of our Board of Directors determines that a particular proposed transaction is to be conducted on an arms-length basis or upon terms generally available to third parties, such transaction will be presented to our full Board of Directors for approval.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Information and 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 Governance Agreement also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long as SoftBank Group consolidates us for the purposes of its consolidated financial statements or accounts for its investment in us under the equity method, SoftBank Group is entitled to access to our data, information and personnel (including our independent auditors) who shall provide SoftBank Group with such reasonable assistance as required to allow SoftBank Group to complete its consolidated financial statements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provide SoftBank Group with such reasonable information as SoftBank Group may request to allow SoftBank Group to comply with its global tax obligations in a timely manner;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long as SoftBank Group consolidates us for the purposes of its consolidated financial statements or accounts for its investment in us under the equity method, we must coordinate with SoftBank Group prior to the public disclosure of material information and prior to the disclosure and filing of SoftBank Groups annual and quarterly earnings information, periodic reporting, reports to shareholders and other disclosures.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SoftBank Group Consultation Rights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we are a consolidated subsidiary of SoftBank Group, if we propose to (i) change our independent auditor to a firm outside of the professional services networks commonly referred to as the Big Four accounting firms or (ii) make any material changes in our accounting policy, the Shareholder Governance Agreement requires us to provide SoftBank Group with prior written notice of such proposed changes, consult with SoftBank Group in good faith regarding the rationale for such proposed changes, and use our reasonable endeavors to resolve any disagreement and obtain SoftBank Groups consent to such proposed changes.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SoftBank Group has not responded within 30 calendar days of being notified of such proposed changes after good faith consultation by us, then we may adopt such changes upon a determination by our Board of Directors that such changes are in the best interests of us and our shareholders. </w:t>
      </w:r>
    </w:p>
    <w:p>
      <w:pPr>
        <w:pStyle w:val="TextBody"/>
        <w:bidi w:val="0"/>
        <w:spacing w:before="360" w:after="0"/>
        <w:jc w:val="left"/>
        <w:rPr>
          <w:rFonts w:ascii="Times New Roman" w:hAnsi="Times New Roman"/>
          <w:i/>
          <w:sz w:val="20"/>
        </w:rPr>
      </w:pPr>
      <w:r>
        <w:rPr>
          <w:rFonts w:ascii="Times New Roman" w:hAnsi="Times New Roman"/>
          <w:i/>
          <w:sz w:val="20"/>
        </w:rPr>
        <w:t xml:space="preserve">SoftBank Group Consent Right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statutory rights under English law, until the later of (i) the time at which SoftBank Group and its controlled affiliates cease to own at least a majority of our ordinary shares and (ii) the time at which we cease to be a consolidated subsidiary of SoftBank Group, the Shareholder Governance Agreement provides that SoftBank Group shall have a consent right with respect to any decision by us to adopt any incentive plan or share scheme or expansion of an existing plan or scheme (including our Omnibus Incentive Plan), in each case, unless the maximum number of ordinary shares over which rights may be issued does not exceed 5% of our issued share capital at the time of adoption or expansion of such plan or scheme. Such consent right does not apply to any incentive plan or share scheme in place at the time of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consulting agreement with SoftBank Group pursuant to which we provide to SoftBank Group and its affiliates certain technical consultancy and advisory services relating to potential transactions, strategic partnerships, licensing agreements, commercial arrangements or other arrangements involving SoftBank Group or its affiliates. We are not entitled to any fees for the consulting and advisory services provided, other than the reimbursement of certain expenses incurred in connection with providing such services. In connection with the performance of services under the consulting agreement or otherwise, we may enter into strategic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SoftBank Group Facility </w:t>
      </w:r>
    </w:p>
    <w:p>
      <w:pPr>
        <w:pStyle w:val="TextBody"/>
        <w:bidi w:val="0"/>
        <w:spacing w:before="120" w:after="0"/>
        <w:jc w:val="left"/>
        <w:rPr>
          <w:rFonts w:ascii="Times New Roman" w:hAnsi="Times New Roman"/>
          <w:sz w:val="20"/>
        </w:rPr>
      </w:pPr>
      <w:r>
        <w:rPr>
          <w:rFonts w:ascii="Times New Roman" w:hAnsi="Times New Roman"/>
          <w:sz w:val="20"/>
        </w:rPr>
        <w:t xml:space="preserve">In March 2022, certain subsidiaries of SoftBank Group entered into a term loan facility (the Existing SoftBank Group Facility) with certain lenders, which was amended and upsized in June 2022, pursuant to which a subsidiary of SoftBank Group borrowed $8.5 billion, all of which remains outstanding as of the date of this prospectus. A subsidiary of SoftBank Group has pledged substantially all of our total issued and outstanding share capital, as security for the Existing SoftBank Group Facility.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Existing SoftBank Group Facility, in March 2022, we entered into a Springing Guarantee and Indemnity with J.P. Morgan SE, as facility agent, pursuant to which we agreed to, upon the occurrence of certain triggering events, provide a guarantee to the lenders for amounts borrowed under the Existing SoftBank Group Facility. To date, no such triggering events under the Springing Guarantee and Indemnity have occurred, and we have not been required to provide such guarantee. SoftBank Group has informed us that (i) it intends to repay the term loan facility prior to, or substantially concurrently with, the pricing of this offering, and (ii) at the time of such repayment, that our springing guarantee and indemnity will be terminated. The repayment of the Existing SoftBank Group Facility and the release of our obligations thereunder is a condition to the closing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SoftBank Group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19, 2023, certain subsidiaries of SoftBank Group entered into the New SoftBank Group Facility, pursuant to which a subsidiary of SoftBank Group is expected to borrow up to $8.5 billion either following, or substantially concurrently with, the closing of this offering and following the repayment of the Existing SoftBank Group Facility. </w:t>
      </w:r>
    </w:p>
    <w:p>
      <w:pPr>
        <w:pStyle w:val="TextBody"/>
        <w:bidi w:val="0"/>
        <w:spacing w:before="240" w:after="0"/>
        <w:jc w:val="left"/>
        <w:rPr>
          <w:rFonts w:ascii="Times New Roman" w:hAnsi="Times New Roman"/>
          <w:sz w:val="20"/>
        </w:rPr>
      </w:pPr>
      <w:r>
        <w:rPr>
          <w:rFonts w:ascii="Times New Roman" w:hAnsi="Times New Roman"/>
          <w:sz w:val="20"/>
        </w:rPr>
        <w:t xml:space="preserve">The New SoftBank Group Facility will initially be secured by a pledge of 769,029,000 of our ordinary shares representing 75.01% equity interest in us (before giving effect to the issuance of ordinary shares issuable upon the completion of this offering in connection with the vesting of RSUs and Executive Awards) pursuant to certain exceptions to the lock-up agreements. See Ordinary Shares and ADSs Eligible for Future SaleLock-up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New SoftBank Group Facility, we entered into certain customary undertakings for the benefit of the lenders to facilitate the pledge of the ordinary shares securing the New SoftBank Group Facility and we have agreed to facilitate the foreclosure upon the pledge following an event of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FactorsRisks Relating to Our Status as a Controlled Company and Foreign Private IssuerSoftBank Groups interests may conflict with our own interests and those of holders of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Transactions with SoftBank Group </w:t>
      </w:r>
    </w:p>
    <w:p>
      <w:pPr>
        <w:pStyle w:val="TextBody"/>
        <w:bidi w:val="0"/>
        <w:spacing w:before="120" w:after="0"/>
        <w:jc w:val="left"/>
        <w:rPr>
          <w:rFonts w:ascii="Times New Roman" w:hAnsi="Times New Roman"/>
          <w:sz w:val="20"/>
        </w:rPr>
      </w:pPr>
      <w:r>
        <w:rPr>
          <w:rFonts w:ascii="Times New Roman" w:hAnsi="Times New Roman"/>
          <w:sz w:val="20"/>
        </w:rPr>
        <w:t xml:space="preserve">Following a strategic decision in 2021 to place greater focus on our core technology licensing business, we decided to distribute or sell certain components of our IoT business to subsidiaries of SoftBank Group. In June 2021, we distributed all of the equity interests in Treasure Data to our shareholders, and in November 2021, we sold IoTP to SoftBank Group Capital Limited. Treasure Datas and IoTPs net assets upon distribution and sale were approximately $44 million and $12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Prior to the distribution of Treasure Data, a member of SoftBank Group made a $50 million loan to Treasure Data. This loan accrued interest at a rate of 2.0% per annum. The loan balance, including accrued interest, was included in the distribution of Treasure Data to Arm Limiteds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June 2023, we entered into a subscription letter with a subsidiary of SoftBank Vision Fund and Kigen (UK) Limited (Kigen), an entity of which SoftBank Vision Fund indirectly owned 85% of the share capital on a fully diluted basis with the remainder comprising management incentives. Pursuant to the subscription letter, we and the subsidiary of SoftBank Vision Fund each invested $10 million in exchange for preference shares of Kigen. The preference shares are convertible into common shares of Kigen and are entitled to full dividend, distribution and voting rights. The preference shares have 1x non-participating liquidation preference. The preference shares are freely transferable other than to competitors of Kigen. Following the consummation of the subscription, we and the subsidiary of SoftBank Vision Fund owned approximately 12% and 76% of the fully diluted shares outstanding, respectively. Kigen is engaged in the business of physical sim, eSim and iSim authentication. We executed this investment due to the potential of Kigens product lines to complement our IoT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Jeffrey A. Sine </w:t>
      </w:r>
    </w:p>
    <w:p>
      <w:pPr>
        <w:pStyle w:val="TextBody"/>
        <w:bidi w:val="0"/>
        <w:spacing w:before="120" w:after="0"/>
        <w:jc w:val="left"/>
        <w:rPr>
          <w:rFonts w:ascii="Times New Roman" w:hAnsi="Times New Roman"/>
          <w:sz w:val="20"/>
        </w:rPr>
      </w:pPr>
      <w:r>
        <w:rPr>
          <w:rFonts w:ascii="Times New Roman" w:hAnsi="Times New Roman"/>
          <w:sz w:val="20"/>
        </w:rPr>
        <w:t xml:space="preserve">Mr. Sine is a Co-Founder and Partner of The Raine Group LLC. In connection with this offering, Raine Securities LLC, a subsidiary of The Raine Group LLC, has performed certain initial public offering advisory services on our behalf, for which it is entitled to receive an amount that is equal to 5% of the underwriting discounts and commissions set forth in this prospectus, plus the corresponding spread if the underwriters exercise their option to purchase additional ADSs.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our sole discretion, we may pay or cause to be paid to Raine Securities LLC an amount that is equal to up to an additional 5% of the underwriting discounts and commissions set forth in this prospectus, plus the corresponding spread if the underwriters exercise their option to purchase additional ADSs, based upon an assessment of Raine Securities LLCs performance in providing services to us. </w:t>
      </w:r>
    </w:p>
    <w:p>
      <w:pPr>
        <w:pStyle w:val="TextBody"/>
        <w:bidi w:val="0"/>
        <w:spacing w:before="240" w:after="0"/>
        <w:jc w:val="left"/>
        <w:rPr>
          <w:rFonts w:ascii="Times New Roman" w:hAnsi="Times New Roman"/>
          <w:sz w:val="20"/>
        </w:rPr>
      </w:pPr>
      <w:r>
        <w:rPr>
          <w:rFonts w:ascii="Times New Roman" w:hAnsi="Times New Roman"/>
          <w:sz w:val="20"/>
        </w:rPr>
        <w:t xml:space="preserve">Furthermore, Mr. Sine, The Raine Group LLC and its affiliated entities engage in transactions with SoftBank Group, SoftBank Vision Fund, and their respective management and affiliates. Certain of these transactions have involved SoftBank Groups investment in us. Other such transactions include a broad range of advisory services performed on behalf of SoftBank Group and its affiliates. In addition, SoftBank Group retains an indirect minority ownership stake in The Raine Group LLC and is an investor in certain investment funds managed by Raine Capital LLC, a subsidiary of The Raine Group LLC.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Associates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Arm China </w:t>
      </w:r>
    </w:p>
    <w:p>
      <w:pPr>
        <w:pStyle w:val="TextBody"/>
        <w:bidi w:val="0"/>
        <w:spacing w:before="120" w:after="0"/>
        <w:jc w:val="left"/>
        <w:rPr>
          <w:rFonts w:ascii="Times New Roman" w:hAnsi="Times New Roman"/>
          <w:sz w:val="20"/>
        </w:rPr>
      </w:pPr>
      <w:r>
        <w:rPr>
          <w:rFonts w:ascii="Times New Roman" w:hAnsi="Times New Roman"/>
          <w:sz w:val="20"/>
        </w:rPr>
        <w:t xml:space="preserve">On March 28, 2022, we sold our entire equity interest in Arm China to another subsidiary of SoftBank Group, Acetone Limited, for consideration of approximately $930 million. The consideration was exchanged for a promissory note equal to 90% of the consideration and shares in Acetone Limited equal to the remaining 10% of the consideration. On the same date, the promissory note receivable was distributed to our shareholders. Following the distribution and in satisfaction of the balance of the consideration left outstanding, Acetone Limited issued new shares to Arm Limited such that the obligation of Acetone Limited in respect of the payment of the consideration left outstanding was satisfied fully and extinguished.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 </w:t>
      </w:r>
    </w:p>
    <w:p>
      <w:pPr>
        <w:pStyle w:val="TextBody"/>
        <w:bidi w:val="0"/>
        <w:spacing w:before="240" w:after="0"/>
        <w:jc w:val="left"/>
        <w:rPr>
          <w:rFonts w:ascii="Times New Roman" w:hAnsi="Times New Roman"/>
          <w:sz w:val="20"/>
        </w:rPr>
      </w:pPr>
      <w:r>
        <w:rPr>
          <w:rFonts w:ascii="Times New Roman" w:hAnsi="Times New Roman"/>
          <w:sz w:val="20"/>
        </w:rPr>
        <w:t xml:space="preserve">We are party to the IPLA with Arm China, under which Arm China licenses certain of our IP from us that Arm China in turn sublicenses to its PRC customers. Prior to the entry into this arrangement, Arm Chinas results were consolidated in our financial statements; however, as a result of the transaction described above, 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Chinas results will no longer be consolidated in our financial statements. Under the IPLA with Arm China, Arm Chinas payments due to us are determined based on the financial information that Arm China provides to us.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2023, 2022 and 2021, revenues attributable to our relationship with Arm China were approximately 24%, 18% and 20% of our total revenue,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IPLA with Arm China,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FactorsRisks Relating to Our Business and IndustryWe depend on our commercial relationship with Arm China to access the PRC market. If that commercial relationship no longer existed or deteriorates, our ability to compete in the PRC market could be materially and adversely affected and Risk FactorsRisks Relating to Our Business and IndustryNeither we nor SoftBank Group control the operations of Arm China, which operates independently of us. </w:t>
      </w:r>
    </w:p>
    <w:p>
      <w:pPr>
        <w:pStyle w:val="TextBody"/>
        <w:bidi w:val="0"/>
        <w:spacing w:before="360" w:after="0"/>
        <w:jc w:val="left"/>
        <w:rPr>
          <w:rFonts w:ascii="Times New Roman" w:hAnsi="Times New Roman"/>
          <w:b/>
          <w:sz w:val="20"/>
        </w:rPr>
      </w:pPr>
      <w:r>
        <w:rPr>
          <w:rFonts w:ascii="Times New Roman" w:hAnsi="Times New Roman"/>
          <w:b/>
          <w:sz w:val="20"/>
        </w:rPr>
        <w:t xml:space="preserve">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Arm entities enter into transactions with counterparties affiliated with the Companys indirect shareholders on an arms length basis, including SoftBank Corp. and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this offering, we expect to adopt a related party transaction policy. Our related party transaction policy will set forth our procedures for the identification, review, consideration and approval or ratification of related party transactions. The policy will become effective in connection with this offering. For purposes of our policy only, a related party transaction is any transaction, arrangement or relationship or series of similar transactions, arrangements or relationships (including any indebtedness or guarantee of indebtedness) between us or any of our parent or subsidiaries and any related party. Transactions involving compensation for services provided to us as an employee or director are not covered by this policy.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Shareholder Governance Agreement applicable to transactions with SoftBank Group and its affiliates described below, 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the related party transaction must be approved or ratified by the audit committee of our Board of Directors. In reviewing any such transaction, our audit committee will consider, among other things, the material facts, the interests, direct and indirect, of the related parties, the benefits to us of the transaction and whether the transaction is on terms that are comparable to the terms available to or from, as the case may be, an unrelated third party or to or from employees generally. With respect to transactions with SoftBank Group and its affiliates, for so long as the corresponding provisions in the Shareholder Governance Agreement remain in effect, the audit committee will not be required to approve (i) transactions or arrangements existing as of the date of our listing and disclosed in this prospectus; provided that extensions and material amendments thereof will require approval to the same extent as other related party transactions; (ii) ordinary course transactions upon terms generally available to third parties unless the applicable transaction or series of related transactions has a value over $20 million, in which case our Board of Directors must review and approve or ratify the transaction; and (iii) transactions that the audit committee determines are at arms length, in which case our Board of Directors must review and approve the transaction. See Transactions with SoftBank GroupShareholder Governance AgreementRights Related to Related Party Transactions. Under the policy, we will collect information that we deem reasonably necessary from each director, executive officer and, to the extent feasible, significant shareholder to enable us to identify any existing or potential related party transactions and to effectuate the terms of the policy. In addition, under our Code of Conduct, our employees and directors have an affirmative responsibility to disclose any material transaction or relationship that may give rise to a conflict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rom393891_21"/>
      <w:bookmarkEnd w:id="22"/>
      <w:r>
        <w:rPr>
          <w:rFonts w:ascii="Times New Roman" w:hAnsi="Times New Roman"/>
          <w:b/>
          <w:sz w:val="20"/>
        </w:rPr>
        <w:t xml:space="preserve">PRINCIPAL AND SELLING SHAREHOLDER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related footnotes set forth information with respect to the beneficial ownership of our ordinary shares, as of             , 2023, after giving effect to our corporate reorganization, and as adjusted to reflect the sale of the ADSs offered in this offering,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beneficial owner of 5% or more of our outstanding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These rules generally attribute beneficial ownership of securities to persons who possess sole or shared voting power or investment power with respect to those securities and include ordinary shares issuable upon the exercise of options that are immediately exercisable or exercisable within 60 days of             , 2023. Percentage ownership calculations prior to the completion of this offering are based on ordinary shares outstanding as of             , 2023 after giving effect to our corporate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ordinary shares beneficially owned after the completion of this offering is based on                      ordinary shares outstanding after this offering, including                 ordinary shares represented by ADSs to be issued in connection with this offering, and assuming (i) no exercise of the underwriters option to purchase additional ADSs; and (ii) a public offering price of $         per ADS, which is the midpoint of the price range set forth on the cover page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any material relationship that our principal shareholders have had with us or any of our affiliates within the past three years is included under Related Party Transactions. The principal shareholders listed below do not have voting rights with respect to their ordinary shares that are different from the voting rights of other holders of our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otherwise indicated in the table below, addresses of the directors, executive officers and named beneficial owners are care of Arm Holdings Limited, 110 Fulbourn Road, Cambridge CB1 9NJ, United Kingdom. As of             , 2023, to our knowledge, there are no U.S. record holders of our issued and outstanding ordinary shares. </w:t>
      </w:r>
    </w:p>
    <w:p>
      <w:pPr>
        <w:pStyle w:val="TextBody"/>
        <w:bidi w:val="0"/>
        <w:spacing w:before="0" w:after="0"/>
        <w:jc w:val="left"/>
        <w:rPr/>
      </w:pPr>
      <w:r>
        <w:rPr/>
        <w:t> </w:t>
      </w:r>
    </w:p>
    <w:tbl>
      <w:tblPr>
        <w:tblW w:w="10489" w:type="dxa"/>
        <w:jc w:val="center"/>
        <w:tblInd w:w="0" w:type="dxa"/>
        <w:tblLayout w:type="fixed"/>
        <w:tblCellMar>
          <w:top w:w="0" w:type="dxa"/>
          <w:left w:w="0" w:type="dxa"/>
          <w:bottom w:w="0" w:type="dxa"/>
          <w:right w:w="0" w:type="dxa"/>
        </w:tblCellMar>
      </w:tblPr>
      <w:tblGrid>
        <w:gridCol w:w="2315"/>
        <w:gridCol w:w="120"/>
        <w:gridCol w:w="437"/>
        <w:gridCol w:w="438"/>
        <w:gridCol w:w="474"/>
        <w:gridCol w:w="948"/>
        <w:gridCol w:w="395"/>
        <w:gridCol w:w="405"/>
        <w:gridCol w:w="60"/>
        <w:gridCol w:w="120"/>
        <w:gridCol w:w="775"/>
        <w:gridCol w:w="775"/>
        <w:gridCol w:w="60"/>
        <w:gridCol w:w="120"/>
        <w:gridCol w:w="437"/>
        <w:gridCol w:w="438"/>
        <w:gridCol w:w="437"/>
        <w:gridCol w:w="875"/>
        <w:gridCol w:w="394"/>
        <w:gridCol w:w="406"/>
        <w:gridCol w:w="60"/>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97" w:type="dxa"/>
            <w:gridSpan w:val="6"/>
            <w:tcBorders>
              <w:bottom w:val="single" w:sz="8" w:space="0" w:color="000000"/>
            </w:tcBorders>
            <w:tcMar>
              <w:bottom w:w="28" w:type="dxa"/>
            </w:tcMar>
            <w:vAlign w:val="bottom"/>
          </w:tcPr>
          <w:p>
            <w:pPr>
              <w:pStyle w:val="TableContents"/>
              <w:bidi w:val="0"/>
              <w:spacing w:before="0" w:after="283"/>
              <w:jc w:val="center"/>
              <w:rPr/>
            </w:pPr>
            <w:r>
              <w:rPr>
                <w:b/>
              </w:rPr>
              <w:t>Ordinary Shares</w:t>
            </w:r>
            <w:r>
              <w:rPr/>
              <w:br/>
            </w:r>
            <w:r>
              <w:rPr>
                <w:b/>
              </w:rPr>
              <w:t>Beneficially Owned</w:t>
            </w:r>
            <w:r>
              <w:rPr/>
              <w:br/>
            </w:r>
            <w:r>
              <w:rPr>
                <w:b/>
              </w:rPr>
              <w:t>Prior to this Offering</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55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Ordinary</w:t>
            </w:r>
            <w:r>
              <w:rPr/>
              <w:br/>
            </w:r>
            <w:r>
              <w:rPr>
                <w:b/>
              </w:rPr>
              <w:t>Shares Offered</w:t>
            </w:r>
            <w:r>
              <w:rPr/>
              <w:br/>
            </w:r>
            <w:r>
              <w:rPr>
                <w:b/>
              </w:rPr>
              <w:t>Pursuant to</w:t>
            </w:r>
            <w:r>
              <w:rPr/>
              <w:br/>
            </w:r>
            <w:r>
              <w:rPr>
                <w:b/>
              </w:rPr>
              <w:t>this Offering</w:t>
            </w:r>
          </w:p>
        </w:tc>
        <w:tc>
          <w:tcPr>
            <w:tcW w:w="6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87" w:type="dxa"/>
            <w:gridSpan w:val="6"/>
            <w:tcBorders>
              <w:bottom w:val="single" w:sz="8" w:space="0" w:color="000000"/>
            </w:tcBorders>
            <w:tcMar>
              <w:bottom w:w="28" w:type="dxa"/>
            </w:tcMar>
            <w:vAlign w:val="bottom"/>
          </w:tcPr>
          <w:p>
            <w:pPr>
              <w:pStyle w:val="TableContents"/>
              <w:bidi w:val="0"/>
              <w:spacing w:before="0" w:after="283"/>
              <w:jc w:val="center"/>
              <w:rPr/>
            </w:pPr>
            <w:r>
              <w:rPr>
                <w:b/>
              </w:rPr>
              <w:t>Ordinary Shares</w:t>
            </w:r>
            <w:r>
              <w:rPr/>
              <w:br/>
            </w:r>
            <w:r>
              <w:rPr>
                <w:b/>
              </w:rPr>
              <w:t>Beneficially Owned</w:t>
            </w:r>
            <w:r>
              <w:rPr/>
              <w:br/>
            </w:r>
            <w:r>
              <w:rPr>
                <w:b/>
              </w:rPr>
              <w:t xml:space="preserve">After this Offering </w:t>
            </w:r>
          </w:p>
        </w:tc>
        <w:tc>
          <w:tcPr>
            <w:tcW w:w="60" w:type="dxa"/>
            <w:tcBorders/>
            <w:vAlign w:val="bottom"/>
          </w:tcPr>
          <w:p>
            <w:pPr>
              <w:pStyle w:val="TableContents"/>
              <w:bidi w:val="0"/>
              <w:spacing w:before="0" w:after="283"/>
              <w:jc w:val="left"/>
              <w:rPr/>
            </w:pPr>
            <w:r>
              <w:rPr/>
              <w:t> </w:t>
            </w:r>
          </w:p>
        </w:tc>
      </w:tr>
      <w:tr>
        <w:trPr/>
        <w:tc>
          <w:tcPr>
            <w:tcW w:w="23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Shareholder</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47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55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437"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0" w:type="dxa"/>
            <w:tcBorders/>
            <w:vAlign w:val="bottom"/>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Shareholders and Selling Shareholder:</w:t>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SoftBank Group Corp.(1)</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315" w:type="dxa"/>
            <w:tcBorders/>
            <w:vAlign w:val="center"/>
          </w:tcPr>
          <w:p>
            <w:pPr>
              <w:pStyle w:val="TableContents"/>
              <w:bidi w:val="0"/>
              <w:spacing w:before="0" w:after="283"/>
              <w:jc w:val="left"/>
              <w:rPr>
                <w:sz w:val="4"/>
                <w:szCs w:val="4"/>
              </w:rPr>
            </w:pPr>
            <w:r>
              <w:rPr>
                <w:sz w:val="4"/>
                <w:szCs w:val="4"/>
              </w:rPr>
            </w:r>
          </w:p>
        </w:tc>
        <w:tc>
          <w:tcPr>
            <w:tcW w:w="1469" w:type="dxa"/>
            <w:gridSpan w:val="4"/>
            <w:tcBorders/>
            <w:vAlign w:val="center"/>
          </w:tcPr>
          <w:p>
            <w:pPr>
              <w:pStyle w:val="TableContents"/>
              <w:bidi w:val="0"/>
              <w:spacing w:before="0" w:after="283"/>
              <w:jc w:val="left"/>
              <w:rPr>
                <w:sz w:val="4"/>
                <w:szCs w:val="4"/>
              </w:rPr>
            </w:pPr>
            <w:r>
              <w:rPr>
                <w:sz w:val="4"/>
                <w:szCs w:val="4"/>
              </w:rPr>
            </w:r>
          </w:p>
        </w:tc>
        <w:tc>
          <w:tcPr>
            <w:tcW w:w="1808" w:type="dxa"/>
            <w:gridSpan w:val="4"/>
            <w:tcBorders/>
            <w:vAlign w:val="center"/>
          </w:tcPr>
          <w:p>
            <w:pPr>
              <w:pStyle w:val="TableContents"/>
              <w:bidi w:val="0"/>
              <w:spacing w:before="0" w:after="283"/>
              <w:jc w:val="left"/>
              <w:rPr>
                <w:sz w:val="4"/>
                <w:szCs w:val="4"/>
              </w:rPr>
            </w:pPr>
            <w:r>
              <w:rPr>
                <w:sz w:val="4"/>
                <w:szCs w:val="4"/>
              </w:rPr>
            </w:r>
          </w:p>
        </w:tc>
        <w:tc>
          <w:tcPr>
            <w:tcW w:w="1730" w:type="dxa"/>
            <w:gridSpan w:val="4"/>
            <w:tcBorders/>
            <w:vAlign w:val="center"/>
          </w:tcPr>
          <w:p>
            <w:pPr>
              <w:pStyle w:val="TableContents"/>
              <w:bidi w:val="0"/>
              <w:spacing w:before="0" w:after="283"/>
              <w:jc w:val="left"/>
              <w:rPr>
                <w:sz w:val="4"/>
                <w:szCs w:val="4"/>
              </w:rPr>
            </w:pPr>
            <w:r>
              <w:rPr>
                <w:sz w:val="4"/>
                <w:szCs w:val="4"/>
              </w:rPr>
            </w:r>
          </w:p>
        </w:tc>
        <w:tc>
          <w:tcPr>
            <w:tcW w:w="1432" w:type="dxa"/>
            <w:gridSpan w:val="4"/>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b/>
                <w:sz w:val="20"/>
              </w:rPr>
            </w:pPr>
            <w:r>
              <w:rPr>
                <w:rFonts w:ascii="Times New Roman" w:hAnsi="Times New Roman"/>
                <w:b/>
                <w:sz w:val="20"/>
              </w:rPr>
              <w:t>Executive Officers and Directors:</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Masayoshi Son(1)</w:t>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Ronald D. Fisher</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A. Sine</w:t>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Karen E. Dykstra</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Michael Fadell</w:t>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Rosemary Schooler</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E. Jacobs, PhD</w:t>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Rene Haas</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Jason Child</w:t>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Kirsty Gill</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Spencer Collins</w:t>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Richard Grisenthwaite</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 Abbey</w:t>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(13 individuals)</w:t>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of record by Kronos II LLC, an indirect wholly-owned subsidiary of SoftBank Group. Excludes one ordinary share beneficially owned by SoftBank Vision Fund, a subsidiary of SoftBank Group. SoftBank Group may be deemed to have beneficial ownership of our ordinary shares beneficially owned by SoftBank Vision Fund. SoftBank Group disclaims any such beneficial ownership. 769,029,000 of our ordinary shares that will be beneficially owned by SoftBank Group after this offering, representing a 75.01% equity interest in us (before giving effect to the issuance of ordinary shares issuable upon the completion of this offering in connection with the vesting of RSUs and Executive Awards), will initially be pledged as security under the New SoftBank Group Facility. Masayoshi Son, who is a Director and the Chairman of our Board of Directors, is Representative Director, Corporate Officer, Chairman and CEO of SoftBank Group. Rene Haas, who is a Director and our Chief Executive Officer is a Director of SoftBank Group. Messrs. Son and Haas disclaim beneficial ownership of these shares. The address for SoftBank Group is 1-7-1 Kaigan, Minato-ku, Tokyo 105-7537, Japan.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rom393891_22"/>
      <w:bookmarkEnd w:id="23"/>
      <w:r>
        <w:rPr>
          <w:rFonts w:ascii="Times New Roman" w:hAnsi="Times New Roman"/>
          <w:b/>
          <w:sz w:val="20"/>
        </w:rPr>
        <w:t xml:space="preserve">DESCRIPTION OF SHARE CAPITAL AND ARTICLES OF ASSOCIATION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describes our issued share capital, summarizes the material provisions of the Articles and highlights certain differences in corporate law in the England and Wales and Delaware. Please note that this summary is not intended to be exhaustive and does not purport to be complete, and is qualified in its entirety by reference to the Articles to be in effect upon completion of this offering and applicable English law. For further information, please refer to the full version of the Articles, which are included as an exhibit to the registration statement of which this prospectus is a part. Further, please note that holders of ADSs to be in effect upon completion of this offering will not be treated as one of our shareholders and will not have any shareholder rights.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Arm Holdings plc was incorporated as a private limited company with the legal name Arm Holdings Limited under the laws of England and Wales on April 9, 2018, with the company number 11299879. Arm Holdings Limited re-registered as a public limited company on             , 2023 and changed its name to Arm Holdings plc. </w:t>
      </w:r>
    </w:p>
    <w:p>
      <w:pPr>
        <w:pStyle w:val="TextBody"/>
        <w:bidi w:val="0"/>
        <w:spacing w:before="240" w:after="0"/>
        <w:jc w:val="left"/>
        <w:rPr>
          <w:rFonts w:ascii="Times New Roman" w:hAnsi="Times New Roman"/>
          <w:sz w:val="20"/>
        </w:rPr>
      </w:pPr>
      <w:r>
        <w:rPr>
          <w:rFonts w:ascii="Times New Roman" w:hAnsi="Times New Roman"/>
          <w:sz w:val="20"/>
        </w:rPr>
        <w:t xml:space="preserve">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which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Group. On March 19, 2018, as a part of a reorganization, Arm Holdings plc with the company number 02548782 re-registered as a private limited company and was renamed SVF HoldCo (UK) Limited, which became a subsidiary of SoftBank Vision Fund, which retained an approximate 25% interest in our company with the remainder beneficially held by SoftBank Group. In August 2023, a subsidiary of SoftBank Group acquired substantially all of SoftBank Vision Funds interest in Arm Limited at a purchase price of approximately $16.1 billion, with the associated payments to be made in installments over a two-year period. The purchase price was established by reference to the terms of a prior contractual arrangement between the parties. Accordingly, prior to this offering, SoftBank Group beneficially owns substantially all of our outstanding shares. Our registered office is 110 Fulbourn Road, Cambridge, Cambridgeshire, CB1 9NJ, U.K.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our corporate reorganization: (i) each ordinary share in the capital of Arm Holdings Limited was transferred, by way of a dividend in specie, by Arm Limited to each of the shareholders of Arm Limited in an approximate proportion to the shareholding that such shareholders held in Arm Limited; (ii) the shareholders of Arm Limited exchanged each of the ordinary shares held by them in Arm Limited for newly issued ordinary shares of Arm Holdings Limited of the same class and in approximately the same proportions as their previous shareholding in Arm Limited, and as a result, Arm Holdings Limited became the sole shareholder of Arm Limited; and (iii) Arm Holdings Limited re-registered as a public limited company and changed its name to Arm Holdings plc. See Corporate Reorganization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the issued share capital of Arm Limited consisted of a single class of ordinary shares, and 1,025,234,000 ordinary shares of £0.001 per share were outstanding as of such date and each issued share was (and remains) fully paid. During the period from June 30, 2023 to                 , 2023,                      new ordinary shares in the capital of Arm Limited were issued.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share exchange between the shareholders of Arm Limited and Arm Holdings Limited as part of our corporate reorganization, the shareholders of Arm Limited exchanged each of the ordinary shares held by them in Arm Limited for newly issued ordinary shares of Arm Holdings Limited of the same class and in approximately the same proportions as their previous shareholding in Arm Limited, and as a result, Arm Holdings Limited became the sole shareholder of Arm Limited. See Corporate Reorganization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completion of the remaining steps in the corporate reorganization on             , 2023, the issued share capital of Arm Limited remains a single class of ordinary shares, and 1,025,234,000 ordinary shares of £0.001 per share were outstanding as of such date and each issued share is fully paid, and the issued share capital of Arm Holdings plc consists of a single class of ordinary shares, and 1,025,234,000 ordinary shares of £0.001 per share were outstanding as of such date and each issued share is fully paid.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we will have                      ordinary shares outstanding, including ordinary shares represented by ADSs.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Companies Act, there is no limit on our authorized share capital. We do not have any shares that do not represent capital. No ordinary shares are held by or on behalf of the Company or by subsidiaries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Articles to be in effect upon the completion of this offering, the following summarizes the rights of holders of our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holder of our ordinary shares is entitled to one vote per ordinary share on all matters to be voted on by shareholders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ordinary shares shall be entitled to receive notice of, attend, speak and vote at our general meetings, provided that the Company may determine that only those persons entered into the register of members at the close of business on a day decided by the Company (being no more than 21 clear days before the day that notice of the meeting is sent) shall be entitled to receive such notice;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our ordinary shares are entitled to receive such dividends as are recommended by our directors and declared in accordance with the Articles.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also Articles of Association below. </w:t>
      </w:r>
    </w:p>
    <w:p>
      <w:pPr>
        <w:pStyle w:val="TextBody"/>
        <w:bidi w:val="0"/>
        <w:spacing w:before="360" w:after="0"/>
        <w:jc w:val="left"/>
        <w:rPr>
          <w:rFonts w:ascii="Times New Roman" w:hAnsi="Times New Roman"/>
          <w:b/>
          <w:sz w:val="20"/>
        </w:rPr>
      </w:pPr>
      <w:r>
        <w:rPr>
          <w:rFonts w:ascii="Times New Roman" w:hAnsi="Times New Roman"/>
          <w:b/>
          <w:sz w:val="20"/>
        </w:rPr>
        <w:t xml:space="preserve">RSUs </w:t>
      </w:r>
    </w:p>
    <w:p>
      <w:pPr>
        <w:pStyle w:val="TextBody"/>
        <w:bidi w:val="0"/>
        <w:spacing w:before="120" w:after="0"/>
        <w:jc w:val="left"/>
        <w:rPr>
          <w:rFonts w:ascii="Times New Roman" w:hAnsi="Times New Roman"/>
          <w:sz w:val="20"/>
        </w:rPr>
      </w:pPr>
      <w:r>
        <w:rPr>
          <w:rFonts w:ascii="Times New Roman" w:hAnsi="Times New Roman"/>
          <w:sz w:val="20"/>
        </w:rPr>
        <w:t xml:space="preserve">RSUs are conditional rights to receive our ordinary shares in the future, which may also remain forfeitable unless and until specified conditions are met. Each RSU entitles the holder thereof to one ordinary share upon vesting subject to our remuneration committees right to settle the RSUs in cash (except in certain jurisdictions). See Management and Executive RemunerationEquity Incentive Plans.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there were a total of 11,493,548 RSUs outstanding under the 2019 AEP, which vest on the occurrence of an exit event (which includes 180 days after the completion of this offering) to the extent that the relevant vesting hurdle is met or exceeded.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there were a total of 192,999 RSUs outstanding under 2019 EIP, which vest on the occurrence of an exit event (which includes the completion of this offering) and are not subject to any vesting hurdle.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there were a total of 27,065,349 RSUs outstanding under the 2022 RSU Plan. Except for the Israel Awards, which may have different vesting schedules, these RSUs vest over a three-year period on an annual basis prior to the completion of this offering and awards will be accounted for using the vesting schedules applicable after an initial public offering following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there were a total of 26,505 RSUs outstanding under the NED Plan, which all have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Executive Awards </w:t>
      </w:r>
    </w:p>
    <w:p>
      <w:pPr>
        <w:pStyle w:val="TextBody"/>
        <w:bidi w:val="0"/>
        <w:spacing w:before="120" w:after="0"/>
        <w:jc w:val="left"/>
        <w:rPr>
          <w:rFonts w:ascii="Times New Roman" w:hAnsi="Times New Roman"/>
          <w:sz w:val="20"/>
        </w:rPr>
      </w:pPr>
      <w:r>
        <w:rPr>
          <w:rFonts w:ascii="Times New Roman" w:hAnsi="Times New Roman"/>
          <w:sz w:val="20"/>
        </w:rPr>
        <w:t xml:space="preserve">Executive Awards are conditional rights to receive a specified amount of cash or our shares in the future, which may also remain forfeitable unless and until specified conditions are met. After the completion of this offering, the Executive Awards entitle the holder thereof to ordinary shares upon vesting subject to our remuneration committees right to settle the Executive Awards in cash. See Management and Executive RemunerationEquity Incentive Plans.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there were Executive Awards in the aggregate amount of $95 million outstanding under the 2022 RSU Plan. </w:t>
      </w:r>
    </w:p>
    <w:p>
      <w:pPr>
        <w:pStyle w:val="TextBody"/>
        <w:bidi w:val="0"/>
        <w:spacing w:before="360" w:after="0"/>
        <w:jc w:val="left"/>
        <w:rPr>
          <w:rFonts w:ascii="Times New Roman" w:hAnsi="Times New Roman"/>
          <w:b/>
          <w:sz w:val="20"/>
        </w:rPr>
      </w:pPr>
      <w:r>
        <w:rPr>
          <w:rFonts w:ascii="Times New Roman" w:hAnsi="Times New Roman"/>
          <w:b/>
          <w:sz w:val="20"/>
        </w:rPr>
        <w:t xml:space="preserve">Register of members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by the Companies Act to keep a register of our shareholders. Under English law, the ordinary shares are deemed to be issued when the name of the shareholder is entered in the register of members. The register of members therefore is prima facie evidence of the identity of our shareholders, and the shares that they hold. The register of members generally provides limited, or no, information regarding the ultimate beneficial owners of our ordinary shares. Our register of members upon the completion of this offering will be maintained by our registrar,                     .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ADSs will not be treated as our shareholders and their names will therefore not be entered in our register of members. The depositary, the custodian or their nominees will be the holder of the ordinary shares underlying the ADSs. Pursuant to the terms of the deposit agreement, holders of the ADSs have a right to receive the ordinary shares underlying their ADSs. For discussion on the ADSs and ADS holder rights, see Description of American Depositary Shares below. </w:t>
      </w:r>
    </w:p>
    <w:p>
      <w:pPr>
        <w:pStyle w:val="TextBody"/>
        <w:bidi w:val="0"/>
        <w:spacing w:before="240" w:after="0"/>
        <w:jc w:val="left"/>
        <w:rPr>
          <w:rFonts w:ascii="Times New Roman" w:hAnsi="Times New Roman"/>
          <w:sz w:val="20"/>
        </w:rPr>
      </w:pPr>
      <w:r>
        <w:rPr>
          <w:rFonts w:ascii="Times New Roman" w:hAnsi="Times New Roman"/>
          <w:sz w:val="20"/>
        </w:rPr>
        <w:t xml:space="preserve">Under the Companies Act, we must enter an allotment of shares in our statutory books as soon as practicable and in any event within two months of the allotment. We are required by the Companies Act to register a transfer of shares (or give the transferee notice of and reasons for refusal as the transferee may reasonably request) as soon as practicable and in any event within two months of receiving notice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We, any of our shareholders or any other affected person may apply to the court for rectification of the register of members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any person, without sufficient cause, is wrongly entered in or omitted from our register of members;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default or unnecessary delay in entering on the register the fact of any person having ceased to be a member.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English law generally provides shareholders with statutory preemptive rights when new shares are issued for cash; however, it is possible for a companys articles of association, or shareholders at a general meeting representing at least 75% of our ordinary shares present (in person or by proxy) and voting at that general meeting, to disapply these preemptive rights. Such a disapplication of preemptive rights may be for a maximum period of up to five years from the date of adoption of the Articles, if the disapplication is contained in the Articles, or from the date of the shareholder resolution, if the disapplication is by shareholder resolution. In either case, this disapplication would need to be renewed by the Companys shareholders upon its expiration (i.e., at least every five years). On             , 2023, our shareholders approved the disapplication of preemptive rights for a period ending                     , which disapplication will need to be renewed upon expiration (i.e., at least every five years) to remain effective, but may be sought more frequently for additional five-year terms (or for any shorter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History of Share Capital </w:t>
      </w:r>
    </w:p>
    <w:p>
      <w:pPr>
        <w:pStyle w:val="TextBody"/>
        <w:bidi w:val="0"/>
        <w:spacing w:before="120" w:after="0"/>
        <w:jc w:val="left"/>
        <w:rPr>
          <w:rFonts w:ascii="Times New Roman" w:hAnsi="Times New Roman"/>
          <w:sz w:val="20"/>
        </w:rPr>
      </w:pPr>
      <w:r>
        <w:rPr>
          <w:rFonts w:ascii="Times New Roman" w:hAnsi="Times New Roman"/>
          <w:sz w:val="20"/>
        </w:rPr>
        <w:t xml:space="preserve">On December 8, 2019, all ordinary shares of £1.00 each in the capital of Arm Limited were sub-divided into ordinary shares of £0.001 each, resulting in our outstanding ordinary shares changing from 1,025,234 ordinary shares of £1.00 each to 1,025,234,000 ordinary shares of £0.001 each.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corporate reorganization: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 2023, all ordinary shares of £1.00 each in the capital of Arm Holdings Limited were sub-divided into ordinary shares of £0.001 each, resulting in its outstanding ordinary shares changing from 100 ordinary shares of £1.00 each to 100,000 ordinary shares of £0.001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sub-division referred to above, on             , 2023, 1,025,133,999 ordinary shares of £0.001 each in the capital of Arm Holdings Limited were issued to Kronos II LLC and one (1) ordinary share of £0.001 in the capital of Arm Holdings Limited was issued to SVF HoldCo (UK) Limited in exchange for the transfer of 1,025,233,999 ordinary shares of £0.001 each in the capital of Arm Limited and one (1) ordinary share of £0.001 in the capital of Arm Limited by Kronos II LLC and SVF HoldCo (UK) Limited,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share exchange referred to above, on             , 2023, a first bonus share issue of                      ordinary shares of £0.001 each in the capital of Arm Holdings Limited were issued to Kronos II LLC and SVF HoldCo (UK) Limited in proportion to their shareholding in Arm Holdings Limited pursuant to a capitalization of the merger reserve of Arm Holdings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first bonus share issue referred to above, on             , 2023,                  ordinary shares in the capital of Arm Holdings Limited (being all of the first bonus share issue) were cancelled pursuant to a capital reduction;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capital reduction referred to above, on             , 2023, a second bonus share issue of 1,025,233,999 ordinary shares of £0.001 each in the capital of Arm Holdings Limited were issued to National City Nominees Limited as the nominee for Citibank, N.A.London Branch pursuant to the direction of Kronos II LLC;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second bonus share issue referred to above, on             , 2023, the 1,025,233,999 ordinary shares of £0.001 each in the capital of Arm Holdings Limited held directly by Kronos II LLC were re-designated as deferred shares and subsequently repurchased by Arm Holdings Limited and cancelled thereafter.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The Articles will be effective subject to and conditional upon completion of this offering and listing of ADSs representing our ordinary shares on Nasdaq. A summary of the terms of the Articles is set out below. The summary below is not a complete copy of the terms of the Articles. </w:t>
      </w:r>
    </w:p>
    <w:p>
      <w:pPr>
        <w:pStyle w:val="TextBody"/>
        <w:bidi w:val="0"/>
        <w:spacing w:before="240" w:after="0"/>
        <w:jc w:val="left"/>
        <w:rPr>
          <w:rFonts w:ascii="Times New Roman" w:hAnsi="Times New Roman"/>
          <w:sz w:val="20"/>
        </w:rPr>
      </w:pPr>
      <w:r>
        <w:rPr>
          <w:rFonts w:ascii="Times New Roman" w:hAnsi="Times New Roman"/>
          <w:sz w:val="20"/>
        </w:rPr>
        <w:t xml:space="preserve">The Articles contain, among other things, provisions to the following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Objects </w:t>
      </w:r>
    </w:p>
    <w:p>
      <w:pPr>
        <w:pStyle w:val="TextBody"/>
        <w:bidi w:val="0"/>
        <w:spacing w:before="120" w:after="0"/>
        <w:jc w:val="left"/>
        <w:rPr>
          <w:rFonts w:ascii="Times New Roman" w:hAnsi="Times New Roman"/>
          <w:sz w:val="20"/>
        </w:rPr>
      </w:pPr>
      <w:r>
        <w:rPr>
          <w:rFonts w:ascii="Times New Roman" w:hAnsi="Times New Roman"/>
          <w:sz w:val="20"/>
        </w:rPr>
        <w:t xml:space="preserve">The Articles contain no specific restrictions on our purpose and therefore, by virtue of section 31(1) of the Companies Act, our purpose is unrestricted.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any rights or restrictions attached to any shares from time to time, the general voting rights attaching to shares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resolution put to the vote at a general meeting must be decided exclusively on a poll; on a poll, every shareholder who is present in person or by proxy or corporate representative shall have one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share of which they are the holder. A shareholder entitled to more than one vote on a poll need not, if they vote, use all their votes or cast all the votes in the same way;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two or more persons are joint holders of a share, then in voting on any question the vote of the senior shareholder who tenders a vote, whether in person or by proxy, shall be accepted to the exclusion of the votes of the other joint holders. For this purpose, seniority shall be determined by the order in which the names of the holders stand in the register of members.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Voting </w:t>
      </w:r>
    </w:p>
    <w:p>
      <w:pPr>
        <w:pStyle w:val="TextBody"/>
        <w:bidi w:val="0"/>
        <w:spacing w:before="120" w:after="0"/>
        <w:jc w:val="left"/>
        <w:rPr>
          <w:rFonts w:ascii="Times New Roman" w:hAnsi="Times New Roman"/>
          <w:sz w:val="20"/>
        </w:rPr>
      </w:pPr>
      <w:r>
        <w:rPr>
          <w:rFonts w:ascii="Times New Roman" w:hAnsi="Times New Roman"/>
          <w:sz w:val="20"/>
        </w:rPr>
        <w:t xml:space="preserve">Unless the Board of Directors decides otherwise, no shareholder shall be entitled to vote at any general meeting or at any separate class meeting in respect of any share held by them unless all calls or other sums payable by them in respect of that share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from time to time make calls upon the shareholders in respect of any money unpaid on their shares and each shareholder shall (subject to at least 14 clear days notice specifying the time or times and place of payment) pay at the time or times so specified the amount called on their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may, subject to the provisions of the Companies Act and the Articles, by ordinary resolution of the shareholders of the Company declare final dividends out of profits available for distribution in accordance with the respective rights of shareholders, but no such dividend shall exceed the amount recommended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from time to time pay shareholders such interim dividends as appears to the Board of Directors to be justified by the profits available for distribution (including any dividends at a fixed rate).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retain all or part of any dividend or other sum payable on or in respect of a share on which the Company has a lien in respect of which the Board of Directors are entitled to issue an enforcement notice. Sums so deducted can be used to pay amounts owing to the Company in respect of the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any special rights attaching to or the terms of issue of any share, no dividend or other moneys payable by us on or in respect of any share shall bear interest against us. Any dividend unclaimed after a period of 12 years from the date such dividend became due for payment shall be forfeited and shall revert to us. </w:t>
      </w:r>
    </w:p>
    <w:p>
      <w:pPr>
        <w:pStyle w:val="TextBody"/>
        <w:bidi w:val="0"/>
        <w:spacing w:before="240" w:after="0"/>
        <w:jc w:val="left"/>
        <w:rPr>
          <w:rFonts w:ascii="Times New Roman" w:hAnsi="Times New Roman"/>
          <w:sz w:val="20"/>
        </w:rPr>
      </w:pPr>
      <w:r>
        <w:rPr>
          <w:rFonts w:ascii="Times New Roman" w:hAnsi="Times New Roman"/>
          <w:sz w:val="20"/>
        </w:rPr>
        <w:t xml:space="preserve">Dividends may be declared or paid in any currency and the Board of Directors may decide the rate of exchange for any currency conversions that may be required, and how any costs involved are to be met.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by ordinary resolution of the shareholders of the Company, direct that payment of any dividend declared may be satisfied wholly or partly by the distribution of assets, including in particular of paid up shares or debentures of any other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Depositary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Articles provide for depositary arrangements and allow for the operation of the deposit agreement with the depositary, as well as to facilitate the acquisition of shares through ADRs, including a requirement to vote on a poll.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There is no specific provision in the Articles that would have the effect of delaying, deferring or preventing a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Variation of Rights </w:t>
      </w:r>
    </w:p>
    <w:p>
      <w:pPr>
        <w:pStyle w:val="TextBody"/>
        <w:bidi w:val="0"/>
        <w:spacing w:before="120" w:after="0"/>
        <w:jc w:val="left"/>
        <w:rPr>
          <w:rFonts w:ascii="Times New Roman" w:hAnsi="Times New Roman"/>
          <w:sz w:val="20"/>
        </w:rPr>
      </w:pPr>
      <w:r>
        <w:rPr>
          <w:rFonts w:ascii="Times New Roman" w:hAnsi="Times New Roman"/>
          <w:sz w:val="20"/>
        </w:rPr>
        <w:t xml:space="preserve">All or any of the rights and restrictions attached to any class of shares issued may be varied or abrogated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and the terms of their issue. The Companies Act provides a right to object to the variation of the share capital by the shareholders who did not vote in favor of the variation. Should an aggregate of not less than 15% of the shareholders of the issued shares in question apply to the court to have the variation cancelled, the variation shall have no effect unless and until it is confirmed by the court. </w:t>
      </w:r>
    </w:p>
    <w:p>
      <w:pPr>
        <w:pStyle w:val="TextBody"/>
        <w:bidi w:val="0"/>
        <w:spacing w:before="360" w:after="0"/>
        <w:jc w:val="left"/>
        <w:rPr>
          <w:rFonts w:ascii="Times New Roman" w:hAnsi="Times New Roman"/>
          <w:b/>
          <w:i/>
          <w:sz w:val="20"/>
        </w:rPr>
      </w:pPr>
      <w:r>
        <w:rPr>
          <w:rFonts w:ascii="Times New Roman" w:hAnsi="Times New Roman"/>
          <w:b/>
          <w:i/>
          <w:sz w:val="20"/>
        </w:rPr>
        <w:t xml:space="preserve">Alteration of Share Capital </w:t>
      </w:r>
    </w:p>
    <w:p>
      <w:pPr>
        <w:pStyle w:val="TextBody"/>
        <w:bidi w:val="0"/>
        <w:spacing w:before="120" w:after="0"/>
        <w:jc w:val="left"/>
        <w:rPr>
          <w:rFonts w:ascii="Times New Roman" w:hAnsi="Times New Roman"/>
          <w:sz w:val="20"/>
        </w:rPr>
      </w:pPr>
      <w:r>
        <w:rPr>
          <w:rFonts w:ascii="Times New Roman" w:hAnsi="Times New Roman"/>
          <w:sz w:val="20"/>
        </w:rPr>
        <w:t xml:space="preserve">We may, by ordinary resolution of the shareholders of the Company, consolidate all or any of our share capital into shares of larger amount than our existing shares, or sub-divide our shares or any of them into shares of a smaller amount. We may, by special resolution of the shareholders of the Company, confirmed by the court, reduce our share capital or any capital redemption reserve or any share premium account in any manner authorized by the Companies Act. We may redeem or purchase all or any of our shares as described in Other Relevant English Law ConsiderationsPurchase of Own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Allotment of Shares and Preemption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Companies Act and to any rights attached to existing shares, any share may be issued with or have attached to it such rights and restrictions as we may by ordinary resolution determine, or if no ordinary resolution has been passed or so far as the resolution does not make specific provision, as our Board of Directors may determine (including shares which are to be redeemed, or are liable to be redeemed at our option or the holder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551 of the Companies Act, the Board of Directors may be generally and unconditionally authorized to exercise for each prescribed period of up to five years all the powers of the Company to allot shares up to an aggregate nominal amount equal to the amount stated in the relevant ordinary resolution authorizing such allotment.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 561 of the Companies Act (which confer on shareholders rights of preemption in respect of the allotment of equity securities which are paid up in cash) apply to the Company except to the extent disapplied for a period of up to five years by special resolution of the shareholders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Lien and Forfeiture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have a first and paramount lien on every share (not being a fully paid share) for all moneys payable to the Company (whether presently or not) in respect of that share. The Company may sell, in such manner as the Board of Directors determines, any share on which the Company has a lien if a sum in respect of which the lien exists is presently payable and is not paid within the due date for payment. Subject to the terms of the allotment, the Board of Directors may from time to time make calls on the members in respect of any moneys unpaid on their shares. </w:t>
      </w:r>
    </w:p>
    <w:p>
      <w:pPr>
        <w:pStyle w:val="TextBody"/>
        <w:bidi w:val="0"/>
        <w:spacing w:before="240" w:after="0"/>
        <w:jc w:val="left"/>
        <w:rPr>
          <w:rFonts w:ascii="Times New Roman" w:hAnsi="Times New Roman"/>
          <w:sz w:val="20"/>
        </w:rPr>
      </w:pPr>
      <w:r>
        <w:rPr>
          <w:rFonts w:ascii="Times New Roman" w:hAnsi="Times New Roman"/>
          <w:sz w:val="20"/>
        </w:rPr>
        <w:t xml:space="preserve">Each member shall (subject to receiving at least 14 clear days notice) pay to the Company the amount called on his or her shares. If a call or any installment of a call remains unpaid in whole or in part after it has become due and payable, the Board of Directors may give the person from whom it is due not less than 14 clear days notice requiring payment of the amount unpaid together with any interest which may have accrued and any expenses incurred by the Company by reason of such non-payment. The notice shall name the place where payment is to be made and shall state that if the notice is not complied with the shares in respect of which the call was made will be liable to be forfeited.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120" w:after="0"/>
        <w:jc w:val="left"/>
        <w:rPr>
          <w:rFonts w:ascii="Times New Roman" w:hAnsi="Times New Roman"/>
          <w:sz w:val="20"/>
        </w:rPr>
      </w:pPr>
      <w:r>
        <w:rPr>
          <w:rFonts w:ascii="Times New Roman" w:hAnsi="Times New Roman"/>
          <w:sz w:val="20"/>
        </w:rPr>
        <w:t xml:space="preserve">Any shareholder holding shares in certificated form may transfer all or any of their shares by an instrument of transfer in any usual or common form or in any other manner which is permitted by the Companies Act and approved by the Board of Directors. Any written instrument of transfer must be signed by or on behalf of the transferor and, in the case of a share which is not fully paid up, the transferee. </w:t>
      </w:r>
    </w:p>
    <w:p>
      <w:pPr>
        <w:pStyle w:val="TextBody"/>
        <w:bidi w:val="0"/>
        <w:spacing w:before="240" w:after="0"/>
        <w:jc w:val="left"/>
        <w:rPr>
          <w:rFonts w:ascii="Times New Roman" w:hAnsi="Times New Roman"/>
          <w:sz w:val="20"/>
        </w:rPr>
      </w:pPr>
      <w:r>
        <w:rPr>
          <w:rFonts w:ascii="Times New Roman" w:hAnsi="Times New Roman"/>
          <w:sz w:val="20"/>
        </w:rPr>
        <w:t xml:space="preserve">All transfers of uncertificated shares shall be made in accordance with and subject to the provisions of the Uncertificated Securities Regulations 2001 (the Uncertificated Securities Rules) and the facilities and requirements of its relevant system. The Uncertificated Securities Rules permit shares to be issued and held in uncertificated form and transferred by means of a computer-based system.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in its absolute discretion, decline to register any transfer of any share in certificated form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for a share which is fully paid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for a share upon which the Company has no lien;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only for one class of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in favor of a single transferee or no more than four joint transferees;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duly stamped (if this is required);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lodged at our registered office or such other place as the Board of Directors may decide, accompanied by the certificate for shares to which it relates or such other evidence (if any) as the Board of Directors may reasonably require to prove the title of the transferor or, if the transfer is executed by some other person on their behalf, the authority of that person to do so.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Meetings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Companies Act, we are required in each year to hold an annual general meeting in addition to any other general meetings in that year and to specify the meeting as such in the notice convening it. The annual general meeting shall be convened whenever and wherever the Board of Directors sees fit, subject to the requirements of the Companies Act, as described in Differences in Corporate LawAnnual General Meeting and Differences in Corporate LawNotice of General Meetings below. </w:t>
      </w:r>
    </w:p>
    <w:p>
      <w:pPr>
        <w:pStyle w:val="TextBody"/>
        <w:bidi w:val="0"/>
        <w:spacing w:before="240" w:after="0"/>
        <w:jc w:val="left"/>
        <w:rPr>
          <w:rFonts w:ascii="Times New Roman" w:hAnsi="Times New Roman"/>
          <w:sz w:val="20"/>
        </w:rPr>
      </w:pPr>
      <w:r>
        <w:rPr>
          <w:rFonts w:ascii="Times New Roman" w:hAnsi="Times New Roman"/>
          <w:sz w:val="20"/>
        </w:rPr>
        <w:t xml:space="preserve">The arrangements for the calling of general meetings are described in Differences in Corporate LawNotice of General Meetings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of General Meetings </w:t>
      </w:r>
    </w:p>
    <w:p>
      <w:pPr>
        <w:pStyle w:val="TextBody"/>
        <w:bidi w:val="0"/>
        <w:spacing w:before="120" w:after="0"/>
        <w:jc w:val="left"/>
        <w:rPr>
          <w:rFonts w:ascii="Times New Roman" w:hAnsi="Times New Roman"/>
          <w:sz w:val="20"/>
        </w:rPr>
      </w:pPr>
      <w:r>
        <w:rPr>
          <w:rFonts w:ascii="Times New Roman" w:hAnsi="Times New Roman"/>
          <w:sz w:val="20"/>
        </w:rPr>
        <w:t xml:space="preserve">No business, other than the appointment of a chair, shall be transacted at any general meeting unless a quorum is present. A minimum of one shareholder present in person or by proxy and entitled to vote shall be a quorum for all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Meetings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in the Articles relating to general meetings apply to every separate general meeting of the holders of a class of shares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quorum for such class meeting shall be two holders in person or by proxy representing not less than one-third in nominal value of the issued shares of the class;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adjourned meeting of such holders a quorum is not present at the meeting, one holder of shares of the class present in person or by proxy at an adjourned meeting constitutes a quorum.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Number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may not have fewer than two directors on the Board of Directors. We may, subject to the provisions of the Companies Act, by ordinary resolution of the shareholders of the Company, vary the minimum and/or impose a maximum number of directors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Articles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 provided the total number of directors shall not exceed any maximum number imposed in accordance with the Articles. </w:t>
      </w:r>
    </w:p>
    <w:p>
      <w:pPr>
        <w:pStyle w:val="TextBody"/>
        <w:bidi w:val="0"/>
        <w:spacing w:before="240" w:after="0"/>
        <w:jc w:val="left"/>
        <w:rPr>
          <w:rFonts w:ascii="Times New Roman" w:hAnsi="Times New Roman"/>
          <w:sz w:val="20"/>
        </w:rPr>
      </w:pPr>
      <w:r>
        <w:rPr>
          <w:rFonts w:ascii="Times New Roman" w:hAnsi="Times New Roman"/>
          <w:sz w:val="20"/>
        </w:rPr>
        <w:t xml:space="preserve">Under the Shareholder Governance Agreement, SoftBank Group will have the right to designate a certain number of candidates for election to our Board of Directors based on its and its affiliates ownership of our outstanding ordinary shares, provided that a certain number of such candidates must be independent under law or stock exchange rules applicable to our directors at the time of such nomination. SoftBank Groups designation rights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00"/>
        <w:gridCol w:w="648"/>
        <w:gridCol w:w="865"/>
        <w:gridCol w:w="2020"/>
        <w:gridCol w:w="60"/>
        <w:gridCol w:w="648"/>
        <w:gridCol w:w="865"/>
        <w:gridCol w:w="2020"/>
        <w:gridCol w:w="62"/>
      </w:tblGrid>
      <w:tr>
        <w:trPr/>
        <w:tc>
          <w:tcPr>
            <w:tcW w:w="2200"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Ownership of our outstanding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ordinary shares:</w:t>
            </w:r>
          </w:p>
        </w:tc>
        <w:tc>
          <w:tcPr>
            <w:tcW w:w="648" w:type="dxa"/>
            <w:tcBorders/>
            <w:vAlign w:val="bottom"/>
          </w:tcPr>
          <w:p>
            <w:pPr>
              <w:pStyle w:val="TableContents"/>
              <w:bidi w:val="0"/>
              <w:spacing w:before="0" w:after="283"/>
              <w:jc w:val="left"/>
              <w:rPr/>
            </w:pPr>
            <w:r>
              <w:rPr/>
              <w:t> </w:t>
            </w:r>
          </w:p>
        </w:tc>
        <w:tc>
          <w:tcPr>
            <w:tcW w:w="2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SoftBank Group</w:t>
              <w:br/>
              <w:t>candidates for election to</w:t>
              <w:br/>
              <w:t>our Board of Directors:</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2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SoftBank Group</w:t>
              <w:br/>
              <w:t>candidates that must</w:t>
              <w:br/>
              <w:t>be independent:</w:t>
            </w:r>
          </w:p>
        </w:tc>
        <w:tc>
          <w:tcPr>
            <w:tcW w:w="62" w:type="dxa"/>
            <w:tcBorders/>
            <w:vAlign w:val="bottom"/>
          </w:tcPr>
          <w:p>
            <w:pPr>
              <w:pStyle w:val="TableContents"/>
              <w:bidi w:val="0"/>
              <w:spacing w:before="0" w:after="283"/>
              <w:jc w:val="left"/>
              <w:rPr/>
            </w:pPr>
            <w:r>
              <w:rPr/>
              <w:t> </w:t>
            </w:r>
          </w:p>
        </w:tc>
      </w:tr>
      <w:tr>
        <w:trPr/>
        <w:tc>
          <w:tcPr>
            <w:tcW w:w="2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Greater than 70%</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3</w:t>
            </w:r>
          </w:p>
        </w:tc>
        <w:tc>
          <w:tcPr>
            <w:tcW w:w="62" w:type="dxa"/>
            <w:tcBorders/>
            <w:shd w:fill="CCEEFF" w:val="clear"/>
            <w:vAlign w:val="bottom"/>
          </w:tcPr>
          <w:p>
            <w:pPr>
              <w:pStyle w:val="TableContents"/>
              <w:bidi w:val="0"/>
              <w:spacing w:before="0" w:after="283"/>
              <w:jc w:val="left"/>
              <w:rPr/>
            </w:pPr>
            <w:r>
              <w:rPr/>
              <w:t> </w:t>
            </w:r>
          </w:p>
        </w:tc>
      </w:tr>
      <w:tr>
        <w:trPr/>
        <w:tc>
          <w:tcPr>
            <w:tcW w:w="2200"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70% and greater than 60%</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2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60% and greater than 50%</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2200"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50% and greater than 40%</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2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40% and greater than 30%</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2200"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30% and greater than 20%</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2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20% and greater than 5%</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SoftBank Groups rights to nominate candidates for election to our Board of Directors are based on an eight-member board, including our Chief Executive Officer, and pursuant to the Shareholder Governance Agreement, will be modified ratably to reflect any change in the number of directors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effective upon completion of this offering and for so long as SoftBank Group and its controlled affiliates own more than 70% of our outstanding ordinary shares, SoftBank Group will have the right to increase the size of the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this offering, our Board of Directors will consist of one class of directors constituting our entire Board of Directors. At the annual general meeting all the directors shall retire from office except any director appointed by our Board of Directors after the notice of that annual general meeting has been given and before that annual general meeting has been held. Each director who retires at an annual general meeting may be reappointed, unless resolved otherwise by the Board of Directors prior to the date of the notice of such annual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Articles, the Board of Directors may regulate their proceedings as they deem appropriate. A director may, and the secretary at the request of a director shall, call a meeting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The quorum for a meeting of the Board of Directors may be determined by the Board of Directors and until otherwise determined, it is set at two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Questions and matters requiring resolution arising at a meeting shall be decided by a majority of votes of the participating directors, with each director having one vote. In the case of an equality of votes, the chair will not have a casting vote or second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Interests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may authorize, to the fullest extent permitted by law, any matter or situation proposed to them which would otherwise result in a director infringing his or her duty to avoid a situation in which he or she has, or can have, a direct or indirect interest that conflicts, or possibly may conflict, with our interests. A director shall not, except as otherwise agreed by him or her, be accountable to us for any remuneration, profit or other benefit which he or she derives from any matter authorized by the directors or by the shareholders in general meeting and no contract shall be liable to be avoided on any such grounds. </w:t>
      </w:r>
    </w:p>
    <w:p>
      <w:pPr>
        <w:pStyle w:val="TextBody"/>
        <w:bidi w:val="0"/>
        <w:spacing w:before="240" w:after="0"/>
        <w:jc w:val="left"/>
        <w:rPr>
          <w:rFonts w:ascii="Times New Roman" w:hAnsi="Times New Roman"/>
          <w:sz w:val="20"/>
        </w:rPr>
      </w:pPr>
      <w:r>
        <w:rPr>
          <w:rFonts w:ascii="Times New Roman" w:hAnsi="Times New Roman"/>
          <w:sz w:val="20"/>
        </w:rPr>
        <w:t xml:space="preserve">Any authorization by our Board of Directors will be effective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permitted by the Companies Act, the matter in question shall have been proposed by any director for consideration in the same way that any other matter may be proposed to the directors under the provisions of the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 as to the quorum for consideration of the relevant matter is met without counting the conflicted director and any other interested director;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matter is agreed to without the interested director voting or would be agreed to if the interested directors and any other interested directors votes are not counted.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under sections 175, 177 and 182 of the Companies Act, a director who is any way, whether directly or indirectly, interested in a proposed or existing transaction or arrangement with us shall declare the nature of his or her interest at a meeting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Articles, a director shall not vote in respect of any transactions or arrangements with the Company in which he or she has an interest and which may reasonably be regarded as likely to give rise to a conflict of interest. A director shall not be counted in the quorum at a meeting in relation to any resolution on which he or she is debarred from voting.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certain transactions which would otherwise give rise to a conflict are considered to be permitted interests of our directors. In the event that these permitted interests arise, the director in question will still count towards the quorum requirements of the relevant meeting and be entitled to vote on resolutions relating to such permitted interests,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contract, transaction or arrangement or any other proposal in which he or she has an interest but of which he or she is not aware or which cannot reasonably be regarded as likely to give rise to a conflict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contract, transaction or arrangement or any other proposal in which he or she has an interest only by virtue of interests in shares, debentures or other securities of the Company, or by reason of any other interest in or through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giving of any guarantee, security or indemnity in respect of money lent or obligations incurred by him or her or by any other person at the request of or for the benefit of our company or any of our subsidiary 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giving of any guarantee, security or indemnity in respect of a debt or obligation of our company or any of our subsidiary undertakings for which the director themselves has assumed responsibility in whole or in part under a guarantee or indemnity or by the giving of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proposal or contract relating to an offer of shares or debentures or other securities of or by our company or any of our subsidiary undertakings in which offer he or she is or may be entitled to participate as a holder of securities or in the underwriting or sub-underwriting of which he or she is to participate;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arrangement involving any other body corporate in which the director (directly or indirectly) is interested, including as an officer, shareholder, creditor, employee or otherwise, provided that he or she (together with the persons connected with him or her) is not the holder of, or beneficially interested in, 1% or more of any issued equity share capital of any class of such body corporate or of the voting rights available to members of that relevant body corporate;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arrangement for the benefit of employees or former employees of our company or any of our subsidiary undertakings which does not award him or her any privilege or benefit not generally awarded to employees or former employees to whom the arrangement relates;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contract relating to purchase or maintenance by our company of insurance for any liability for the benefit of directors or for the benefit of a group of people which includes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arrangement concerning the giving of indemnities in favor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concerning the funding of expenditure by any directors on (i) defending criminal, civil or regulatory proceedings or action against them, (ii) in connection with an application to the court for relief, (iii) defending them in any regulatory investigations, or (iv) anything that would enable the director to avoid incurring expenditure for the matters listed at (i)(iii) 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arrangements in relation to which a directors interest, or the interest of directors generally, have been authorized by ordinary resolution.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Directors Fees and Remuneration </w:t>
      </w:r>
    </w:p>
    <w:p>
      <w:pPr>
        <w:pStyle w:val="TextBody"/>
        <w:bidi w:val="0"/>
        <w:spacing w:before="120" w:after="0"/>
        <w:jc w:val="left"/>
        <w:rPr>
          <w:rFonts w:ascii="Times New Roman" w:hAnsi="Times New Roman"/>
          <w:sz w:val="20"/>
        </w:rPr>
      </w:pPr>
      <w:r>
        <w:rPr>
          <w:rFonts w:ascii="Times New Roman" w:hAnsi="Times New Roman"/>
          <w:sz w:val="20"/>
        </w:rPr>
        <w:t xml:space="preserve">The ordinary remuneration of the directors (which may take the form of cash, securities in the Company, or such other form as the Board of Directors decide) shall from time to time be determined by the Board of Directors. A directors remuneration may also include the payment of gratuities, allowances, pension or other retirement benefits, superannuation or death or disability benefits to such director. </w:t>
      </w:r>
    </w:p>
    <w:p>
      <w:pPr>
        <w:pStyle w:val="TextBody"/>
        <w:bidi w:val="0"/>
        <w:spacing w:before="240" w:after="0"/>
        <w:jc w:val="left"/>
        <w:rPr>
          <w:rFonts w:ascii="Times New Roman" w:hAnsi="Times New Roman"/>
          <w:sz w:val="20"/>
        </w:rPr>
      </w:pPr>
      <w:r>
        <w:rPr>
          <w:rFonts w:ascii="Times New Roman" w:hAnsi="Times New Roman"/>
          <w:sz w:val="20"/>
        </w:rPr>
        <w:t xml:space="preserve">Any director who is appointed to any executive office (which, for this purpose, includes the chair or any deputy chair), who serves on any committee or who devotes special attention to the business of our company, or who otherwise performs services which in the opinion of the directors are outside the scope of the ordinary duties of a director, may be paid such extra remuneration by way of salary, commissions, participation in profits or otherwise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Each director may be paid his or her reasonable expenses incurred for attending and returning from meetings of the Board of Directors, committees of the Board of Directors, general meetings, separate meetings of the holders of any class of shares or of debentures, or otherwise in connection with the business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Borrowing Powers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Articles and the Companies Act, the Board of Directors may exercise all the powers to borrow money, provide any indemnity or guarantee, mortgage or charge our undertaking, property and uncalled capital, issue debentures and other securities and to give security, whether outright or as collateral security for any debt, liability or obligation of us or of any third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Capitalization of Profits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may, if they are so authorized by an ordinary resolution of the shareholders of the Company, decide to capitalize any undistributed profits of the Company not required for paying any preferential dividend, or any sum standing to the credit of the Companys share premium account, capital redemption reserve or other undistributable reserve. To the extent a capitalized sum is appropriated from profits available for distribution it may also be applied in or towards paying up any amounts unpaid on existing shares held by the entitled members, or in paying up new debentures of the Company which are allotted credited as fully paid to the entitled members (or a combination of the two).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Indemnity </w:t>
      </w:r>
    </w:p>
    <w:p>
      <w:pPr>
        <w:pStyle w:val="TextBody"/>
        <w:bidi w:val="0"/>
        <w:spacing w:before="120" w:after="0"/>
        <w:jc w:val="left"/>
        <w:rPr>
          <w:rFonts w:ascii="Times New Roman" w:hAnsi="Times New Roman"/>
          <w:sz w:val="20"/>
        </w:rPr>
      </w:pPr>
      <w:r>
        <w:rPr>
          <w:rFonts w:ascii="Times New Roman" w:hAnsi="Times New Roman"/>
          <w:sz w:val="20"/>
        </w:rPr>
        <w:t xml:space="preserve">So far as permitted by applicable law, every director or other officer of our group shall be indemnified against all costs, charges, expenses, losses and liabilities sustained or incurred by them in connection with that directors or officers duties or powers in relation to the Company or other members of our group. See also Indemnification of Directors and Officers in Part II below.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Relevant English Law Considerations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Application of the U.K. City Code on Takeovers and Mergers </w:t>
      </w:r>
    </w:p>
    <w:p>
      <w:pPr>
        <w:pStyle w:val="TextBody"/>
        <w:bidi w:val="0"/>
        <w:spacing w:before="120" w:after="0"/>
        <w:jc w:val="left"/>
        <w:rPr>
          <w:rFonts w:ascii="Times New Roman" w:hAnsi="Times New Roman"/>
          <w:sz w:val="20"/>
        </w:rPr>
      </w:pPr>
      <w:r>
        <w:rPr>
          <w:rFonts w:ascii="Times New Roman" w:hAnsi="Times New Roman"/>
          <w:sz w:val="20"/>
        </w:rPr>
        <w:t xml:space="preserve">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 </w:t>
      </w:r>
    </w:p>
    <w:p>
      <w:pPr>
        <w:pStyle w:val="TextBody"/>
        <w:bidi w:val="0"/>
        <w:spacing w:before="240" w:after="0"/>
        <w:jc w:val="left"/>
        <w:rPr>
          <w:rFonts w:ascii="Times New Roman" w:hAnsi="Times New Roman"/>
          <w:sz w:val="20"/>
        </w:rPr>
      </w:pPr>
      <w:r>
        <w:rPr>
          <w:rFonts w:ascii="Times New Roman" w:hAnsi="Times New Roman"/>
          <w:sz w:val="20"/>
        </w:rPr>
        <w:t xml:space="preserve">The Takeover Code also applies to all offers for public companies which have their registered office in the U.K., the Channel Islands or the Isle of Man if they are considered by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our registered office is in the U.K., the Takeover Code does not currently apply to the us because our shares are not admitted to trading on a regulated market or multilateral trading facility in the U.K. or any stock exchange in the Channel Islands or the Isle of Man, and the Takeover Panel has confirmed to us that, on the basis of the current residency of our directors as at the date of this prospectus, we will not have our place of central management and control in the U.K., the Channel Islands or the Isle of Man.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shareholders are not currently entitled to the benefit of certain takeover offer protections provided under the Takeover Code, including the rules regarding mandatory takeover bids and, therefore, holders of ADSs will not benefit from these protections.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Rule 9 of the Takeover Code, when any person acquires, whether by a series of transactions over a period of time or not, an interest in shares of the Company which, taken together with shares in which such person is already interested, and in which persons acting in concert with such person are interested, carry 30% or more of the voting rights in the Company, such person and, depending upon the circumstances, persons acting in concert with such person shall, except in limited circumstances, be obliged to extend offers, on the basis set out in Rules 9.3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must be in cash (or accompanied by a cash alternative) at not less than the highest price paid for any interest in the shares by the person required to make an offer or any person acting in concert with such person during the 12 months prior to the announcement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similar obligation to make such a cash offer also arises when any person that (together with any persons acting in concert) is already interested in shares which in the aggregate carry 30% or more of the voting rights of the Company but does not hold shares which carry more than 50% of such voting rights acquires an interest in any other shares of the Company which increase the percentage of shares carrying voting rights in which such person is interested.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Takeover Code, persons acting in concert comprise persons who, pursuant to an agreement or understanding (whether formal or informal and whether or not in writing) co-operate to obtain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control of a company or to frustrate the successful outcome of an offer for a company and control means an interest or interests, in shares carrying in the aggregate 30% or more of the voting rights of a company, irrespective of whether the holding or holdings give de facto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so long as SoftBank Group and any person acting in concert with it hold shares carrying more than 50% of the voting rights of the Company following completion of the offering, subject to the Takeover Code applying, the rules relating to mandatory bids under the Takeover Code will not apply to any acquisitions of shares made by SoftBank Group or its concert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Squeeze-out provisions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979 to 982 of the Companies Act, where a takeover offer has been made for us and the offeror has acquired, or unconditionally contracted to acquire, not less than 90% in value of the shares to which the offer relates and not less than 90% of the voting rights carried by those shares, the offeror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(being an offer subject to the Takeover Code), the period of six months beginning with the date of the offer. </w:t>
      </w:r>
    </w:p>
    <w:p>
      <w:pPr>
        <w:pStyle w:val="TextBody"/>
        <w:bidi w:val="0"/>
        <w:spacing w:before="240" w:after="0"/>
        <w:jc w:val="left"/>
        <w:rPr>
          <w:rFonts w:ascii="Times New Roman" w:hAnsi="Times New Roman"/>
          <w:sz w:val="20"/>
        </w:rPr>
      </w:pPr>
      <w:r>
        <w:rPr>
          <w:rFonts w:ascii="Times New Roman" w:hAnsi="Times New Roman"/>
          <w:sz w:val="20"/>
        </w:rPr>
        <w:t xml:space="preserve">The squeeze-out of the minority shareholders can be completed at the end of six weeks from the date the notice has been given, at which time the offeror must send a copy of the notice to the Company together with an instrument of transfer executed on behalf of the outstanding shareholder(s) by a person appointed by the offeror of the shares to which the notice relates, and pay the consideration to us to be held in trust for the outstanding minority shareholders. The consideration offered to the members whose shares are compulsorily acquired under this procedure must, in general, be the same as the consideration that was available under the original offer. A dissenting shareholder may object to the transfer on the basis that the offeror is not entitled and bound to acquire shares or to specify terms of acquisition different from those in the offer by applying to court within six weeks of the date on which notice of the transfer was given.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 Out </w:t>
      </w:r>
    </w:p>
    <w:p>
      <w:pPr>
        <w:pStyle w:val="TextBody"/>
        <w:bidi w:val="0"/>
        <w:spacing w:before="120" w:after="0"/>
        <w:jc w:val="left"/>
        <w:rPr>
          <w:rFonts w:ascii="Times New Roman" w:hAnsi="Times New Roman"/>
          <w:sz w:val="20"/>
        </w:rPr>
      </w:pPr>
      <w:r>
        <w:rPr>
          <w:rFonts w:ascii="Times New Roman" w:hAnsi="Times New Roman"/>
          <w:sz w:val="20"/>
        </w:rPr>
        <w:t xml:space="preserve">Sections 983 to 985 of the Companies Act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their shares if, prior to the expiration of the acceptance period for such offer, (a) the offeror has acquired or unconditionally agreed to acquire not less than 90% in value of all of our shares; and (b) not less than 90% of the voting rights carried by those shares. The offeror is required to give any shareholder notice of his right to be bought out within one month of that right arising. The offeror may impose a time limit on the rights of minority shareholders to be bought out that is not less than three months after the end of the acceptance period, or if longer a period of three months from the date of the notice. If a shareholder exercises their rights to be bought out, the offeror is required to acquire those shares on the terms of the offer or on such other terms as may be agreed.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Disclosure of Interest in Shares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Part 22 of the Companies Act and the Articles, we are empowered by notice in writing to require any person whom we know or have reasonable cause to believe to be interested in our shares, or at any time during the three years immediately preceding the date on which the notice is issued has been so interested, within a reasonable time to disclose to us details of that persons interest and (so far as is within his or her knowledge) details of any other interest that subsists or subsisted in those shares.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if a person defaults in supplying us with the required disclosures in relation to the shares in question (the default shares) within the prescribed period of 14 days, our directors may by notice direct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the default shares and any other shares held by such person, the relevant shareholder shall not be entitled to vote (either in person or by representative or proxy) at any general meeting or to exercise any other right conferred by a shareholding in relation to general meetings;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default shares represent at least 0.25% in nominal value of the issued shares of their class, (a) any dividend or other money payable in respect of the default shares shall be retained by us without liability to pay interest and/or (b) no transfers by the relevant shareholder of any shares may be registered (unless the shareholder himself or herself is not in default and the shareholder provides a certificate, in a form satisfactory to the directors, to the effect that after due and careful enquiry the shareholder is satisfied that none of the shares to be transferred are default shares), provided that, where shares are uncertificated, any refusal to transfer such shares can only be made in accordance with and subject to the provisions of the Uncertificated Securities Rules.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Purchase of Own Shares </w:t>
      </w:r>
    </w:p>
    <w:p>
      <w:pPr>
        <w:pStyle w:val="TextBody"/>
        <w:bidi w:val="0"/>
        <w:spacing w:before="120" w:after="0"/>
        <w:jc w:val="left"/>
        <w:rPr>
          <w:rFonts w:ascii="Times New Roman" w:hAnsi="Times New Roman"/>
          <w:sz w:val="20"/>
        </w:rPr>
      </w:pPr>
      <w:r>
        <w:rPr>
          <w:rFonts w:ascii="Times New Roman" w:hAnsi="Times New Roman"/>
          <w:sz w:val="20"/>
        </w:rPr>
        <w:t xml:space="preserve">Under the laws of England and Wales, a public limited company may purchase its own shares out of the distributable profits of the company or the proceeds of a fresh issue of shares made for the purpose of financing the purchase, subject to complying with procedural requirements under the Companies Act (including that the purchase be approved by the companys shareholders) and provided that the Articles do not restrict the companys ability to purchase its own shares. Our Articles will not prohibit us from purchasing our own shares. Therefore, subject to the Companies Act and without prejudice to any relevant special rights attached to any class of shares, the Company may purchase any of its own shares of any class in any way and at any price (whether at par or above or below par). A limited company may not purchase its own shares if, as a result of the purchase, there would no longer be any issued shares of the company other than redeemable shares or shares held as treasury shares. Shares must be fully paid in order to be repurchased. </w:t>
      </w:r>
    </w:p>
    <w:p>
      <w:pPr>
        <w:pStyle w:val="TextBody"/>
        <w:bidi w:val="0"/>
        <w:spacing w:before="240" w:after="0"/>
        <w:jc w:val="left"/>
        <w:rPr>
          <w:rFonts w:ascii="Times New Roman" w:hAnsi="Times New Roman"/>
          <w:sz w:val="20"/>
        </w:rPr>
      </w:pPr>
      <w:r>
        <w:rPr>
          <w:rFonts w:ascii="Times New Roman" w:hAnsi="Times New Roman"/>
          <w:sz w:val="20"/>
        </w:rPr>
        <w:t xml:space="preserve">Any such purchase will be either a market purchase or an off market purchase, each as defined in the Companies Act. A market purchase is a purchase made on a recognized investment exchange (other than an overseas exchange) as defined in the U.K. Financial Services and Markets Act 2000, as amended (the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later than five years after the passing of the resolution, on which the authority to purchase is to expire. </w:t>
      </w:r>
    </w:p>
    <w:p>
      <w:pPr>
        <w:pStyle w:val="TextBody"/>
        <w:bidi w:val="0"/>
        <w:spacing w:before="240" w:after="0"/>
        <w:jc w:val="left"/>
        <w:rPr>
          <w:rFonts w:ascii="Times New Roman" w:hAnsi="Times New Roman"/>
          <w:sz w:val="20"/>
        </w:rPr>
      </w:pPr>
      <w:r>
        <w:rPr>
          <w:rFonts w:ascii="Times New Roman" w:hAnsi="Times New Roman"/>
          <w:sz w:val="20"/>
        </w:rPr>
        <w:t xml:space="preserve">A share buy-back by a company of its shares will give rise to U.K. stamp duty (and may give rise to stamp duty reserve tax) at the rate of 0.5% of the amount or value of the consideration payable by the company (rounded up to the next £5.00), and such stamp duty (or stamp duty reserve tax) will be paid by the company. The charge to stamp duty reserve tax will be cancelled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 </w:t>
      </w:r>
    </w:p>
    <w:p>
      <w:pPr>
        <w:pStyle w:val="TextBody"/>
        <w:bidi w:val="0"/>
        <w:spacing w:before="240" w:after="0"/>
        <w:jc w:val="left"/>
        <w:rPr>
          <w:rFonts w:ascii="Times New Roman" w:hAnsi="Times New Roman"/>
          <w:sz w:val="20"/>
        </w:rPr>
      </w:pPr>
      <w:r>
        <w:rPr>
          <w:rFonts w:ascii="Times New Roman" w:hAnsi="Times New Roman"/>
          <w:sz w:val="20"/>
        </w:rPr>
        <w:t xml:space="preserve">The Nasdaq Global Select Market is an overseas exchange for the purposes of the Companies Act and accordingly does not fall within the definition of a recognized investment exchange for the purposes of the FSMA, as modified by the Companies Act, and any purchase made by us would need to comply with the procedural requirements under the Companies Act that regulate off market purchases.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and Dividends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the laws of England and Wales.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time that the distribution is made, the amount of its net assets (that is, the total excess of assets over liabilities) is not less than the total of its called up share capital and undistributable reserves;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to the extent that, the distribution itself, at the time that it is made, does not reduce the amount of its net assets to less than that total.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rights granted under the Companies Act, including the right to requisition a general meeting or require a resolution to be put to shareholders at the annual general meeting, are only available to our shareholders. For English law purposes, our shareholders are the persons who are registered as the owners of the legal title to the shares and whose names are recorded in our register of members. If a person who holds their ADSs in the depositary wishes to exercise certain of the rights granted under the Companies Act, they will be required to first take steps to withdraw their ADSs from the settlement system operated by the depositary and become the registered holder of the shares in our register of members. A withdrawal of shares from depositary may have tax implications.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Requisitioning Shareholder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If any shareholder or shareholders representing at least 5% of the paid-up capital of the Company carrying voting rights requests, in accordance with the provisions of the Companies Act, us to (a) call a general meeting for the purposes of bringing a resolution before the meeting, or (b) give notice of a resolution to be proposed at a general meeting, such request must among other things (in addition to any other statutory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the name and address of the requesting person and equivalent details of any person associated with it or him (in the manner contemplated by the Articles), together with details of all interests held by such person (and their associated persons) in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request relates to any business the member proposes to bring before the meeting, set forth a brief description of the business desired to be brought before the meeting, the reasons for conducting such business at the meeting, the text of the proposal (including the complete text of any proposed resolutions) and, in the case of any proposal to amend the Articles, the complete text of the proposed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as to each person (if any) whom the shareholder proposes to nominate for appointment to the Board of Directors, all information that would be required to be disclosed by us in connection with the election of directors, and such other information as we may require to determine the eligibility of such proposed nominee for appointment to the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Exchange Controls </w:t>
      </w:r>
    </w:p>
    <w:p>
      <w:pPr>
        <w:pStyle w:val="TextBody"/>
        <w:bidi w:val="0"/>
        <w:spacing w:before="120" w:after="0"/>
        <w:jc w:val="left"/>
        <w:rPr>
          <w:rFonts w:ascii="Times New Roman" w:hAnsi="Times New Roman"/>
          <w:sz w:val="20"/>
        </w:rPr>
      </w:pPr>
      <w:r>
        <w:rPr>
          <w:rFonts w:ascii="Times New Roman" w:hAnsi="Times New Roman"/>
          <w:sz w:val="20"/>
        </w:rPr>
        <w:t xml:space="preserve">There are no governmental laws, decrees, regulations or other legislation in the U.K. that may affect the import or export of capital, including the availability of cash and cash equivalents for use by us, or that may affect the remittance of dividends, interest, or other payments by us to non-resident holders of our ordinary shares or ADSs representing our ordinary shares, other than withholding tax requirements. There is no limitation imposed by the laws of England and Wales or in the Articles on the right of non-residents to hold or vote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Differences in Corporate Law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provisions of the Companies Act differ from laws applicable to U.S. corporations and their shareholders. Set forth below is a summary of certain differences between the provisions of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to us and the General Corporation Law of the State of Delaware relating to shareholders rights and protections. This summary is not intended to be a complete discussion of the respective rights and it is qualified in its entirety by reference to Delaware law and the laws of England and Wales.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6"/>
        <w:gridCol w:w="121"/>
        <w:gridCol w:w="3774"/>
        <w:gridCol w:w="121"/>
        <w:gridCol w:w="3603"/>
      </w:tblGrid>
      <w:tr>
        <w:trPr/>
        <w:tc>
          <w:tcPr>
            <w:tcW w:w="25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25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774" w:type="dxa"/>
            <w:tcBorders/>
            <w:vAlign w:val="bottom"/>
          </w:tcPr>
          <w:p>
            <w:pPr>
              <w:pStyle w:val="TableContents"/>
              <w:bidi w:val="0"/>
              <w:spacing w:before="0" w:after="283"/>
              <w:jc w:val="center"/>
              <w:rPr>
                <w:b/>
              </w:rPr>
            </w:pPr>
            <w:r>
              <w:rPr>
                <w:b/>
              </w:rPr>
              <w:t>England and Wales</w:t>
            </w:r>
          </w:p>
        </w:tc>
        <w:tc>
          <w:tcPr>
            <w:tcW w:w="121" w:type="dxa"/>
            <w:tcBorders/>
            <w:vAlign w:val="bottom"/>
          </w:tcPr>
          <w:p>
            <w:pPr>
              <w:pStyle w:val="TableContents"/>
              <w:bidi w:val="0"/>
              <w:spacing w:before="0" w:after="283"/>
              <w:jc w:val="left"/>
              <w:rPr/>
            </w:pPr>
            <w:r>
              <w:rPr/>
              <w:t>  </w:t>
            </w:r>
          </w:p>
        </w:tc>
        <w:tc>
          <w:tcPr>
            <w:tcW w:w="3603" w:type="dxa"/>
            <w:tcBorders/>
            <w:vAlign w:val="bottom"/>
          </w:tcPr>
          <w:p>
            <w:pPr>
              <w:pStyle w:val="TableContents"/>
              <w:bidi w:val="0"/>
              <w:spacing w:before="0" w:after="283"/>
              <w:jc w:val="center"/>
              <w:rPr>
                <w:b/>
              </w:rPr>
            </w:pPr>
            <w:r>
              <w:rPr>
                <w:b/>
              </w:rPr>
              <w:t>Delaware</w:t>
            </w:r>
          </w:p>
        </w:tc>
      </w:tr>
      <w:tr>
        <w:trPr/>
        <w:tc>
          <w:tcPr>
            <w:tcW w:w="2586" w:type="dxa"/>
            <w:tcBorders/>
          </w:tcPr>
          <w:p>
            <w:pPr>
              <w:pStyle w:val="TableContents"/>
              <w:bidi w:val="0"/>
              <w:spacing w:before="0" w:after="283"/>
              <w:jc w:val="left"/>
              <w:rPr>
                <w:b/>
                <w:i/>
              </w:rPr>
            </w:pPr>
            <w:r>
              <w:rPr>
                <w:b/>
                <w:i/>
              </w:rPr>
              <w:t>Number of Directors</w:t>
            </w:r>
          </w:p>
        </w:tc>
        <w:tc>
          <w:tcPr>
            <w:tcW w:w="121" w:type="dxa"/>
            <w:tcBorders/>
            <w:vAlign w:val="bottom"/>
          </w:tcPr>
          <w:p>
            <w:pPr>
              <w:pStyle w:val="TableContents"/>
              <w:bidi w:val="0"/>
              <w:spacing w:before="0" w:after="283"/>
              <w:jc w:val="left"/>
              <w:rPr/>
            </w:pPr>
            <w:r>
              <w:rPr/>
              <w:t>  </w:t>
            </w:r>
          </w:p>
        </w:tc>
        <w:tc>
          <w:tcPr>
            <w:tcW w:w="3774" w:type="dxa"/>
            <w:tcBorders/>
          </w:tcPr>
          <w:p>
            <w:pPr>
              <w:pStyle w:val="TableContents"/>
              <w:bidi w:val="0"/>
              <w:spacing w:before="0" w:after="283"/>
              <w:jc w:val="left"/>
              <w:rPr/>
            </w:pPr>
            <w:r>
              <w:rPr/>
              <w:t>Under the Companies Act, a public limited company must have at least two directors and the number of directors may be fixed by or in the manner provided in the companys articles of association.</w:t>
            </w:r>
          </w:p>
        </w:tc>
        <w:tc>
          <w:tcPr>
            <w:tcW w:w="121" w:type="dxa"/>
            <w:tcBorders/>
            <w:vAlign w:val="bottom"/>
          </w:tcPr>
          <w:p>
            <w:pPr>
              <w:pStyle w:val="TableContents"/>
              <w:bidi w:val="0"/>
              <w:spacing w:before="0" w:after="283"/>
              <w:jc w:val="left"/>
              <w:rPr/>
            </w:pPr>
            <w:r>
              <w:rPr/>
              <w:t>  </w:t>
            </w:r>
          </w:p>
        </w:tc>
        <w:tc>
          <w:tcPr>
            <w:tcW w:w="3603" w:type="dxa"/>
            <w:tcBorders/>
          </w:tcPr>
          <w:p>
            <w:pPr>
              <w:pStyle w:val="TableContents"/>
              <w:bidi w:val="0"/>
              <w:spacing w:before="0" w:after="283"/>
              <w:jc w:val="left"/>
              <w:rPr/>
            </w:pPr>
            <w:r>
              <w:rPr/>
              <w:t>Under Delaware law, a corporation must have at least one director and the number of directors shall be fixed by or in the manner provided in the bylaws, unless the certificate of incorporation fixes the number of directors, in which case a change in the number of directors may be made only by amendment of the certificate of incorporation.</w:t>
            </w:r>
          </w:p>
        </w:tc>
      </w:tr>
      <w:tr>
        <w:trPr>
          <w:trHeight w:val="120" w:hRule="atLeast"/>
        </w:trPr>
        <w:tc>
          <w:tcPr>
            <w:tcW w:w="2586" w:type="dxa"/>
            <w:tcBorders/>
            <w:vAlign w:val="center"/>
          </w:tcPr>
          <w:p>
            <w:pPr>
              <w:pStyle w:val="TableContents"/>
              <w:bidi w:val="0"/>
              <w:spacing w:before="0" w:after="283"/>
              <w:jc w:val="left"/>
              <w:rPr>
                <w:sz w:val="4"/>
                <w:szCs w:val="4"/>
              </w:rPr>
            </w:pPr>
            <w:r>
              <w:rPr>
                <w:sz w:val="4"/>
                <w:szCs w:val="4"/>
              </w:rPr>
            </w:r>
          </w:p>
        </w:tc>
        <w:tc>
          <w:tcPr>
            <w:tcW w:w="3895" w:type="dxa"/>
            <w:gridSpan w:val="2"/>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2586" w:type="dxa"/>
            <w:tcBorders/>
          </w:tcPr>
          <w:p>
            <w:pPr>
              <w:pStyle w:val="TableContents"/>
              <w:bidi w:val="0"/>
              <w:spacing w:before="0" w:after="283"/>
              <w:jc w:val="left"/>
              <w:rPr>
                <w:b/>
                <w:i/>
              </w:rPr>
            </w:pPr>
            <w:r>
              <w:rPr>
                <w:b/>
                <w:i/>
              </w:rPr>
              <w:t>Removal of Directors</w:t>
            </w:r>
          </w:p>
        </w:tc>
        <w:tc>
          <w:tcPr>
            <w:tcW w:w="121" w:type="dxa"/>
            <w:tcBorders/>
            <w:vAlign w:val="bottom"/>
          </w:tcPr>
          <w:p>
            <w:pPr>
              <w:pStyle w:val="TableContents"/>
              <w:bidi w:val="0"/>
              <w:spacing w:before="0" w:after="283"/>
              <w:jc w:val="left"/>
              <w:rPr/>
            </w:pPr>
            <w:r>
              <w:rPr/>
              <w:t>  </w:t>
            </w:r>
          </w:p>
        </w:tc>
        <w:tc>
          <w:tcPr>
            <w:tcW w:w="3774" w:type="dxa"/>
            <w:tcBorders/>
          </w:tcPr>
          <w:p>
            <w:pPr>
              <w:pStyle w:val="TableContents"/>
              <w:bidi w:val="0"/>
              <w:spacing w:before="0" w:after="283"/>
              <w:jc w:val="left"/>
              <w:rPr/>
            </w:pPr>
            <w:r>
              <w:rPr/>
              <w:t>Under the Companies Act, shareholders may remove a director 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must also be followed, such as allowing the director to make representations against his or her removal either at the meeting or in writing.</w:t>
            </w:r>
          </w:p>
        </w:tc>
        <w:tc>
          <w:tcPr>
            <w:tcW w:w="121" w:type="dxa"/>
            <w:tcBorders/>
            <w:vAlign w:val="bottom"/>
          </w:tcPr>
          <w:p>
            <w:pPr>
              <w:pStyle w:val="TableContents"/>
              <w:bidi w:val="0"/>
              <w:spacing w:before="0" w:after="283"/>
              <w:jc w:val="left"/>
              <w:rPr/>
            </w:pPr>
            <w:r>
              <w:rPr/>
              <w:t>  </w:t>
            </w:r>
          </w:p>
        </w:tc>
        <w:tc>
          <w:tcPr>
            <w:tcW w:w="3603" w:type="dxa"/>
            <w:tcBorders/>
          </w:tcPr>
          <w:p>
            <w:pPr>
              <w:pStyle w:val="TableContents"/>
              <w:bidi w:val="0"/>
              <w:spacing w:before="0" w:after="283"/>
              <w:jc w:val="left"/>
              <w:rPr/>
            </w:pPr>
            <w:r>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stockholders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tc>
      </w:tr>
      <w:tr>
        <w:trPr>
          <w:trHeight w:val="120" w:hRule="atLeast"/>
        </w:trPr>
        <w:tc>
          <w:tcPr>
            <w:tcW w:w="2586" w:type="dxa"/>
            <w:tcBorders/>
            <w:vAlign w:val="center"/>
          </w:tcPr>
          <w:p>
            <w:pPr>
              <w:pStyle w:val="TableContents"/>
              <w:bidi w:val="0"/>
              <w:spacing w:before="0" w:after="283"/>
              <w:jc w:val="left"/>
              <w:rPr>
                <w:sz w:val="4"/>
                <w:szCs w:val="4"/>
              </w:rPr>
            </w:pPr>
            <w:r>
              <w:rPr>
                <w:sz w:val="4"/>
                <w:szCs w:val="4"/>
              </w:rPr>
            </w:r>
          </w:p>
        </w:tc>
        <w:tc>
          <w:tcPr>
            <w:tcW w:w="3895" w:type="dxa"/>
            <w:gridSpan w:val="2"/>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258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Vacancies on the Board of</w:t>
            </w:r>
          </w:p>
          <w:p>
            <w:pPr>
              <w:pStyle w:val="TableContents"/>
              <w:bidi w:val="0"/>
              <w:spacing w:before="0" w:after="20"/>
              <w:jc w:val="left"/>
              <w:rPr>
                <w:rFonts w:ascii="Times New Roman" w:hAnsi="Times New Roman"/>
                <w:b/>
                <w:i/>
                <w:sz w:val="20"/>
              </w:rPr>
            </w:pPr>
            <w:r>
              <w:rPr>
                <w:rFonts w:ascii="Times New Roman" w:hAnsi="Times New Roman"/>
                <w:b/>
                <w:i/>
                <w:sz w:val="20"/>
              </w:rPr>
              <w:t>Directors</w:t>
            </w:r>
          </w:p>
        </w:tc>
        <w:tc>
          <w:tcPr>
            <w:tcW w:w="121" w:type="dxa"/>
            <w:tcBorders/>
            <w:vAlign w:val="bottom"/>
          </w:tcPr>
          <w:p>
            <w:pPr>
              <w:pStyle w:val="TableContents"/>
              <w:bidi w:val="0"/>
              <w:spacing w:before="0" w:after="283"/>
              <w:jc w:val="left"/>
              <w:rPr/>
            </w:pPr>
            <w:r>
              <w:rPr/>
              <w:t>  </w:t>
            </w:r>
          </w:p>
        </w:tc>
        <w:tc>
          <w:tcPr>
            <w:tcW w:w="3774" w:type="dxa"/>
            <w:tcBorders/>
          </w:tcPr>
          <w:p>
            <w:pPr>
              <w:pStyle w:val="TableContents"/>
              <w:bidi w:val="0"/>
              <w:spacing w:before="0" w:after="283"/>
              <w:jc w:val="left"/>
              <w:rPr/>
            </w:pPr>
            <w:r>
              <w:rPr/>
              <w:t>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tc>
        <w:tc>
          <w:tcPr>
            <w:tcW w:w="121" w:type="dxa"/>
            <w:tcBorders/>
            <w:vAlign w:val="bottom"/>
          </w:tcPr>
          <w:p>
            <w:pPr>
              <w:pStyle w:val="TableContents"/>
              <w:bidi w:val="0"/>
              <w:spacing w:before="0" w:after="283"/>
              <w:jc w:val="left"/>
              <w:rPr/>
            </w:pPr>
            <w:r>
              <w:rPr/>
              <w:t>  </w:t>
            </w:r>
          </w:p>
        </w:tc>
        <w:tc>
          <w:tcPr>
            <w:tcW w:w="3603" w:type="dxa"/>
            <w:tcBorders/>
          </w:tcPr>
          <w:p>
            <w:pPr>
              <w:pStyle w:val="TableContents"/>
              <w:bidi w:val="0"/>
              <w:spacing w:before="0" w:after="283"/>
              <w:jc w:val="left"/>
              <w:rPr/>
            </w:pPr>
            <w:r>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or series thereof is to elect such director, in which case a majority of the other directors elected by such class or series, or a sole remaining director elected by such class or series, will fill such vacancy.</w:t>
            </w:r>
          </w:p>
        </w:tc>
      </w:tr>
      <w:tr>
        <w:trPr>
          <w:trHeight w:val="120" w:hRule="atLeast"/>
        </w:trPr>
        <w:tc>
          <w:tcPr>
            <w:tcW w:w="2586" w:type="dxa"/>
            <w:tcBorders/>
            <w:vAlign w:val="center"/>
          </w:tcPr>
          <w:p>
            <w:pPr>
              <w:pStyle w:val="TableContents"/>
              <w:bidi w:val="0"/>
              <w:spacing w:before="0" w:after="283"/>
              <w:jc w:val="left"/>
              <w:rPr>
                <w:sz w:val="4"/>
                <w:szCs w:val="4"/>
              </w:rPr>
            </w:pPr>
            <w:r>
              <w:rPr>
                <w:sz w:val="4"/>
                <w:szCs w:val="4"/>
              </w:rPr>
            </w:r>
          </w:p>
        </w:tc>
        <w:tc>
          <w:tcPr>
            <w:tcW w:w="3895" w:type="dxa"/>
            <w:gridSpan w:val="2"/>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2586" w:type="dxa"/>
            <w:tcBorders/>
          </w:tcPr>
          <w:p>
            <w:pPr>
              <w:pStyle w:val="TableContents"/>
              <w:bidi w:val="0"/>
              <w:spacing w:before="0" w:after="283"/>
              <w:jc w:val="left"/>
              <w:rPr>
                <w:b/>
                <w:i/>
              </w:rPr>
            </w:pPr>
            <w:r>
              <w:rPr>
                <w:b/>
                <w:i/>
              </w:rPr>
              <w:t>Annual General Meeting</w:t>
            </w:r>
          </w:p>
        </w:tc>
        <w:tc>
          <w:tcPr>
            <w:tcW w:w="121" w:type="dxa"/>
            <w:tcBorders/>
            <w:vAlign w:val="bottom"/>
          </w:tcPr>
          <w:p>
            <w:pPr>
              <w:pStyle w:val="TableContents"/>
              <w:bidi w:val="0"/>
              <w:spacing w:before="0" w:after="283"/>
              <w:jc w:val="left"/>
              <w:rPr/>
            </w:pPr>
            <w:r>
              <w:rPr/>
              <w:t>  </w:t>
            </w:r>
          </w:p>
        </w:tc>
        <w:tc>
          <w:tcPr>
            <w:tcW w:w="3774" w:type="dxa"/>
            <w:tcBorders/>
          </w:tcPr>
          <w:p>
            <w:pPr>
              <w:pStyle w:val="TableContents"/>
              <w:bidi w:val="0"/>
              <w:spacing w:before="0" w:after="283"/>
              <w:jc w:val="left"/>
              <w:rPr/>
            </w:pPr>
            <w:r>
              <w:rPr/>
              <w:t>Under the Companies Act, a public limited company must hold an annual general meeting in each six-month period following its annual accounting reference date.</w:t>
            </w:r>
          </w:p>
        </w:tc>
        <w:tc>
          <w:tcPr>
            <w:tcW w:w="121" w:type="dxa"/>
            <w:tcBorders/>
            <w:vAlign w:val="bottom"/>
          </w:tcPr>
          <w:p>
            <w:pPr>
              <w:pStyle w:val="TableContents"/>
              <w:bidi w:val="0"/>
              <w:spacing w:before="0" w:after="283"/>
              <w:jc w:val="left"/>
              <w:rPr/>
            </w:pPr>
            <w:r>
              <w:rPr/>
              <w:t>  </w:t>
            </w:r>
          </w:p>
        </w:tc>
        <w:tc>
          <w:tcPr>
            <w:tcW w:w="3603" w:type="dxa"/>
            <w:tcBorders/>
          </w:tcPr>
          <w:p>
            <w:pPr>
              <w:pStyle w:val="TableContents"/>
              <w:bidi w:val="0"/>
              <w:spacing w:before="0" w:after="283"/>
              <w:jc w:val="left"/>
              <w:rPr/>
            </w:pPr>
            <w:r>
              <w:rPr/>
              <w:t>Under Delaware law, the annual meeting of stockholders shall be held at such place, on such date and at such time as may be designated from time to time by the board of directors or as provided in the certificate of incorporation or by the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568"/>
        <w:gridCol w:w="120"/>
        <w:gridCol w:w="3754"/>
        <w:gridCol w:w="120"/>
        <w:gridCol w:w="3643"/>
      </w:tblGrid>
      <w:tr>
        <w:trPr/>
        <w:tc>
          <w:tcPr>
            <w:tcW w:w="25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256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54" w:type="dxa"/>
            <w:tcBorders/>
            <w:vAlign w:val="bottom"/>
          </w:tcPr>
          <w:p>
            <w:pPr>
              <w:pStyle w:val="TableContents"/>
              <w:bidi w:val="0"/>
              <w:spacing w:before="0" w:after="283"/>
              <w:jc w:val="center"/>
              <w:rPr>
                <w:b/>
              </w:rPr>
            </w:pPr>
            <w:r>
              <w:rPr>
                <w:b/>
              </w:rPr>
              <w:t>England and Wales</w:t>
            </w:r>
          </w:p>
        </w:tc>
        <w:tc>
          <w:tcPr>
            <w:tcW w:w="120"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283"/>
              <w:jc w:val="center"/>
              <w:rPr>
                <w:b/>
              </w:rPr>
            </w:pPr>
            <w:r>
              <w:rPr>
                <w:b/>
              </w:rPr>
              <w:t>Delaware</w:t>
            </w:r>
          </w:p>
        </w:tc>
      </w:tr>
      <w:tr>
        <w:trPr>
          <w:trHeight w:val="120" w:hRule="atLeast"/>
        </w:trPr>
        <w:tc>
          <w:tcPr>
            <w:tcW w:w="2568"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left"/>
              <w:rPr>
                <w:sz w:val="4"/>
                <w:szCs w:val="4"/>
              </w:rPr>
            </w:pPr>
            <w:r>
              <w:rPr>
                <w:sz w:val="4"/>
                <w:szCs w:val="4"/>
              </w:rPr>
            </w:r>
          </w:p>
        </w:tc>
        <w:tc>
          <w:tcPr>
            <w:tcW w:w="3763" w:type="dxa"/>
            <w:gridSpan w:val="2"/>
            <w:tcBorders/>
            <w:vAlign w:val="center"/>
          </w:tcPr>
          <w:p>
            <w:pPr>
              <w:pStyle w:val="TableContents"/>
              <w:bidi w:val="0"/>
              <w:spacing w:before="0" w:after="283"/>
              <w:jc w:val="left"/>
              <w:rPr>
                <w:sz w:val="4"/>
                <w:szCs w:val="4"/>
              </w:rPr>
            </w:pPr>
            <w:r>
              <w:rPr>
                <w:sz w:val="4"/>
                <w:szCs w:val="4"/>
              </w:rPr>
            </w:r>
          </w:p>
        </w:tc>
      </w:tr>
      <w:tr>
        <w:trPr/>
        <w:tc>
          <w:tcPr>
            <w:tcW w:w="2568" w:type="dxa"/>
            <w:tcBorders/>
          </w:tcPr>
          <w:p>
            <w:pPr>
              <w:pStyle w:val="TableContents"/>
              <w:bidi w:val="0"/>
              <w:spacing w:before="0" w:after="283"/>
              <w:jc w:val="left"/>
              <w:rPr>
                <w:b/>
                <w:i/>
              </w:rPr>
            </w:pPr>
            <w:r>
              <w:rPr>
                <w:b/>
                <w:i/>
              </w:rPr>
              <w:t>General Meeting</w:t>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Under the Companies Act, a general meeting of the shareholders of a public limited company may be called by the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Shareholders holding at least 5% of the paid-up capital of the company carrying voting rights at general meetings (excluding any paid up capital held as treasury shares) can require the directors to call a general meeting and, if the directors fail to do so within a certain period, may themselves (or any of them representing more than one half of the total voting rights of all of them) convene a general meeting.</w:t>
            </w:r>
          </w:p>
        </w:tc>
        <w:tc>
          <w:tcPr>
            <w:tcW w:w="12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Under Delaware law, special meetings of the stockholders may be called by the board of directors or by such person or persons as may be authorized by the certificate of incorporation or by the bylaws.</w:t>
            </w:r>
          </w:p>
        </w:tc>
      </w:tr>
      <w:tr>
        <w:trPr>
          <w:trHeight w:val="120" w:hRule="atLeast"/>
        </w:trPr>
        <w:tc>
          <w:tcPr>
            <w:tcW w:w="2568"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left"/>
              <w:rPr>
                <w:sz w:val="4"/>
                <w:szCs w:val="4"/>
              </w:rPr>
            </w:pPr>
            <w:r>
              <w:rPr>
                <w:sz w:val="4"/>
                <w:szCs w:val="4"/>
              </w:rPr>
            </w:r>
          </w:p>
        </w:tc>
        <w:tc>
          <w:tcPr>
            <w:tcW w:w="3763" w:type="dxa"/>
            <w:gridSpan w:val="2"/>
            <w:tcBorders/>
            <w:vAlign w:val="center"/>
          </w:tcPr>
          <w:p>
            <w:pPr>
              <w:pStyle w:val="TableContents"/>
              <w:bidi w:val="0"/>
              <w:spacing w:before="0" w:after="283"/>
              <w:jc w:val="left"/>
              <w:rPr>
                <w:sz w:val="4"/>
                <w:szCs w:val="4"/>
              </w:rPr>
            </w:pPr>
            <w:r>
              <w:rPr>
                <w:sz w:val="4"/>
                <w:szCs w:val="4"/>
              </w:rPr>
            </w:r>
          </w:p>
        </w:tc>
      </w:tr>
      <w:tr>
        <w:trPr/>
        <w:tc>
          <w:tcPr>
            <w:tcW w:w="2568" w:type="dxa"/>
            <w:tcBorders/>
          </w:tcPr>
          <w:p>
            <w:pPr>
              <w:pStyle w:val="TableContents"/>
              <w:bidi w:val="0"/>
              <w:spacing w:before="0" w:after="283"/>
              <w:jc w:val="left"/>
              <w:rPr>
                <w:b/>
                <w:i/>
              </w:rPr>
            </w:pPr>
            <w:r>
              <w:rPr>
                <w:b/>
                <w:i/>
              </w:rPr>
              <w:t>Notice of General Meetings</w:t>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283"/>
              <w:jc w:val="left"/>
              <w:rPr/>
            </w:pPr>
            <w:r>
              <w:rPr/>
              <w:t>Subject to a companys articles of association providing for a longer period, under the Companies Act, at least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tc>
        <w:tc>
          <w:tcPr>
            <w:tcW w:w="12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Under Delaware law, unless otherwise provided in the certificate of incorporation or bylaws, written notice of any meeting of the stockholders must be given to each stockholder entitled to vote at the meeting not less than 10 days nor more than 60 days before the date of the meeting and shall specify the place, date, hour, the means of remote communications by which stockholders and proxy holders may be deemed present and may vote at the meeting, the record date for determining stockholders entitled to vote at the meeting (if different than the record date for determining stockholders entitled to notice) and, if the meeting is a special meeting, the purpose or purposes of the meeting.</w:t>
            </w:r>
          </w:p>
        </w:tc>
      </w:tr>
      <w:tr>
        <w:trPr>
          <w:trHeight w:val="120" w:hRule="atLeast"/>
        </w:trPr>
        <w:tc>
          <w:tcPr>
            <w:tcW w:w="2568"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left"/>
              <w:rPr>
                <w:sz w:val="4"/>
                <w:szCs w:val="4"/>
              </w:rPr>
            </w:pPr>
            <w:r>
              <w:rPr>
                <w:sz w:val="4"/>
                <w:szCs w:val="4"/>
              </w:rPr>
            </w:r>
          </w:p>
        </w:tc>
        <w:tc>
          <w:tcPr>
            <w:tcW w:w="3763" w:type="dxa"/>
            <w:gridSpan w:val="2"/>
            <w:tcBorders/>
            <w:vAlign w:val="center"/>
          </w:tcPr>
          <w:p>
            <w:pPr>
              <w:pStyle w:val="TableContents"/>
              <w:bidi w:val="0"/>
              <w:spacing w:before="0" w:after="283"/>
              <w:jc w:val="left"/>
              <w:rPr>
                <w:sz w:val="4"/>
                <w:szCs w:val="4"/>
              </w:rPr>
            </w:pPr>
            <w:r>
              <w:rPr>
                <w:sz w:val="4"/>
                <w:szCs w:val="4"/>
              </w:rPr>
            </w:r>
          </w:p>
        </w:tc>
      </w:tr>
      <w:tr>
        <w:trPr/>
        <w:tc>
          <w:tcPr>
            <w:tcW w:w="2568" w:type="dxa"/>
            <w:tcBorders/>
          </w:tcPr>
          <w:p>
            <w:pPr>
              <w:pStyle w:val="TableContents"/>
              <w:bidi w:val="0"/>
              <w:spacing w:before="0" w:after="283"/>
              <w:jc w:val="left"/>
              <w:rPr>
                <w:b/>
                <w:i/>
              </w:rPr>
            </w:pPr>
            <w:r>
              <w:rPr>
                <w:b/>
                <w:i/>
              </w:rPr>
              <w:t>Quorum</w:t>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283"/>
              <w:jc w:val="left"/>
              <w:rPr/>
            </w:pPr>
            <w:r>
              <w:rPr/>
              <w:t>Subject to the provisions of a companys articles of association, the Companies Act provides that two shareholders present at a meeting (in person, by proxy or authorized representative under the Companies Act) shall constitute a quorum for companies with more than one member.</w:t>
            </w:r>
          </w:p>
        </w:tc>
        <w:tc>
          <w:tcPr>
            <w:tcW w:w="12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622"/>
        <w:gridCol w:w="120"/>
        <w:gridCol w:w="3754"/>
        <w:gridCol w:w="120"/>
        <w:gridCol w:w="3589"/>
      </w:tblGrid>
      <w:tr>
        <w:trPr/>
        <w:tc>
          <w:tcPr>
            <w:tcW w:w="26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r>
      <w:tr>
        <w:trPr/>
        <w:tc>
          <w:tcPr>
            <w:tcW w:w="262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54" w:type="dxa"/>
            <w:tcBorders/>
            <w:vAlign w:val="bottom"/>
          </w:tcPr>
          <w:p>
            <w:pPr>
              <w:pStyle w:val="TableContents"/>
              <w:bidi w:val="0"/>
              <w:spacing w:before="0" w:after="283"/>
              <w:jc w:val="center"/>
              <w:rPr>
                <w:b/>
              </w:rPr>
            </w:pPr>
            <w:r>
              <w:rPr>
                <w:b/>
              </w:rPr>
              <w:t>England and Wales</w:t>
            </w:r>
          </w:p>
        </w:tc>
        <w:tc>
          <w:tcPr>
            <w:tcW w:w="120" w:type="dxa"/>
            <w:tcBorders/>
            <w:vAlign w:val="bottom"/>
          </w:tcPr>
          <w:p>
            <w:pPr>
              <w:pStyle w:val="TableContents"/>
              <w:bidi w:val="0"/>
              <w:spacing w:before="0" w:after="283"/>
              <w:jc w:val="left"/>
              <w:rPr/>
            </w:pPr>
            <w:r>
              <w:rPr/>
              <w:t>  </w:t>
            </w:r>
          </w:p>
        </w:tc>
        <w:tc>
          <w:tcPr>
            <w:tcW w:w="3589" w:type="dxa"/>
            <w:tcBorders/>
            <w:vAlign w:val="bottom"/>
          </w:tcPr>
          <w:p>
            <w:pPr>
              <w:pStyle w:val="TableContents"/>
              <w:bidi w:val="0"/>
              <w:spacing w:before="0" w:after="283"/>
              <w:jc w:val="center"/>
              <w:rPr>
                <w:b/>
              </w:rPr>
            </w:pPr>
            <w:r>
              <w:rPr>
                <w:b/>
              </w:rPr>
              <w:t>Delaware</w:t>
            </w:r>
          </w:p>
        </w:tc>
      </w:tr>
      <w:tr>
        <w:trPr/>
        <w:tc>
          <w:tcPr>
            <w:tcW w:w="26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89" w:type="dxa"/>
            <w:tcBorders/>
          </w:tcPr>
          <w:p>
            <w:pPr>
              <w:pStyle w:val="TableContents"/>
              <w:bidi w:val="0"/>
              <w:spacing w:before="0" w:after="283"/>
              <w:jc w:val="left"/>
              <w:rPr/>
            </w:pPr>
            <w:r>
              <w:rPr/>
              <w:t>represented by proxy, shall constitute a quorum at a meeting of stockholders.</w:t>
            </w:r>
          </w:p>
        </w:tc>
      </w:tr>
      <w:tr>
        <w:trPr>
          <w:trHeight w:val="120" w:hRule="atLeast"/>
        </w:trPr>
        <w:tc>
          <w:tcPr>
            <w:tcW w:w="2622"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2622" w:type="dxa"/>
            <w:tcBorders/>
          </w:tcPr>
          <w:p>
            <w:pPr>
              <w:pStyle w:val="TableContents"/>
              <w:bidi w:val="0"/>
              <w:spacing w:before="0" w:after="283"/>
              <w:jc w:val="left"/>
              <w:rPr>
                <w:b/>
                <w:i/>
              </w:rPr>
            </w:pPr>
            <w:r>
              <w:rPr>
                <w:b/>
                <w:i/>
              </w:rPr>
              <w:t>Proxy</w:t>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283"/>
              <w:jc w:val="left"/>
              <w:rPr/>
            </w:pPr>
            <w:r>
              <w:rPr/>
              <w:t>Under the Companies Act, at any meeting of shareholders, a shareholder may designate another person to attend, speak and vote at the meeting on their behalf by proxy.</w:t>
            </w:r>
          </w:p>
        </w:tc>
        <w:tc>
          <w:tcPr>
            <w:tcW w:w="120" w:type="dxa"/>
            <w:tcBorders/>
            <w:vAlign w:val="bottom"/>
          </w:tcPr>
          <w:p>
            <w:pPr>
              <w:pStyle w:val="TableContents"/>
              <w:bidi w:val="0"/>
              <w:spacing w:before="0" w:after="283"/>
              <w:jc w:val="left"/>
              <w:rPr/>
            </w:pPr>
            <w:r>
              <w:rPr/>
              <w:t>  </w:t>
            </w:r>
          </w:p>
        </w:tc>
        <w:tc>
          <w:tcPr>
            <w:tcW w:w="3589" w:type="dxa"/>
            <w:tcBorders/>
          </w:tcPr>
          <w:p>
            <w:pPr>
              <w:pStyle w:val="TableContents"/>
              <w:bidi w:val="0"/>
              <w:spacing w:before="0" w:after="283"/>
              <w:jc w:val="left"/>
              <w:rPr/>
            </w:pPr>
            <w:r>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tc>
      </w:tr>
      <w:tr>
        <w:trPr>
          <w:trHeight w:val="120" w:hRule="atLeast"/>
        </w:trPr>
        <w:tc>
          <w:tcPr>
            <w:tcW w:w="2622"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2622" w:type="dxa"/>
            <w:tcBorders/>
          </w:tcPr>
          <w:p>
            <w:pPr>
              <w:pStyle w:val="TableContents"/>
              <w:bidi w:val="0"/>
              <w:spacing w:before="0" w:after="283"/>
              <w:jc w:val="left"/>
              <w:rPr>
                <w:b/>
                <w:i/>
              </w:rPr>
            </w:pPr>
            <w:r>
              <w:rPr>
                <w:b/>
                <w:i/>
              </w:rPr>
              <w:t>Preemptive Rights</w:t>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283"/>
              <w:jc w:val="left"/>
              <w:rPr/>
            </w:pPr>
            <w:r>
              <w:rPr/>
              <w:t>Under the Companies Act, equity securities, being (a) shares in the company other than shares that, with respect to dividends and capital, carry a right to participate only up to a specified amount in a distribution, referred to as ordinary shares, or (b) rights to subscribe for, or to convert securities into, ordinary shares, proposed to be allotted for cash must be offered first to the existing holders of equity shares in the company in proportion to the respective nominal value of their holdings, unless an exception applies or a special resolution to the contrary has been passed by shareholders in a general meeting or the articles of association provide otherwise in each case in accordance with the provisions of the Companies Act.</w:t>
            </w:r>
          </w:p>
        </w:tc>
        <w:tc>
          <w:tcPr>
            <w:tcW w:w="120" w:type="dxa"/>
            <w:tcBorders/>
            <w:vAlign w:val="bottom"/>
          </w:tcPr>
          <w:p>
            <w:pPr>
              <w:pStyle w:val="TableContents"/>
              <w:bidi w:val="0"/>
              <w:spacing w:before="0" w:after="283"/>
              <w:jc w:val="left"/>
              <w:rPr/>
            </w:pPr>
            <w:r>
              <w:rPr/>
              <w:t>  </w:t>
            </w:r>
          </w:p>
        </w:tc>
        <w:tc>
          <w:tcPr>
            <w:tcW w:w="3589" w:type="dxa"/>
            <w:tcBorders/>
          </w:tcPr>
          <w:p>
            <w:pPr>
              <w:pStyle w:val="TableContents"/>
              <w:bidi w:val="0"/>
              <w:spacing w:before="0" w:after="283"/>
              <w:jc w:val="left"/>
              <w:rPr/>
            </w:pPr>
            <w:r>
              <w:rPr/>
              <w:t>Under Delaware law, stockholders have no preemptive rights to subscribe to additional issues of stock or to any security convertible into such stock unless, and except to the extent that, such rights are expressly provided for in the certificate of incorporation.</w:t>
            </w:r>
          </w:p>
        </w:tc>
      </w:tr>
      <w:tr>
        <w:trPr>
          <w:trHeight w:val="120" w:hRule="atLeast"/>
        </w:trPr>
        <w:tc>
          <w:tcPr>
            <w:tcW w:w="2622"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2622" w:type="dxa"/>
            <w:tcBorders/>
          </w:tcPr>
          <w:p>
            <w:pPr>
              <w:pStyle w:val="TableContents"/>
              <w:bidi w:val="0"/>
              <w:spacing w:before="0" w:after="283"/>
              <w:jc w:val="left"/>
              <w:rPr>
                <w:b/>
                <w:i/>
              </w:rPr>
            </w:pPr>
            <w:r>
              <w:rPr>
                <w:b/>
                <w:i/>
              </w:rPr>
              <w:t>Authority to Allot</w:t>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283"/>
              <w:jc w:val="left"/>
              <w:rPr/>
            </w:pPr>
            <w:r>
              <w:rPr/>
              <w:t>Under the Companies Act, the directors of a company must not allot shares or grant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w:t>
            </w:r>
          </w:p>
        </w:tc>
        <w:tc>
          <w:tcPr>
            <w:tcW w:w="120" w:type="dxa"/>
            <w:tcBorders/>
            <w:vAlign w:val="bottom"/>
          </w:tcPr>
          <w:p>
            <w:pPr>
              <w:pStyle w:val="TableContents"/>
              <w:bidi w:val="0"/>
              <w:spacing w:before="0" w:after="283"/>
              <w:jc w:val="left"/>
              <w:rPr/>
            </w:pPr>
            <w:r>
              <w:rPr/>
              <w:t>  </w:t>
            </w:r>
          </w:p>
        </w:tc>
        <w:tc>
          <w:tcPr>
            <w:tcW w:w="3589" w:type="dxa"/>
            <w:tcBorders/>
          </w:tcPr>
          <w:p>
            <w:pPr>
              <w:pStyle w:val="TableContents"/>
              <w:bidi w:val="0"/>
              <w:spacing w:before="0" w:after="283"/>
              <w:jc w:val="left"/>
              <w:rPr/>
            </w:pPr>
            <w:r>
              <w:rPr/>
              <w:t>Under Delaware law, the board of directors or, if the certificate of incorporation so provides, the stockholders have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tc>
      </w:tr>
      <w:tr>
        <w:trPr>
          <w:trHeight w:val="120" w:hRule="atLeast"/>
        </w:trPr>
        <w:tc>
          <w:tcPr>
            <w:tcW w:w="2622"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2622" w:type="dxa"/>
            <w:tcBorders/>
          </w:tcPr>
          <w:p>
            <w:pPr>
              <w:pStyle w:val="TableContents"/>
              <w:bidi w:val="0"/>
              <w:spacing w:before="0" w:after="283"/>
              <w:jc w:val="left"/>
              <w:rPr>
                <w:b/>
                <w:i/>
              </w:rPr>
            </w:pPr>
            <w:r>
              <w:rPr>
                <w:b/>
                <w:i/>
              </w:rPr>
              <w:t>Liability of Directors and Officers</w:t>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283"/>
              <w:jc w:val="left"/>
              <w:rPr/>
            </w:pPr>
            <w:r>
              <w:rPr/>
              <w:t>Under the Companies Act, any provision, whether contained in a companys articles of association or any contract or otherwise, that purports to exempt a director of a company, to any extent, from any liability that</w:t>
            </w:r>
          </w:p>
        </w:tc>
        <w:tc>
          <w:tcPr>
            <w:tcW w:w="120" w:type="dxa"/>
            <w:tcBorders/>
            <w:vAlign w:val="bottom"/>
          </w:tcPr>
          <w:p>
            <w:pPr>
              <w:pStyle w:val="TableContents"/>
              <w:bidi w:val="0"/>
              <w:spacing w:before="0" w:after="283"/>
              <w:jc w:val="left"/>
              <w:rPr/>
            </w:pPr>
            <w:r>
              <w:rPr/>
              <w:t>  </w:t>
            </w:r>
          </w:p>
        </w:tc>
        <w:tc>
          <w:tcPr>
            <w:tcW w:w="3589" w:type="dxa"/>
            <w:tcBorders/>
          </w:tcPr>
          <w:p>
            <w:pPr>
              <w:pStyle w:val="TableContents"/>
              <w:bidi w:val="0"/>
              <w:spacing w:before="0" w:after="283"/>
              <w:jc w:val="left"/>
              <w:rPr/>
            </w:pPr>
            <w:r>
              <w:rPr/>
              <w:t>Under Delaware law, a corporations certificate of incorporation may include a provision eliminating or limiting the personal liability of a director to the corporation and its stockholders for monetary damages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542"/>
        <w:gridCol w:w="121"/>
        <w:gridCol w:w="3794"/>
        <w:gridCol w:w="121"/>
        <w:gridCol w:w="3627"/>
      </w:tblGrid>
      <w:tr>
        <w:trPr/>
        <w:tc>
          <w:tcPr>
            <w:tcW w:w="25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254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794" w:type="dxa"/>
            <w:tcBorders/>
            <w:vAlign w:val="bottom"/>
          </w:tcPr>
          <w:p>
            <w:pPr>
              <w:pStyle w:val="TableContents"/>
              <w:bidi w:val="0"/>
              <w:spacing w:before="0" w:after="283"/>
              <w:jc w:val="center"/>
              <w:rPr>
                <w:b/>
              </w:rPr>
            </w:pPr>
            <w:r>
              <w:rPr>
                <w:b/>
              </w:rPr>
              <w:t>England and Wales</w:t>
            </w:r>
          </w:p>
        </w:tc>
        <w:tc>
          <w:tcPr>
            <w:tcW w:w="121"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center"/>
              <w:rPr>
                <w:b/>
              </w:rPr>
            </w:pPr>
            <w:r>
              <w:rPr>
                <w:b/>
              </w:rPr>
              <w:t>Delaware</w:t>
            </w:r>
          </w:p>
        </w:tc>
      </w:tr>
      <w:tr>
        <w:trPr/>
        <w:tc>
          <w:tcPr>
            <w:tcW w:w="25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794" w:type="dxa"/>
            <w:tcBorders/>
          </w:tcPr>
          <w:p>
            <w:pPr>
              <w:pStyle w:val="TableContents"/>
              <w:bidi w:val="0"/>
              <w:spacing w:before="0" w:after="0"/>
              <w:jc w:val="left"/>
              <w:rPr>
                <w:rFonts w:ascii="Times New Roman" w:hAnsi="Times New Roman"/>
                <w:sz w:val="20"/>
              </w:rPr>
            </w:pPr>
            <w:r>
              <w:rPr>
                <w:rFonts w:ascii="Times New Roman" w:hAnsi="Times New Roman"/>
                <w:sz w:val="20"/>
              </w:rPr>
              <w:t>would otherwise attach to him or her in connection with any negligence, default, breach of duty or breach of trust in relation to the company is void.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provision by which a company directly or indirectly provides an indemnity, to any extent, for a director of the company or of an associated company against any liability attaching to him or her in connection with any negligence, default, breach of duty or breach of trust in relation to the company of which he or she is a director is also void except as permitted by the Companies Act,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or she is convicted); and (c) provide a qualifying pension scheme indemnity (being an indemnity against liability incurred in connection with activities as trustee of an occupational pension plan).</w:t>
            </w:r>
          </w:p>
        </w:tc>
        <w:tc>
          <w:tcPr>
            <w:tcW w:w="121"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arising from a breach of fiduciary duty as a director. However, no provision can limit the liability of a director for: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  any breach of the directors duty of loyalty to the corporation or its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  acts or omissions not in good faith or that involve intentional misconduct or a knowing violation of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  intentional or negligent payment of unlawful dividends or stock purchases or redemptions;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  any transaction from which the director derives an improper personal benefit.</w:t>
            </w:r>
          </w:p>
        </w:tc>
      </w:tr>
      <w:tr>
        <w:trPr>
          <w:trHeight w:val="120" w:hRule="atLeast"/>
        </w:trPr>
        <w:tc>
          <w:tcPr>
            <w:tcW w:w="2542" w:type="dxa"/>
            <w:tcBorders/>
            <w:vAlign w:val="center"/>
          </w:tcPr>
          <w:p>
            <w:pPr>
              <w:pStyle w:val="TableContents"/>
              <w:bidi w:val="0"/>
              <w:spacing w:before="0" w:after="283"/>
              <w:jc w:val="left"/>
              <w:rPr>
                <w:sz w:val="4"/>
                <w:szCs w:val="4"/>
              </w:rPr>
            </w:pPr>
            <w:r>
              <w:rPr>
                <w:sz w:val="4"/>
                <w:szCs w:val="4"/>
              </w:rPr>
            </w:r>
          </w:p>
        </w:tc>
        <w:tc>
          <w:tcPr>
            <w:tcW w:w="3915" w:type="dxa"/>
            <w:gridSpan w:val="2"/>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r>
      <w:tr>
        <w:trPr/>
        <w:tc>
          <w:tcPr>
            <w:tcW w:w="2542" w:type="dxa"/>
            <w:tcBorders/>
          </w:tcPr>
          <w:p>
            <w:pPr>
              <w:pStyle w:val="TableContents"/>
              <w:bidi w:val="0"/>
              <w:spacing w:before="0" w:after="283"/>
              <w:jc w:val="left"/>
              <w:rPr>
                <w:b/>
                <w:i/>
              </w:rPr>
            </w:pPr>
            <w:r>
              <w:rPr>
                <w:b/>
                <w:i/>
              </w:rPr>
              <w:t>Voting Rights</w:t>
            </w:r>
          </w:p>
        </w:tc>
        <w:tc>
          <w:tcPr>
            <w:tcW w:w="121" w:type="dxa"/>
            <w:tcBorders/>
            <w:vAlign w:val="bottom"/>
          </w:tcPr>
          <w:p>
            <w:pPr>
              <w:pStyle w:val="TableContents"/>
              <w:bidi w:val="0"/>
              <w:spacing w:before="0" w:after="283"/>
              <w:jc w:val="left"/>
              <w:rPr/>
            </w:pPr>
            <w:r>
              <w:rPr/>
              <w:t>  </w:t>
            </w:r>
          </w:p>
        </w:tc>
        <w:tc>
          <w:tcPr>
            <w:tcW w:w="3794" w:type="dxa"/>
            <w:tcBorders/>
          </w:tcPr>
          <w:p>
            <w:pPr>
              <w:pStyle w:val="TableContents"/>
              <w:bidi w:val="0"/>
              <w:spacing w:before="0" w:after="283"/>
              <w:jc w:val="left"/>
              <w:rPr/>
            </w:pPr>
            <w:r>
              <w:rPr/>
              <w:t>Unless a poll is demanded by the shareholders of a company or is required by the chairman of the meeting or the companys articles of association, shareholders shall vote on all resolutions on a show of hands. Under the Companies Act,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 total sum paid up on all the shares conferring that right. A companys articles of association may provide more extensive rights for shareholders to call a poll.</w:t>
            </w:r>
          </w:p>
        </w:tc>
        <w:tc>
          <w:tcPr>
            <w:tcW w:w="121"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Delaware law provides that, unless otherwise provided in the certificate of incorporation, each stockholder is entitled to one vote for each share of capital stock held by such stockholder.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658"/>
        <w:gridCol w:w="121"/>
        <w:gridCol w:w="3743"/>
        <w:gridCol w:w="121"/>
        <w:gridCol w:w="3562"/>
      </w:tblGrid>
      <w:tr>
        <w:trPr/>
        <w:tc>
          <w:tcPr>
            <w:tcW w:w="265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62" w:type="dxa"/>
            <w:tcBorders/>
            <w:vAlign w:val="center"/>
          </w:tcPr>
          <w:p>
            <w:pPr>
              <w:pStyle w:val="TableContents"/>
              <w:bidi w:val="0"/>
              <w:spacing w:before="0" w:after="283"/>
              <w:jc w:val="left"/>
              <w:rPr>
                <w:sz w:val="4"/>
                <w:szCs w:val="4"/>
              </w:rPr>
            </w:pPr>
            <w:r>
              <w:rPr>
                <w:sz w:val="4"/>
                <w:szCs w:val="4"/>
              </w:rPr>
            </w:r>
          </w:p>
        </w:tc>
      </w:tr>
      <w:tr>
        <w:trPr/>
        <w:tc>
          <w:tcPr>
            <w:tcW w:w="265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743" w:type="dxa"/>
            <w:tcBorders/>
            <w:vAlign w:val="bottom"/>
          </w:tcPr>
          <w:p>
            <w:pPr>
              <w:pStyle w:val="TableContents"/>
              <w:bidi w:val="0"/>
              <w:spacing w:before="0" w:after="283"/>
              <w:jc w:val="center"/>
              <w:rPr>
                <w:b/>
              </w:rPr>
            </w:pPr>
            <w:r>
              <w:rPr>
                <w:b/>
              </w:rPr>
              <w:t>England and Wales</w:t>
            </w:r>
          </w:p>
        </w:tc>
        <w:tc>
          <w:tcPr>
            <w:tcW w:w="121" w:type="dxa"/>
            <w:tcBorders/>
            <w:vAlign w:val="bottom"/>
          </w:tcPr>
          <w:p>
            <w:pPr>
              <w:pStyle w:val="TableContents"/>
              <w:bidi w:val="0"/>
              <w:spacing w:before="0" w:after="283"/>
              <w:jc w:val="left"/>
              <w:rPr/>
            </w:pPr>
            <w:r>
              <w:rPr/>
              <w:t>  </w:t>
            </w:r>
          </w:p>
        </w:tc>
        <w:tc>
          <w:tcPr>
            <w:tcW w:w="3562" w:type="dxa"/>
            <w:tcBorders/>
            <w:vAlign w:val="bottom"/>
          </w:tcPr>
          <w:p>
            <w:pPr>
              <w:pStyle w:val="TableContents"/>
              <w:bidi w:val="0"/>
              <w:spacing w:before="0" w:after="283"/>
              <w:jc w:val="center"/>
              <w:rPr>
                <w:b/>
              </w:rPr>
            </w:pPr>
            <w:r>
              <w:rPr>
                <w:b/>
              </w:rPr>
              <w:t>Delaware</w:t>
            </w:r>
          </w:p>
        </w:tc>
      </w:tr>
      <w:tr>
        <w:trPr/>
        <w:tc>
          <w:tcPr>
            <w:tcW w:w="26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the laws of England and Wales,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a show of hands, special resolutions require the affirmative vote of not less than 75% of the votes cast by shareholders present, in person or by proxy, at the meeting. If a poll is demanded, a special resolution is passed if it is approved by holders representing not less than 75% of the total voting rights of shareholders present in person or by proxy who, being entitled to vote, vote on the resolution.</w:t>
            </w:r>
          </w:p>
        </w:tc>
        <w:tc>
          <w:tcPr>
            <w:tcW w:w="121"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sz w:val="4"/>
                <w:szCs w:val="4"/>
              </w:rPr>
            </w:pPr>
            <w:r>
              <w:rPr>
                <w:sz w:val="4"/>
                <w:szCs w:val="4"/>
              </w:rPr>
            </w:r>
          </w:p>
        </w:tc>
      </w:tr>
      <w:tr>
        <w:trPr>
          <w:trHeight w:val="120" w:hRule="atLeast"/>
        </w:trPr>
        <w:tc>
          <w:tcPr>
            <w:tcW w:w="2658" w:type="dxa"/>
            <w:tcBorders/>
            <w:vAlign w:val="center"/>
          </w:tcPr>
          <w:p>
            <w:pPr>
              <w:pStyle w:val="TableContents"/>
              <w:bidi w:val="0"/>
              <w:spacing w:before="0" w:after="283"/>
              <w:jc w:val="left"/>
              <w:rPr>
                <w:sz w:val="4"/>
                <w:szCs w:val="4"/>
              </w:rPr>
            </w:pPr>
            <w:r>
              <w:rPr>
                <w:sz w:val="4"/>
                <w:szCs w:val="4"/>
              </w:rPr>
            </w:r>
          </w:p>
        </w:tc>
        <w:tc>
          <w:tcPr>
            <w:tcW w:w="3864" w:type="dxa"/>
            <w:gridSpan w:val="2"/>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2658" w:type="dxa"/>
            <w:tcBorders/>
          </w:tcPr>
          <w:p>
            <w:pPr>
              <w:pStyle w:val="TableContents"/>
              <w:bidi w:val="0"/>
              <w:spacing w:before="0" w:after="283"/>
              <w:jc w:val="left"/>
              <w:rPr>
                <w:b/>
                <w:i/>
              </w:rPr>
            </w:pPr>
            <w:r>
              <w:rPr>
                <w:b/>
                <w:i/>
              </w:rPr>
              <w:t>Shareholder Vote on Certain Transactions</w:t>
            </w:r>
          </w:p>
        </w:tc>
        <w:tc>
          <w:tcPr>
            <w:tcW w:w="121"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0"/>
              <w:jc w:val="left"/>
              <w:rPr>
                <w:rFonts w:ascii="Times New Roman" w:hAnsi="Times New Roman"/>
                <w:sz w:val="20"/>
              </w:rPr>
            </w:pPr>
            <w:r>
              <w:rPr>
                <w:rFonts w:ascii="Times New Roman" w:hAnsi="Times New Roman"/>
                <w:sz w:val="20"/>
              </w:rPr>
              <w:t>The Companies Act provides for schemes of arrangement, which are arrangements or compromises between a company and any class of shareholders or creditors and used in certain types of reconstructions, amalgamations, capital reorganizations, or takeovers. These arrangements require: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approval at a shareholders or creditors meeting convened by order of the court, of a majority in number of shareholders or creditors or a class thereof representing 75% in value of the capital held by, or debt owed to, the class of shareholders or creditors, or class thereof, respectively, present and voting, either in person or by proxy;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approval of the court.</w:t>
            </w:r>
          </w:p>
        </w:tc>
        <w:tc>
          <w:tcPr>
            <w:tcW w:w="121"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approval of the board of directors;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  approval by the vote of the holders of a majority of the outstanding stock or, if the certificate of incorporation provides for more or less than one vote per share, a majority of the votes of the outstanding stock of a corporation entitled to vote on the matter.</w:t>
            </w:r>
          </w:p>
        </w:tc>
      </w:tr>
      <w:tr>
        <w:trPr>
          <w:trHeight w:val="120" w:hRule="atLeast"/>
        </w:trPr>
        <w:tc>
          <w:tcPr>
            <w:tcW w:w="2658" w:type="dxa"/>
            <w:tcBorders/>
            <w:vAlign w:val="center"/>
          </w:tcPr>
          <w:p>
            <w:pPr>
              <w:pStyle w:val="TableContents"/>
              <w:bidi w:val="0"/>
              <w:spacing w:before="0" w:after="283"/>
              <w:jc w:val="left"/>
              <w:rPr>
                <w:sz w:val="4"/>
                <w:szCs w:val="4"/>
              </w:rPr>
            </w:pPr>
            <w:r>
              <w:rPr>
                <w:sz w:val="4"/>
                <w:szCs w:val="4"/>
              </w:rPr>
            </w:r>
          </w:p>
        </w:tc>
        <w:tc>
          <w:tcPr>
            <w:tcW w:w="3864" w:type="dxa"/>
            <w:gridSpan w:val="2"/>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2658" w:type="dxa"/>
            <w:tcBorders/>
          </w:tcPr>
          <w:p>
            <w:pPr>
              <w:pStyle w:val="TableContents"/>
              <w:bidi w:val="0"/>
              <w:spacing w:before="0" w:after="283"/>
              <w:jc w:val="left"/>
              <w:rPr>
                <w:b/>
                <w:i/>
              </w:rPr>
            </w:pPr>
            <w:r>
              <w:rPr>
                <w:b/>
                <w:i/>
              </w:rPr>
              <w:t>Standard of Conduct for Directors</w:t>
            </w:r>
          </w:p>
        </w:tc>
        <w:tc>
          <w:tcPr>
            <w:tcW w:w="121"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0"/>
              <w:jc w:val="left"/>
              <w:rPr>
                <w:rFonts w:ascii="Times New Roman" w:hAnsi="Times New Roman"/>
                <w:sz w:val="20"/>
              </w:rPr>
            </w:pPr>
            <w:r>
              <w:rPr>
                <w:rFonts w:ascii="Times New Roman" w:hAnsi="Times New Roman"/>
                <w:sz w:val="20"/>
              </w:rPr>
              <w:t>Under the laws of England and Wales, a director owes various statutory and fiduciary duties to a company, including: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  to act in the way he or she considers, in good faith, would be most likely to promote the success</w:t>
            </w:r>
          </w:p>
        </w:tc>
        <w:tc>
          <w:tcPr>
            <w:tcW w:w="121"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656"/>
        <w:gridCol w:w="120"/>
        <w:gridCol w:w="3754"/>
        <w:gridCol w:w="120"/>
        <w:gridCol w:w="3555"/>
      </w:tblGrid>
      <w:tr>
        <w:trPr/>
        <w:tc>
          <w:tcPr>
            <w:tcW w:w="26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54" w:type="dxa"/>
            <w:tcBorders/>
            <w:vAlign w:val="bottom"/>
          </w:tcPr>
          <w:p>
            <w:pPr>
              <w:pStyle w:val="TableContents"/>
              <w:bidi w:val="0"/>
              <w:spacing w:before="0" w:after="283"/>
              <w:jc w:val="center"/>
              <w:rPr>
                <w:b/>
              </w:rPr>
            </w:pPr>
            <w:r>
              <w:rPr>
                <w:b/>
              </w:rPr>
              <w:t>England and Wales</w:t>
            </w:r>
          </w:p>
        </w:tc>
        <w:tc>
          <w:tcPr>
            <w:tcW w:w="120" w:type="dxa"/>
            <w:tcBorders/>
            <w:vAlign w:val="bottom"/>
          </w:tcPr>
          <w:p>
            <w:pPr>
              <w:pStyle w:val="TableContents"/>
              <w:bidi w:val="0"/>
              <w:spacing w:before="0" w:after="283"/>
              <w:jc w:val="left"/>
              <w:rPr/>
            </w:pPr>
            <w:r>
              <w:rPr/>
              <w:t>  </w:t>
            </w:r>
          </w:p>
        </w:tc>
        <w:tc>
          <w:tcPr>
            <w:tcW w:w="3555" w:type="dxa"/>
            <w:tcBorders/>
            <w:vAlign w:val="bottom"/>
          </w:tcPr>
          <w:p>
            <w:pPr>
              <w:pStyle w:val="TableContents"/>
              <w:bidi w:val="0"/>
              <w:spacing w:before="0" w:after="283"/>
              <w:jc w:val="center"/>
              <w:rPr>
                <w:b/>
              </w:rPr>
            </w:pPr>
            <w:r>
              <w:rPr>
                <w:b/>
              </w:rPr>
              <w:t>Delaware</w:t>
            </w:r>
          </w:p>
        </w:tc>
      </w:tr>
      <w:tr>
        <w:trPr/>
        <w:tc>
          <w:tcPr>
            <w:tcW w:w="265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of the company for the benefit of its members as a whole, and in doing so have regard (amongst other matters) to: (a) the likely consequences of any decision in the long-term, (b) the interests of the companys employees, (c) the need to foster the companys business relationships with suppliers, customers and others, (d) the impact of the companys operations on the community and the environment, (e) the desirability to maintain a reputation for high standards of business conduct, and (f) the need to act fairly as between members of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avoid a situation in which he or she has, or can have, a direct or indirect interest that conflicts, or possibly conflicts, with the interests of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act in accordance with our constitution and only exercise his or her powers for the purposes for which they are conferred;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exercise independent judgment;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exercise reasonable care, skill, and diligence;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  not to accept benefits from a third party conferred by reason of his or her being a director or doing, or not doing, anything as a director;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 duty to declare any interest that he or she has, whether directly or indirectly, in a proposed or existing transaction or arrangement with the company.</w:t>
            </w:r>
          </w:p>
        </w:tc>
        <w:tc>
          <w:tcPr>
            <w:tcW w:w="120" w:type="dxa"/>
            <w:tcBorders/>
            <w:vAlign w:val="bottom"/>
          </w:tcPr>
          <w:p>
            <w:pPr>
              <w:pStyle w:val="TableContents"/>
              <w:bidi w:val="0"/>
              <w:spacing w:before="0" w:after="283"/>
              <w:jc w:val="left"/>
              <w:rPr/>
            </w:pPr>
            <w:r>
              <w:rPr/>
              <w:t>  </w:t>
            </w:r>
          </w:p>
        </w:tc>
        <w:tc>
          <w:tcPr>
            <w:tcW w:w="3555" w:type="dxa"/>
            <w:tcBorders/>
          </w:tcPr>
          <w:p>
            <w:pPr>
              <w:pStyle w:val="TableContents"/>
              <w:bidi w:val="0"/>
              <w:spacing w:before="0" w:after="0"/>
              <w:jc w:val="left"/>
              <w:rPr>
                <w:rFonts w:ascii="Times New Roman" w:hAnsi="Times New Roman"/>
                <w:sz w:val="20"/>
              </w:rPr>
            </w:pPr>
            <w:r>
              <w:rPr>
                <w:rFonts w:ascii="Times New Roman" w:hAnsi="Times New Roman"/>
                <w:sz w:val="20"/>
              </w:rPr>
              <w:t>and in a manner they reasonably believe to be in the best interest of the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tc>
      </w:tr>
      <w:tr>
        <w:trPr>
          <w:trHeight w:val="120" w:hRule="atLeast"/>
        </w:trPr>
        <w:tc>
          <w:tcPr>
            <w:tcW w:w="2656"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r>
      <w:tr>
        <w:trPr/>
        <w:tc>
          <w:tcPr>
            <w:tcW w:w="2656" w:type="dxa"/>
            <w:tcBorders/>
          </w:tcPr>
          <w:p>
            <w:pPr>
              <w:pStyle w:val="TableContents"/>
              <w:bidi w:val="0"/>
              <w:spacing w:before="0" w:after="283"/>
              <w:jc w:val="left"/>
              <w:rPr>
                <w:b/>
                <w:i/>
              </w:rPr>
            </w:pPr>
            <w:r>
              <w:rPr>
                <w:b/>
                <w:i/>
              </w:rPr>
              <w:t>Shareholder Litigation</w:t>
            </w:r>
          </w:p>
        </w:tc>
        <w:tc>
          <w:tcPr>
            <w:tcW w:w="120" w:type="dxa"/>
            <w:tcBorders/>
            <w:vAlign w:val="bottom"/>
          </w:tcPr>
          <w:p>
            <w:pPr>
              <w:pStyle w:val="TableContents"/>
              <w:bidi w:val="0"/>
              <w:spacing w:before="0" w:after="283"/>
              <w:jc w:val="left"/>
              <w:rPr/>
            </w:pPr>
            <w:r>
              <w:rPr/>
              <w:t>  </w:t>
            </w:r>
          </w:p>
        </w:tc>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Under the laws of England and Wales, generally, the company, rather than its shareholders, is the proper claimant in an action in respect of a wrong done to the company or where there is an irregularity in the companys internal management.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Notwithstanding this general position, the Companies Act provides that (a) a court may allow a shareholder to bring a derivative claim (that is, an action in</w:t>
            </w:r>
          </w:p>
        </w:tc>
        <w:tc>
          <w:tcPr>
            <w:tcW w:w="120" w:type="dxa"/>
            <w:tcBorders/>
            <w:vAlign w:val="bottom"/>
          </w:tcPr>
          <w:p>
            <w:pPr>
              <w:pStyle w:val="TableContents"/>
              <w:bidi w:val="0"/>
              <w:spacing w:before="0" w:after="283"/>
              <w:jc w:val="left"/>
              <w:rPr/>
            </w:pPr>
            <w:r>
              <w:rPr/>
              <w:t>  </w:t>
            </w:r>
          </w:p>
        </w:tc>
        <w:tc>
          <w:tcPr>
            <w:tcW w:w="355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stockholder may initiate a derivative action to enforce a right of a corporation if the corporation fails to enforce the right itself. The complaint must: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  state that the plaintiff was a stockholder at the time of the transaction of which the plaintiff complains or that the plaintiffs shares thereafter devolved on the plaintiff by operation of law;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459"/>
        <w:gridCol w:w="121"/>
        <w:gridCol w:w="3854"/>
        <w:gridCol w:w="121"/>
        <w:gridCol w:w="3650"/>
      </w:tblGrid>
      <w:tr>
        <w:trPr/>
        <w:tc>
          <w:tcPr>
            <w:tcW w:w="24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245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854" w:type="dxa"/>
            <w:tcBorders/>
            <w:vAlign w:val="bottom"/>
          </w:tcPr>
          <w:p>
            <w:pPr>
              <w:pStyle w:val="TableContents"/>
              <w:bidi w:val="0"/>
              <w:spacing w:before="0" w:after="283"/>
              <w:jc w:val="center"/>
              <w:rPr>
                <w:b/>
              </w:rPr>
            </w:pPr>
            <w:r>
              <w:rPr>
                <w:b/>
              </w:rPr>
              <w:t>England and Wales</w:t>
            </w:r>
          </w:p>
        </w:tc>
        <w:tc>
          <w:tcPr>
            <w:tcW w:w="121"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center"/>
              <w:rPr>
                <w:b/>
              </w:rPr>
            </w:pPr>
            <w:r>
              <w:rPr>
                <w:b/>
              </w:rPr>
              <w:t>Delaware</w:t>
            </w:r>
          </w:p>
        </w:tc>
      </w:tr>
      <w:tr>
        <w:trPr/>
        <w:tc>
          <w:tcPr>
            <w:tcW w:w="245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4" w:type="dxa"/>
            <w:tcBorders/>
          </w:tcPr>
          <w:p>
            <w:pPr>
              <w:pStyle w:val="TableContents"/>
              <w:bidi w:val="0"/>
              <w:spacing w:before="0" w:after="283"/>
              <w:jc w:val="left"/>
              <w:rPr/>
            </w:pPr>
            <w:r>
              <w:rPr/>
              <w:t>respect of and on behalf of the company) in respect of a cause of action arising from a directors negligence, default, breach of duty or breach of trust; and (b) a shareholder may bring a claim for a court order where the companys affairs have been or are being conducted in a manner that is unfairly prejudicial to some of its shareholders.</w:t>
            </w:r>
          </w:p>
        </w:tc>
        <w:tc>
          <w:tcPr>
            <w:tcW w:w="121"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  allege with particularity the efforts made by the plaintiff to obtain the action the plaintiff desires from the directors and the reasons for the plaintiffs failure to obtain the action;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  state the reasons for not making the effort.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Additionally, the plaintiff must remain a stockholder through the duration of the derivative suit. The action will not be dismissed or compromised without the approval of the Delaware Court of Chancery.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rom393891_23"/>
      <w:bookmarkEnd w:id="24"/>
      <w:r>
        <w:rPr>
          <w:rFonts w:ascii="Times New Roman" w:hAnsi="Times New Roman"/>
          <w:b/>
          <w:sz w:val="20"/>
        </w:rPr>
        <w:t xml:space="preserve">DESCRIPTION OF AMERICAN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The depositary typically appoints a custodian to safe keep the securities on deposit. In this case, the custodian is Citibank, N.A., London Branch, located at Citigroup Centre, Canada Square, Canary Wharf, London, E14 5LB,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We have appointed Citibank as depositary pursuant to a deposit agreement. A copy of the deposit agreement will be on file with the SEC under cover of a registration statement on Form F-6. You may obtain an electronic copy of the deposit agreement from the SECs website (www.sec.gov).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of the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The manner in which you own the ADSs (e.g., in a brokerage account vs. as registered holder, or as holder of certificated vs. uncertificated ADSs) may affect your rights and obligations, and the manner in which, and the extent to which, the depositarys services are made available to you. </w:t>
      </w:r>
    </w:p>
    <w:p>
      <w:pPr>
        <w:pStyle w:val="TextBody"/>
        <w:bidi w:val="0"/>
        <w:spacing w:before="240" w:after="0"/>
        <w:jc w:val="left"/>
        <w:rPr>
          <w:rFonts w:ascii="Times New Roman" w:hAnsi="Times New Roman"/>
          <w:sz w:val="20"/>
        </w:rPr>
      </w:pPr>
      <w:r>
        <w:rPr>
          <w:rFonts w:ascii="Times New Roman" w:hAnsi="Times New Roman"/>
          <w:sz w:val="20"/>
        </w:rPr>
        <w:t xml:space="preserve">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Cash </w:t>
      </w:r>
    </w:p>
    <w:p>
      <w:pPr>
        <w:pStyle w:val="TextBody"/>
        <w:bidi w:val="0"/>
        <w:spacing w:before="120" w:after="0"/>
        <w:jc w:val="left"/>
        <w:rPr>
          <w:rFonts w:ascii="Times New Roman" w:hAnsi="Times New Roman"/>
          <w:sz w:val="20"/>
        </w:rPr>
      </w:pPr>
      <w:r>
        <w:rPr>
          <w:rFonts w:ascii="Times New Roman" w:hAnsi="Times New Roman"/>
          <w:sz w:val="20"/>
        </w:rPr>
        <w:t xml:space="preserve">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into U.S. dollars will take place only if practicable and if the U.S. dollars are transferable to the U.S. The depositary will apply the same method for distributing the proceeds of the sale of any property (such as undistributed rights) held by the custodian in respect of securities on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 </w:t>
      </w:r>
    </w:p>
    <w:p>
      <w:pPr>
        <w:pStyle w:val="TextBody"/>
        <w:bidi w:val="0"/>
        <w:spacing w:before="240" w:after="0"/>
        <w:jc w:val="left"/>
        <w:rPr>
          <w:rFonts w:ascii="Times New Roman" w:hAnsi="Times New Roman"/>
          <w:sz w:val="20"/>
        </w:rPr>
      </w:pPr>
      <w:r>
        <w:rPr>
          <w:rFonts w:ascii="Times New Roman" w:hAnsi="Times New Roman"/>
          <w:sz w:val="20"/>
        </w:rPr>
        <w:t xml:space="preserve">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Rights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rights to purchase additional ordinary shares, we will give prior notice to the depositary and we will assist the depositary in determining whether it is lawful and reasonably practicable to distribute rights to purchase additional ADSs to holders.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establish procedures to distribute rights to purchase additional ADSs to holders and to enable such holders to exercise such rights if it is lawful and reasonably practicable to make the rights available to holders of ADSs, and if we provide to the depositary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not distribute the rights to you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timely request that the rights be distributed to you or we request that the rights not be distributed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deliver satisfactory documents to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reasonably practicable to distribute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Elective Distributions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a dividend payable at the election of shareholders either in cash or in additional shares, we will give prior notice thereof to the depositary and will indicate whether we wish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elective distribution to be made available to you. In such case, we will assist the depositary in determining whether such distribution is lawful and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the election is not made available to you, you will receive either cash or additional ADSs, depending on what a shareholder in England and Wales would receive upon failing to make an election, as more fully described in the deposit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If it is reasonably practicable to distribute such property to you and if we provide to the depositary all of the documentation contemplated in the deposit agreement, the depositary will distribute the property to the holders in a manner it deems practicable.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will be made net of fees, expenses, taxes and governmental charges payable by holders under the terms of the deposit agreement. In order to pay such taxes and governmental charges, the depositary may sell all or a portion of the property received.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not distribute the property to you and will sell the property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request that the property be distributed to you or if we ask that the property not be distributed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deliver satisfactory documents to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determines that all or a portion of the distribution to you is not reasonably practicable.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proceeds of such a sale will be distributed to holders as in the case of a cash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decide to redeem any of the securities on deposit with the custodian, we will notify the depositary in advance. If it is practicable and if we provide to the depositary all of the documentation contemplated in the deposit agreement, the depositary will provide notice of the redemption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custodian will be instructed to surrender the ordinary shares being redeemed against payment of the applicable redemption price. The depositary will convert the redemption funds received into U.S. dollars, if received in a currency other than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 </w:t>
      </w:r>
    </w:p>
    <w:p>
      <w:pPr>
        <w:pStyle w:val="TextBody"/>
        <w:bidi w:val="0"/>
        <w:spacing w:before="360" w:after="0"/>
        <w:jc w:val="left"/>
        <w:rPr>
          <w:rFonts w:ascii="Times New Roman" w:hAnsi="Times New Roman"/>
          <w:b/>
          <w:sz w:val="20"/>
        </w:rPr>
      </w:pPr>
      <w:r>
        <w:rPr>
          <w:rFonts w:ascii="Times New Roman" w:hAnsi="Times New Roman"/>
          <w:b/>
          <w:sz w:val="20"/>
        </w:rPr>
        <w:t xml:space="preserve">Changes Affecting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ordinary shares held on deposit for your ADSs may change from time to time. For example, there may be a change in nominal or par value, subdivision, cancellation, consolidation or any other reclassification of such ordinary shares or a recapitalization, reorganization, merger, scheme of arrangement, consolidation or sale of assets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ADSs upon Deposit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the ordinary shares being offered pursuant to this prospectus will be deposited by the selling shareholder with the custodian. Upon receipt of confirmation of such deposit, the depositary will issue ADSs to the underwriters named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After the closing of this offering,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U.S. and in England and Wales applicable at the time of deposit.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ADSs may be delayed until the depositary or the custodian receives confirmation that all required approvals have been given and that the ordinary shares have been duly transferred to the custodian. The depositary will only issue ADSs in whole numbers. </w:t>
      </w:r>
    </w:p>
    <w:p>
      <w:pPr>
        <w:pStyle w:val="TextBody"/>
        <w:bidi w:val="0"/>
        <w:spacing w:before="240" w:after="0"/>
        <w:jc w:val="left"/>
        <w:rPr>
          <w:rFonts w:ascii="Times New Roman" w:hAnsi="Times New Roman"/>
          <w:sz w:val="20"/>
        </w:rPr>
      </w:pPr>
      <w:r>
        <w:rPr>
          <w:rFonts w:ascii="Times New Roman" w:hAnsi="Times New Roman"/>
          <w:sz w:val="20"/>
        </w:rPr>
        <w:t xml:space="preserve">When you make a deposit of ordinary shares, you will be responsible for transferring good and valid title to the depositary. As such, you will be deemed to represent and warrant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are duly authorized, validly issued, fully paid, non-assessable and legally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preemptive (and similar) rights, if any, with respect to such ordinary shares have been validly waived or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duly authorized to deposit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presented for deposit are free and clear of any lien, encumbrance, security interest, charge, mortgage or adverse claim, and are not, and the ADSs issuable upon such deposit will not be, restricted securities (as defined in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presented for deposit have not been stripped of any rights or entitlements;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 of shares does not violate any applicable provision of English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representations or warranties are incorrect in any way, we and the depositary may, at your cost and expense, take any and all actions necessary to correct the consequences of the misrepresentations.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Combination and Split Up of ADRs </w:t>
      </w:r>
    </w:p>
    <w:p>
      <w:pPr>
        <w:pStyle w:val="TextBody"/>
        <w:bidi w:val="0"/>
        <w:spacing w:before="120" w:after="0"/>
        <w:jc w:val="left"/>
        <w:rPr>
          <w:rFonts w:ascii="Times New Roman" w:hAnsi="Times New Roman"/>
          <w:sz w:val="20"/>
        </w:rPr>
      </w:pPr>
      <w:r>
        <w:rPr>
          <w:rFonts w:ascii="Times New Roman" w:hAnsi="Times New Roman"/>
          <w:sz w:val="20"/>
        </w:rPr>
        <w:t xml:space="preserve">As an ADR holder, you will be entitled to transfer, combine or split up your ADRs and the ADSs evidenced thereby. For transfers of ADRs, you will have to surrender the ADRs to be transferred to the depositary and also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ensure that the surrendered ADR is properly endorsed or otherwise in proper form for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such proof of identity and genuineness of signatures as the depositary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transfer stamps required by the State of New York or the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all applicable fees, charges, expenses, taxes and other government charges payable by ADR holders pursuant to the terms of the deposit agreement, upon the transfer of ADSs.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have your ADRs either combined or split up, you must surrender the ADRs in question to the depositary with your request to have them combined or split up, and you must pay all applicable fees, charges, expenses, taxes and governmental charges payable by ADR holders, pursuant to the terms of the deposit agreement, upon a combination or split up of ADRs.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Ordinary Shares Upon Cancellation of ADSs </w:t>
      </w:r>
    </w:p>
    <w:p>
      <w:pPr>
        <w:pStyle w:val="TextBody"/>
        <w:bidi w:val="0"/>
        <w:spacing w:before="120" w:after="0"/>
        <w:jc w:val="left"/>
        <w:rPr>
          <w:rFonts w:ascii="Times New Roman" w:hAnsi="Times New Roman"/>
          <w:sz w:val="20"/>
        </w:rPr>
      </w:pPr>
      <w:r>
        <w:rPr>
          <w:rFonts w:ascii="Times New Roman" w:hAnsi="Times New Roman"/>
          <w:sz w:val="20"/>
        </w:rPr>
        <w:t xml:space="preserve">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U.S. and in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bidi w:val="0"/>
        <w:spacing w:before="240" w:after="0"/>
        <w:jc w:val="left"/>
        <w:rPr>
          <w:rFonts w:ascii="Times New Roman" w:hAnsi="Times New Roman"/>
          <w:sz w:val="20"/>
        </w:rPr>
      </w:pPr>
      <w:r>
        <w:rPr>
          <w:rFonts w:ascii="Times New Roman" w:hAnsi="Times New Roman"/>
          <w:sz w:val="20"/>
        </w:rPr>
        <w:t xml:space="preserve">You will have the right to withdraw the securities represented by your ADSs at any time except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temporary delays that may arise because (i) the transfer books for the ordinary shares or ADSs are closed, or (ii) ordinary shares are immobilized on account of a shareholders meeting or a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to pay fees, taxes and similar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imposed because of laws or regulations applicable to ADSs or the withdrawal of securities on deposit;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circumstances specifically contemplated by Section I.A.(l) of the General Instructions to Form F-6 (as such General Instructions may be amended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 agreement may not be modified to impair your right to withdraw the securities represented by your ADSs except to comply with mandatory provisions of law.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our request, the depositary will distribute to you any notice of shareholders meeting received from us together with information explaining how to instruct the depositary to exercise the voting rights of the ordinary shares represented by ADSs. In lieu of distributing such materials, the depositary may distribute to holders of ADSs instructions on how to retrieve such materials upon request.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timely receives voting instructions from a holder of ADSs, it will endeavor to vote (or cause the custodian to vote) the securities (in person or by proxy) represented by the holders ADSs in accordance with the voting instructions received from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for which no voting instructions have been received will not be voted (except as otherwise contemplated in the deposit agreement). If the depositary timely receives voting instructions from a holder of ADSs which fail to specify the manner in which the depositary is to vote the ordinary shares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Charges </w:t>
      </w:r>
    </w:p>
    <w:p>
      <w:pPr>
        <w:pStyle w:val="TextBody"/>
        <w:bidi w:val="0"/>
        <w:spacing w:before="120" w:after="0"/>
        <w:jc w:val="left"/>
        <w:rPr>
          <w:rFonts w:ascii="Times New Roman" w:hAnsi="Times New Roman"/>
          <w:sz w:val="20"/>
        </w:rPr>
      </w:pPr>
      <w:r>
        <w:rPr>
          <w:rFonts w:ascii="Times New Roman" w:hAnsi="Times New Roman"/>
          <w:sz w:val="20"/>
        </w:rPr>
        <w:t xml:space="preserve">As an ADS holder, you will be required to pay the following fees (some of which may be cumulative) under the terms of the deposit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Service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w:t>
            </w:r>
          </w:p>
        </w:tc>
      </w:tr>
      <w:tr>
        <w:trPr/>
        <w:tc>
          <w:tcPr>
            <w:tcW w:w="5205" w:type="dxa"/>
            <w:tcBorders/>
          </w:tcPr>
          <w:p>
            <w:pPr>
              <w:pStyle w:val="TableContents"/>
              <w:bidi w:val="0"/>
              <w:spacing w:before="0" w:after="283"/>
              <w:jc w:val="left"/>
              <w:rPr/>
            </w:pPr>
            <w:r>
              <w:rPr/>
              <w:t>Issuance of ADSs (e.g., an issuance of ADS upon a deposit of ordinary shares or upon a change in the ADS(s)-to-ordinary shares ratio or for any other reason), excluding ADS issuances as a result of distributions of ordinary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$5.00 per 100 ADSs (or fraction thereof) issued.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Cancellation of ADSs (e.g., a cancellation of ADSs for delivery of deposited property or upon a change in the ADS(s)-to-ordinary shares ratio, or for any other reason)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$5.00 per 100 ADSs (or fraction thereof) cancelled.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Distribution of cash dividends or other cash distributions (e.g., upon a sale of rights and other entitlements)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$5.00 per 100 ADSs (or fraction thereof) held.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Distribution of ADSs pursuant to (i) share dividends or other free share distributions, or (ii) an exercise of rights to purchase additional ADSs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$5.00 per 100 ADSs (or fraction thereof) held.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Distribution of financial instruments, including, without limitation, securities, other than ADSs or rights to purchase additional ADSs (e.g., spin-off shares and contingent value rights)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$5.00 per 100 ADSs (or fraction thereof) held.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ADS Services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$5.00 per 100 ADSs (or fraction thereof) held on the applicable record date(s) established by the depositary.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Registration of ADS Transfers (e.g., upon a registration of the transfer of registered ownership of ADSs, upon a transfer of ADSs into DTC and vice versa, or for any other reason)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$5.00 per 100 ADSs (or fraction thereof) transferred.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Conversion of ADSs of one series for ADSs of another series (e.g., upon conversion of Partial Entitlement ADSs for Full Entitlement ADSs, or upon conversion of Restricted ADSs (each as defined in the deposit agreement) into freely transferable ADSs, and vice versa) or conversion of ADSs for unsponsored American Depositary Shares (e.g., upon termination of the deposit 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$5.00 per 100 ADSs (or fraction thereof) converted.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an ADS holder, you will also be responsible to pay certain charges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(including applicable interest and penalties) and other governmental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fees as may from time to time be in effect for the registration of ordinary shares on the register of members and applicable to transfers of ordinary shares to or from the name of the custodian, the depositary or any nominees upon the making of deposits and withdrawals,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cable, telex and facsimile transmission and delivery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expenses, spreads, taxes and other charges of the depositary and/or service providers (which may be a division, branch or affiliate of the depositary) in the conversion of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reasonable and customary out-of-pocket expenses incurred by the depositary in connection with compliance with exchange control regulations and other regulatory requirements applicable to ordinary shares, ADSs and ADRs;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charges, costs and expenses incurred by the depositary, the custodian or any nominee in connection with the servicing of the ADR program.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 </w:t>
      </w:r>
    </w:p>
    <w:p>
      <w:pPr>
        <w:pStyle w:val="TextBody"/>
        <w:bidi w:val="0"/>
        <w:spacing w:before="240" w:after="0"/>
        <w:jc w:val="left"/>
        <w:rPr>
          <w:rFonts w:ascii="Times New Roman" w:hAnsi="Times New Roman"/>
          <w:sz w:val="20"/>
        </w:rPr>
      </w:pPr>
      <w:r>
        <w:rPr>
          <w:rFonts w:ascii="Times New Roman" w:hAnsi="Times New Roman"/>
          <w:sz w:val="20"/>
        </w:rPr>
        <w:t xml:space="preserve">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termination of the deposit agreement, the depositary may, with our consent, and shall, at our instruction, distribute to owners of ADSs the deposited property in a mandatory exchange for, and upon a mandatory cancellation of, the ADSs. The ability to receive the deposited property upon termination of the deposit agreement would be subject, in each case, to receipt by the depositary of (i) confirmation of satisfaction of certain U.S. regulatory requirements and (ii) payment of applicable depositary fees. The depositary will give notice to owners of ADSs at least 30 calendar days before termination of the deposit agreement. Owners of ADSs would be required to surrender ADSs to the depositary for cancellation in exchange for the deposited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Books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maintain in New York facilities to record and process the issuance, cancellation, combination, split-up and transfer of ADSs. These facilities may be closed from time to time, to the extent not prohibited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Transmission of Notices, Reports and Proxy Soliciting Material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limits our obligations and the depositarys obligations to you. Please note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are obligated only to take the actions specifically stated in the deposit agreement without negligence or bad faith.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disclaims any liability for any failure to carry out voting instructions, for any manner in which a vote is cast or for the effect of any vote, provided it acts in good faith and without negligence and in accordance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will not be obligated to perform any act that is inconsistent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disclaim any liability by reason of any exercise of, or failure to exercise, any discretion provided for in the deposit agreement or in the Articles or in any provisions of or governing the securities on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liability for the inability by a holder to benefit from any distribution, offering, right or other benefit that is made available to holders of ordinary shares but is not, under the terms of the deposit agreement, made available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any liability for any action or inaction of any clearing or settlement system (and any participant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may rely without any liability upon any written notice, request or other document believed to be genuine and to have been signed or presented by the proper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liability for any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disclaimer of any Securities Act liability is intended by any provision of the deposit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in the deposit agreement gives rise to a partnership or joint venture, or establishes a fiduciary relationship, among us, the depositary and you as ADS holder. </w:t>
      </w:r>
    </w:p>
    <w:p>
      <w:pPr>
        <w:pStyle w:val="TextBody"/>
        <w:bidi w:val="0"/>
        <w:spacing w:before="240" w:after="0"/>
        <w:jc w:val="left"/>
        <w:rPr>
          <w:rFonts w:ascii="Times New Roman" w:hAnsi="Times New Roman"/>
          <w:sz w:val="20"/>
        </w:rPr>
      </w:pPr>
      <w:r>
        <w:rPr>
          <w:rFonts w:ascii="Times New Roman" w:hAnsi="Times New Roman"/>
          <w:sz w:val="20"/>
        </w:rPr>
        <w:t xml:space="preserve">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 </w:t>
      </w:r>
    </w:p>
    <w:p>
      <w:pPr>
        <w:pStyle w:val="TextBody"/>
        <w:bidi w:val="0"/>
        <w:spacing w:before="240" w:after="0"/>
        <w:jc w:val="left"/>
        <w:rPr>
          <w:rFonts w:ascii="Times New Roman" w:hAnsi="Times New Roman"/>
          <w:i/>
          <w:sz w:val="20"/>
        </w:rPr>
      </w:pPr>
      <w:r>
        <w:rPr>
          <w:rFonts w:ascii="Times New Roman" w:hAnsi="Times New Roman"/>
          <w:i/>
          <w:sz w:val="20"/>
        </w:rPr>
        <w:t xml:space="preserve">As the above limitations relate to our obligations and the depositarys obligations to you under the deposit agreement, we believe that, as a matter of construction of the deposit agreement, such limitations would likely continue to apply to ADS holders who withdraw the ordinary shares from the ADS facility with respect to obligations or liabilities incurred under the deposit agreement before the cancellation of the ADSs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Taxes </w:t>
      </w:r>
    </w:p>
    <w:p>
      <w:pPr>
        <w:pStyle w:val="TextBody"/>
        <w:bidi w:val="0"/>
        <w:spacing w:before="120" w:after="0"/>
        <w:jc w:val="left"/>
        <w:rPr>
          <w:rFonts w:ascii="Times New Roman" w:hAnsi="Times New Roman"/>
          <w:sz w:val="20"/>
        </w:rPr>
      </w:pPr>
      <w:r>
        <w:rPr>
          <w:rFonts w:ascii="Times New Roman" w:hAnsi="Times New Roman"/>
          <w:sz w:val="20"/>
        </w:rPr>
        <w:t xml:space="preserve">You will be responsible for the taxes and other governmental charges payable on the ADSs, ADRs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issue ADSs, to deliver, transfer, split and combine ADRs or to release securities on deposit until all taxes and charges are paid.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the foreign currency to the extent practical and lawful and distribute the U.S. dollars to the holders for whom the conversion and distribution is lawful and practical.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the foreign currency to holders for whom the distribution is lawful and practical.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the foreign currency (without liability for interest) for the applicable 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Governing Law/Waiver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the ADRs and the ADSs will be interpreted in accordance with the laws of the State of New York. The rights of holders of ordinary shares (including ordinary shares represented by ADSs) are governed by the laws of England and Wales. </w:t>
      </w:r>
    </w:p>
    <w:p>
      <w:pPr>
        <w:pStyle w:val="TextBody"/>
        <w:bidi w:val="0"/>
        <w:spacing w:before="240" w:after="0"/>
        <w:jc w:val="left"/>
        <w:rPr>
          <w:rFonts w:ascii="Times New Roman" w:hAnsi="Times New Roman"/>
          <w:sz w:val="20"/>
        </w:rPr>
      </w:pPr>
      <w:r>
        <w:rPr>
          <w:rFonts w:ascii="Times New Roman" w:hAnsi="Times New Roman"/>
          <w:sz w:val="20"/>
        </w:rPr>
        <w:t xml:space="preserve">AS A PARTY TO THE DEPOSIT AGREEMENT, YOU IRREVOCABLY WAIVE, TO THE FULLEST EXTENT PERMITTED BY APPLICABLE LAW, YOUR RIGHT TO TRIAL BY JURY IN ANY LEGAL PROCEEDING ARISING OUT OF THE DEPOSIT AGREEMENT, THE ADRs AND ADSs AGAINST US AND/OR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have applied to list our ADSs on the Nasdaq Global Select Market under the symbol ARM.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rom393891_24"/>
      <w:bookmarkEnd w:id="25"/>
      <w:r>
        <w:rPr>
          <w:rFonts w:ascii="Times New Roman" w:hAnsi="Times New Roman"/>
          <w:b/>
          <w:sz w:val="20"/>
        </w:rPr>
        <w:t xml:space="preserve">ORDINARY SHARES AND ADSs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ordinary shares or ADSs. </w:t>
      </w:r>
    </w:p>
    <w:p>
      <w:pPr>
        <w:pStyle w:val="TextBody"/>
        <w:bidi w:val="0"/>
        <w:spacing w:before="240" w:after="0"/>
        <w:jc w:val="left"/>
        <w:rPr>
          <w:rFonts w:ascii="Times New Roman" w:hAnsi="Times New Roman"/>
          <w:sz w:val="20"/>
        </w:rPr>
      </w:pPr>
      <w:r>
        <w:rPr>
          <w:rFonts w:ascii="Times New Roman" w:hAnsi="Times New Roman"/>
          <w:sz w:val="20"/>
        </w:rPr>
        <w:t xml:space="preserve">Future sales of ordinary shares and ADSs in the public market after this offering, and the availability of ordinary shares and ADSs for future sale, could adversely affect the market price of the ordinary shares and ADSs prevailing from time to time. As described below, a significant number of currently outstanding ordinary shares will not be available for sale shortly after this offering due to contractual restrictions on transfers. There may be sales of substantial amounts of our ADSs in the public market after such restrictions lapse. Sales of substantial amounts of our ADSs, or the perception that these sales could occur, could adversely affect prevailing market prices for our ADSs and could impair our ability to raise equity capital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Based on the number of ordinary shares outstanding as of             , 2023, we will have outstanding an aggregate of                      ordinary shares, including ordinary shares represented by ADSs, following this offering. All of the ADSs to be sold in this offering, including any ADSs sold upon exercise of the underwriters option to purchase additional ADSs, will be freely tradable in the U.S. public market without restriction or further registration under the Securities Act, unless the ADSs are held by any of our affiliates as such term is defined in Rule 144 of the Securities Act, subject, in each case, to the terms of the lock-up agreements referred to below or the resale restrictions provided for in Rule 144 of the Securities Act, as applicable. The number of ADSs available for sale immediately after this offering will be the number sold in this offering less any ADSs held by our directors, officers and the selling shareholder that are subject to lock-up agreements through 180 days after the date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We, our directors and executive officers and the selling shareholder have agreed that, without the prior written consent of any two of the four representatives of the underwriters, we and they will not, subject to certain exceptions, for a period of 180 days after the date of this prospectus, 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our ordinary shares or ADSs. Any two of the four representatives of the underwriters may release the securities subject to any of the lock-up agreements with the underwriters described above, in whole or in part at any time. The exceptions to the lock-up agreement signed by the selling shareholder will include, among other things, any action necessary or appropriate for the purposes of pledging, charging or granting any lien, mortgage or other security interest with respect to the ordinary shares for the benefit of lenders or finance counterparties (as well as any security agent, securities intermediary and/or custodian) (together, the Pledgees) in connection with a bona fide loan (including any margin loan) or other financing transaction provided to the selling shareholder or its affiliates (which includes the New SoftBank Group Facility), and any action to permit the Pledgees to enforce their security interest under such a transaction by selling, transferring, appropriating or otherwise disposing of the pledged securities by the Pledgees; provided that any buyer upon such foreclosure or enforcement will be obligated to sign the lock-up agreement for the remaining term of the lock-up. See Underwriting for detailed descriptions of the lock-up agreements, including the exclusions and exceptions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persons who have beneficially owned restricted ordinary shares for at least six months, and any affiliate of the Company who owns either restricted or unrestricted ordinary shares, are entitled to sell their securities without registration with the SEC under an exemption from registration provided by Rule 144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Affiliates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144, as currently in effect, our affiliates or persons selling shares on behalf of our affiliates are entitled to sell upon expiration of the lock-up agreements described above, within any three-month period,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ordinary shares then outstanding, being represented by ADSs or otherwise, which will equal approximately                      ordinary shares immediately after the closing of this offering based on the number of ordinary shares outstanding as of             , 2023;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trading volume of our ADSs during the four calendar weeks preceding the filing of a notice on Form 144 with respect to that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under Rule 144 by our affiliates or persons selling ordinary shares on behalf of our affiliates also are subject to certain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Rule 701 generally allows a shareholder who was issued our ordinary shares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Moreover, certain Rule 701 shares are subject to lock-up agreements as described above and under the section titled Underwriting and will not become eligible for sale until the expiration of those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with the SEC one or more registration statements on Form S-8 under the Securities Act to register the offer and sale of our ordinary shares and ADSs reserved for issuance under our equity incentive plans. These registration statements will become effective immediately upon filing. ADSs covered by these registration statements will then be eligible for sale in the open market, subject to vesting restrictions, any applicable lock-up agreements described below and Rule 144 limitations applicable to affiliates.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granted SoftBank Group certain customary registration rights pursuant to the Shareholder Governance Agreement. See Related Party TransactionsTransactions with SoftBank GroupShareholder Governance AgreementRegistration Rights. As a result of the registration of the resale of ADSs owned by SoftBank Group, ADSs representing ordinary shares owned by SoftBank Group will become freely tradable without restriction under the Securities Act upon effectiveness of such registration. See Risk FactorsRisks Relating to Our Status as a Controlled Company and Foreign Private IssuerThe future exercise of registration rights by SoftBank Group may adversely affect the market price of the ADSs.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S </w:t>
      </w:r>
    </w:p>
    <w:p>
      <w:pPr>
        <w:pStyle w:val="TextBody"/>
        <w:bidi w:val="0"/>
        <w:spacing w:before="120" w:after="0"/>
        <w:jc w:val="left"/>
        <w:rPr>
          <w:rFonts w:ascii="Times New Roman" w:hAnsi="Times New Roman"/>
          <w:sz w:val="20"/>
        </w:rPr>
      </w:pPr>
      <w:r>
        <w:rPr>
          <w:rFonts w:ascii="Times New Roman" w:hAnsi="Times New Roman"/>
          <w:sz w:val="20"/>
        </w:rPr>
        <w:t xml:space="preserve">Regulation S under the Securities Act (Regulation S) provides that ADSs and ordinary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ADSs and ordinary shares may be sold outside the U.S. without registration in the U.S. being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rom393891_25"/>
      <w:bookmarkEnd w:id="26"/>
      <w:r>
        <w:rPr>
          <w:rFonts w:ascii="Times New Roman" w:hAnsi="Times New Roman"/>
          <w:b/>
          <w:sz w:val="20"/>
        </w:rPr>
        <w:t xml:space="preserve">MATERIAL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U.S. Federal Income Tax Considerations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material U.S. federal income tax consequences to U.S. Holders (as defined below) of owning and disposing of our ordinary shares or ADSs acquired pursuant to this offering. This discussion is not a comprehensive description of all tax considerations that may be relevant to a particular persons decision to acquire our ordinary shares or ADSs. The discussion is based on the Code, administrative pronouncements, judicial decisions, final, temporary and proposed Treasury Regulations and the income tax treaty between the U.K. and the U.S. (the Treaty), all as of the date hereof, changes to any of which may affect the tax consequences described hereinpossibly with retroactive effect. The following discussion is not binding on the IRS or any court. Thus, we cannot provide any assurance that the U.S. federal income tax consequences discussed below will not be challenged by the IRS or will be sustained by a court if challenged by the IRS.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applies only to a U.S. Holder that will hold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and gift tax consequences, alternative minimum tax consequences, special accounting rules under Section 451(b) of the Code, the potential application of the Medicare contribution tax, and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who use a mark-to-market method of tax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ordinary shares or ADSs as part of a hedging transaction, straddle, wash sale, conversion transaction or integrated transaction or persons entering into a constructive sale with respect to ordinary shares or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(including private foundations) or government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ordinary shares or ADSs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10% or more of our shares (by vote or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ordinary shares or ADSs in connection with a trade or business, permanent establishment or fixed base outside the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U.S. Holder is a holder who, for U.S. federal income tax purposes, is a beneficial owner of ordinary shares or ADSs who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If you are considering the purchase of our ADSs or ordinary shares, you should consult your own tax advisors concerning the particular U.S. federal income tax consequences to you of the purchase, ownership and disposition of our ADSs or ordinary shares in light of your own particular circumstances, as well as the consequences to you arising under other U.S. federal, state and local tax laws and the laws of any other taxing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ADSs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below assumes that the representations contained in the deposit agreement are true and that the obligations in the deposit agreement and any related agreement will be complied with in accordance with their terms. Generally, a holder of an ADS is treated for U.S. federal income tax purposes as holding the ordinary shares represented by the ADS. Accordingly, no gain or loss will generally be recognized upon an exchange of ADSs for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Passive Foreign Investment Company Rules, distributions paid on ordinary shares or ADSs, other than certain distributions of ordinary shares or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including conditions relating to holding period and the absence of certain risk reduction transactions, dividends paid to certain non-corporate U.S. Holders may be taxable at preferential rates applicable to qualified dividend income received from a qualified foreign corporation. A non-U.S. corporation will generally be considered a qualified foreign corporation (i) if it is eligible for the benefits of a comprehensive tax treaty with the U.S. which the Secretary of Treasury of the United States determines is satisfactory for purposes of these rules and which includes an exchange of information provision (which includes the Treaty) or (ii) with respect to any dividend it pays on ordinary shares or ADSs which are readily tradable on an established securities market in the U.S. Our ADSs (but not ordinary shares) will be listed on Nasdaq, which is a qualified exchange for these purposes. Consequently, if our ADSs remain listed on Nasdaq and are regularly traded, we expect to be a qualified foreign corporation for purposes of dividends paid by us constituting qualified dividend income. However, the qualified dividend income treatment will not apply if we are treated as a PFIC with respect to the U.S. Holder for our taxable year of the distribution or the preceding taxable year.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actual or 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For foreign tax credit purposes, our dividends will generally be treated as passive category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Ordinary Shares and ADSs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Such gain or loss will generally be U.S.-source gain or loss for foreign tax credit purposes.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If the U.S. Holder is an accrual basis taxpayer that is not eligible to or does not elect to determine the amount realized using the spot rate on the settlement date, the U.S. Holder will recognize foreign currency gain or loss to the extent of any difference between the U.S. dollar amount realized on the date of sale or disposition and the U.S. dollar value of the currency received at the spot rate on the settlement date. Gain or loss, if any, realized by a U.S. Holder on the sale or other disposition of our ordinary shares generally will be treated as U.S. source gain or loss for U.S. foreign tax credit limitation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generally includes dividends, interest, certain gains from the sale or exchange of investment property and certain rents and royalties, and cash and cash-equivalents are generally passive assets for these purposes. In addition, for purposes of the above calculations, a non-U.S. corporation that directly or indirectly owns at least 25% by value of the shares of another corporation is treated as holding and receiving directly its proportionate share of assets and income, respectively, of such other corporation. If we are a PFIC for any taxable year during which a U.S. Holder holds our ordinary shares or ADSs, the U.S. Holder may be subject to adverse tax consequences regardless of whether we continue to qualify as a PFIC, including ineligibility for any preferential tax rates on capital gains or on actual or deemed dividends, interest charges on certain taxes treated as deferred and additional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Based on our analysis of our activities and current estimates (and not fully audited financials) of our income and assets, we believe that we were not a PFIC for our most recently completed taxable year. However, the determination of whether we are a PFIC is a fact-intensive determination made on an annual basis by applying principles and methodologies that in some circumstances are unclear and subject to varying interpretation. For instance, for our current and future taxable years, the total value of our assets for PFIC testing purposes (including goodwill) may be determined in part by reference to the market price of our ordinary shares or ADSs from time to time, which may fluctuate considerably. If our market capitalization declines while we hold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 amount of cash and cash-equivalents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Even if we determine that we are not a PFIC for a taxable year, there can be no assurance that the IRS will agree with our conclusion and that the IRS would not successfully challenge our position. Accordingly, we cannot provide any assurances that we will not be a PFIC for the current or any future taxable year, and our U.S. counsel expresses no opinion with respect to our PFIC status. </w:t>
      </w:r>
    </w:p>
    <w:p>
      <w:pPr>
        <w:pStyle w:val="TextBody"/>
        <w:bidi w:val="0"/>
        <w:spacing w:before="240" w:after="0"/>
        <w:jc w:val="left"/>
        <w:rPr>
          <w:rFonts w:ascii="Times New Roman" w:hAnsi="Times New Roman"/>
          <w:sz w:val="20"/>
        </w:rPr>
      </w:pPr>
      <w:r>
        <w:rPr>
          <w:rFonts w:ascii="Times New Roman" w:hAnsi="Times New Roman"/>
          <w:sz w:val="20"/>
        </w:rPr>
        <w:t xml:space="preserve">If we are classified as a PFIC in any taxable year with respect to which a U.S. Holder owns our ordinary shares or ADSs, we will continue to be treated as a PFIC with respect to such U.S. Holder in all succeeding taxable years during which such U.S. Holder owns our ordinary shares or ADSs, regardless of whether we continue to meet the tests described above, unless we cease to be a PFIC and such U.S. Holder has made a deemed sale election under the PFIC rules. If such a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our ordinary shares or ADSs. U.S. Holders should consult their tax advisors as to the possibility and consequences of making a deemed sale election if we are a PFIC and cease to be a PFIC and such election becomes available. </w:t>
      </w:r>
    </w:p>
    <w:p>
      <w:pPr>
        <w:pStyle w:val="TextBody"/>
        <w:bidi w:val="0"/>
        <w:spacing w:before="240" w:after="0"/>
        <w:jc w:val="left"/>
        <w:rPr>
          <w:rFonts w:ascii="Times New Roman" w:hAnsi="Times New Roman"/>
          <w:sz w:val="20"/>
        </w:rPr>
      </w:pPr>
      <w:r>
        <w:rPr>
          <w:rFonts w:ascii="Times New Roman" w:hAnsi="Times New Roman"/>
          <w:sz w:val="20"/>
        </w:rPr>
        <w:t xml:space="preserve">For each taxable year that we are treated as a PFIC with respect to a U.S. Holder, such U.S. Holder will be subject to special tax rules with respect to any excess distribution such U.S. Holder receives from us and any gain such U.S. Holder recognizes from a sale or other disposition (including a pledge) of our ordinary shares or ADSs, unless (i) such U.S. Holder makes a qualified electing fund election (a QEF Election), as discussed below, with respect to all taxable years during such U.S. Holders holding period in which we are a PFIC or (ii)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distribution or gain will be allocated ratably over a U.S. Holders holding period for the ordinary shares or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current taxable year, and any taxable year prior to the first taxable year in which we became a PFIC, will be treated as ordinary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each other taxable year will be subject to the highest tax rate in effect for that year and the interest charge generally applicable to underpayments of tax will be imposed on the resulting tax attributable to each such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liability for amounts allocated to taxable years prior to the taxable year of disposition or excess distribution cannot be offset by any net operating losses for such years, and gains (but not losses) realized on the sale of the ordinary shares or ADSs cannot be treated as capital gains, even if a U.S. Holder holds the ordinary shares or ADSs as capital assets.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a U.S. Holder will generally be subject to similar rules with respect to distributions we receive from, and our dispositions of the stock of, any of our direct or indirect subsidiaries or any other entities in which we hold equity interests that also are PFICs (lower-tier PFICs) as if such distributions were indirectly received by, and/or dispositions were indirectly carried out by, such U.S. Holder. U.S. Holders should consult their tax advisors regarding the application of the PFIC rules to lower-tier PFICs.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currently expect to provide information that would allow a U.S. Holder to make a QEF Election in the event that we or any of our subsidiaries are classified as a PFIC and, therefore, U.S. Holders should assume such election will not be available if we or any of our subsidiaries are a PFIC. </w:t>
      </w:r>
    </w:p>
    <w:p>
      <w:pPr>
        <w:pStyle w:val="TextBody"/>
        <w:bidi w:val="0"/>
        <w:spacing w:before="240" w:after="0"/>
        <w:jc w:val="left"/>
        <w:rPr>
          <w:rFonts w:ascii="Times New Roman" w:hAnsi="Times New Roman"/>
          <w:sz w:val="20"/>
        </w:rPr>
      </w:pPr>
      <w:r>
        <w:rPr>
          <w:rFonts w:ascii="Times New Roman" w:hAnsi="Times New Roman"/>
          <w:sz w:val="20"/>
        </w:rPr>
        <w:t xml:space="preserve">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one of their principal purposes meeting this requirement will be disregarded. Our ADSs (but not ordinary shares) will be listed on Nasdaq, which is a qualified exchange for these purposes. Consequently, if our ADSs remain listed on Nasdaq and are regularly traded, we expect the mark-to-market election would be available to U.S. Holders of our ADSs if we are a PFIC. Each U.S. Holder should consult its tax advisor as to whether a mark-to-market election is available or advisable with respect to our ordinary shares or ADSs.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U.S.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in any year in which we are a PFIC will be treated as ordinary income, and any losses incurred on a sale or other disposition of the ordinary shares or ADSs will be treated as an ordinary loss to the extent of any net mark-to-market gains for prior years. Once made, the election cannot be revoked without the consent of the IRS unless the ordinary shares or ADSs cease to be marketable stock. </w:t>
      </w:r>
    </w:p>
    <w:p>
      <w:pPr>
        <w:pStyle w:val="TextBody"/>
        <w:bidi w:val="0"/>
        <w:spacing w:before="240" w:after="0"/>
        <w:jc w:val="left"/>
        <w:rPr>
          <w:rFonts w:ascii="Times New Roman" w:hAnsi="Times New Roman"/>
          <w:sz w:val="20"/>
        </w:rPr>
      </w:pPr>
      <w:r>
        <w:rPr>
          <w:rFonts w:ascii="Times New Roman" w:hAnsi="Times New Roman"/>
          <w:sz w:val="20"/>
        </w:rPr>
        <w:t xml:space="preserve">A mark-to-market election generally cannot be made for equity interests in any lower-tier PFICs that we own, unless shares of such lower-tier PFIC are themselves marketable stock.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the U.S. Treasury, each U.S. shareholder of a PFIC is required to file an annual report containing such information as the U.S. Treasury may require. A U.S. Holders failure to file the annual report may result in substantial penalties and extend the statute of limitations with respect to the U.S. Holders U.S. federal income tax return. U.S. Holders should consult their tax advisors regarding the requirements of filing such information returns under these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with Respect to Foreign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who are individuals (and, under U.S. Treasury Regulations, certain entities) may be required to report information relating to our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ordinary shares or ADSs and with respect to their possible obligation to file IRS Forms 926 and/or 8938. </w:t>
      </w:r>
    </w:p>
    <w:p>
      <w:pPr>
        <w:pStyle w:val="TextBody"/>
        <w:bidi w:val="0"/>
        <w:spacing w:before="360" w:after="0"/>
        <w:jc w:val="left"/>
        <w:rPr>
          <w:rFonts w:ascii="Times New Roman" w:hAnsi="Times New Roman"/>
          <w:b/>
          <w:sz w:val="20"/>
        </w:rPr>
      </w:pPr>
      <w:r>
        <w:rPr>
          <w:rFonts w:ascii="Times New Roman" w:hAnsi="Times New Roman"/>
          <w:b/>
          <w:sz w:val="20"/>
        </w:rPr>
        <w:t xml:space="preserve">U.K.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section contains a description of certain U.K. tax consequences of the acquisition, ownership and disposal of ADSs (and/or ADRs) and ordinary shares. It is intended only as a general guide to current U.K. tax law and the published practice of HMRC (which is not a statement of law and which may not be binding on HMRC), applying as at the date of this prospectus (both of which are subject to change at any time, possibly with retrospective effect). It does not constitute legal or tax advice and does not purport to be a complete analysis of all U.K. tax considerations relating to the acquisition, ownership or disposal of ADSs (and/or ADRs) and ordinary shares, or all of the circumstances in which holders of ADSs (and/or ADRs) and ordinary shares may benefit from an exemption or relief from U.K. taxation. It is written on the basis that the Company does not (and will not) directly or indirectly derive 75% or more of its qualifying asset value from U.K. land, and that the Company is and remains solely resident in the U.K. for tax purposes and will therefore be subject to the U.K. tax regime and not the U.S. tax regime except as set out above under U.S. Federal Income Taxation. </w:t>
      </w:r>
    </w:p>
    <w:p>
      <w:pPr>
        <w:pStyle w:val="TextBody"/>
        <w:bidi w:val="0"/>
        <w:spacing w:before="240" w:after="0"/>
        <w:jc w:val="left"/>
        <w:rPr>
          <w:rFonts w:ascii="Times New Roman" w:hAnsi="Times New Roman"/>
          <w:sz w:val="20"/>
        </w:rPr>
      </w:pPr>
      <w:r>
        <w:rPr>
          <w:rFonts w:ascii="Times New Roman" w:hAnsi="Times New Roman"/>
          <w:sz w:val="20"/>
        </w:rPr>
        <w:t xml:space="preserve">This section does not cover: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chargeable gains position if you are resident in the U.K. for U.K. tax purposes, you are an individual and hold the ADSs and/or ADRs for the purposes of a trade, profession or vocation that you carry on in the U.K. through a branch or agency, or you are a corporation and hold the ADSs and/or ADRs for the purposes of a trade carried on in the U.K. through a permanent establishment in the U.K.;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inheritance tax position if you are domiciled in the U.K. for inheritance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section below may not relate to certain classes of persons, such as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connected with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charities or 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collective investment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makers, intermediaries, brokers or dealers in securities or persons who hold ADSs and/or ADRs otherwise than as an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(or are deemed to have) acquired their ADSs and/or ADRs by virtue of an office or employment or who are or have been officers or employees of the Company or any of its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who are subject to U.K. taxation on a remittance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published HMRC guidance, we would expect that HMRC will regard a holder of ADSs as holding the beneficial interest in the underlying shares and therefore these paragraphs assume that a holder of ADSs and/or ADRs is the beneficial owner of the underlying ordinary shares and any dividends paid in respect of the underlying ordinary shares (where the dividends are regarded for U.K. purposes as that persons own income) for U.K. direct tax purposes. </w:t>
      </w:r>
    </w:p>
    <w:p>
      <w:pPr>
        <w:pStyle w:val="TextBody"/>
        <w:bidi w:val="0"/>
        <w:spacing w:before="240" w:after="0"/>
        <w:jc w:val="left"/>
        <w:rPr>
          <w:rFonts w:ascii="Times New Roman" w:hAnsi="Times New Roman"/>
          <w:b/>
          <w:sz w:val="20"/>
        </w:rPr>
      </w:pPr>
      <w:r>
        <w:rPr>
          <w:rFonts w:ascii="Times New Roman" w:hAnsi="Times New Roman"/>
          <w:b/>
          <w:sz w:val="20"/>
        </w:rPr>
        <w:t xml:space="preserve">THESE PARAGRAPHS ARE A SUMMARY OF CERTAIN U.K. TAX CONSIDERATIONS AND ARE INTENDED AS A GENERAL GUIDE ONLY. IT IS RECOMMENDED THAT ALL HOLDERS OF ADSs AND/OR ADRs OBTAIN ADVICE AS TO THE CONSEQUENCES OF THE ACQUISITION, OWNERSHIP AND DISPOSAL OF THE ADSs AND/OR ADRs IN THEIR OWN SPECIFIC CIRCUMSTANCES FROM THEIR OWN TAX ADVISORS. IN PARTICULAR, NON-U.K. RESIDENT OR DOMICILED PERSONS ARE ADVISED TO CONSIDER THE POTENTIAL IMPACT OF ANY RELEVANT DOUBLE TAXATION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Dividends </w:t>
      </w:r>
    </w:p>
    <w:p>
      <w:pPr>
        <w:pStyle w:val="TextBody"/>
        <w:bidi w:val="0"/>
        <w:spacing w:before="120" w:after="0"/>
        <w:jc w:val="left"/>
        <w:rPr>
          <w:rFonts w:ascii="Times New Roman" w:hAnsi="Times New Roman"/>
          <w:sz w:val="20"/>
        </w:rPr>
      </w:pPr>
      <w:r>
        <w:rPr>
          <w:rFonts w:ascii="Times New Roman" w:hAnsi="Times New Roman"/>
          <w:sz w:val="20"/>
        </w:rPr>
        <w:t xml:space="preserve">Dividends paid by the Company in respect of our ordinary shares will not be subject to any withholding or deduction at source for or on account of U.K.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Chargeable Gains </w:t>
      </w:r>
    </w:p>
    <w:p>
      <w:pPr>
        <w:pStyle w:val="TextBody"/>
        <w:bidi w:val="0"/>
        <w:spacing w:before="120" w:after="0"/>
        <w:jc w:val="left"/>
        <w:rPr>
          <w:rFonts w:ascii="Times New Roman" w:hAnsi="Times New Roman"/>
          <w:sz w:val="20"/>
        </w:rPr>
      </w:pPr>
      <w:r>
        <w:rPr>
          <w:rFonts w:ascii="Times New Roman" w:hAnsi="Times New Roman"/>
          <w:sz w:val="20"/>
        </w:rPr>
        <w:t xml:space="preserve">A holder of ADSs and/or ADRs which is not resident for tax purposes in the U.K. should not normally be liable to U.K. capital gains tax or corporation tax on chargeable gains on a disposal (or deemed disposal) of ADSs and/or ADRs unless the person is carrying on (whether solely or in partnership) a trade, profession or vocation in the U.K. through a branch or agency (or, in the case of a corporate holder of ADSs and/or ADRs, through a permanent establishment) to which the ADSs and/or ADRs are attributable. However, an individual holder of ADSs and/or ADRs who has ceased to be resident for tax purposes in the U.K. for a period of less than five years and who disposes of ADSs and/or ADRs during that period may be liable on his or her return to the U.K. to U.K. tax on any capital gain realized (subject to any available exemption or relief). </w:t>
      </w:r>
    </w:p>
    <w:p>
      <w:pPr>
        <w:pStyle w:val="TextBody"/>
        <w:bidi w:val="0"/>
        <w:spacing w:before="360" w:after="0"/>
        <w:jc w:val="left"/>
        <w:rPr>
          <w:rFonts w:ascii="Times New Roman" w:hAnsi="Times New Roman"/>
          <w:b/>
          <w:i/>
          <w:sz w:val="20"/>
        </w:rPr>
      </w:pPr>
      <w:r>
        <w:rPr>
          <w:rFonts w:ascii="Times New Roman" w:hAnsi="Times New Roman"/>
          <w:b/>
          <w:i/>
          <w:sz w:val="20"/>
        </w:rPr>
        <w:t xml:space="preserve">Inheritance Tax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provisions relating to trusts or settlements, an ADS and/or ADR held by an individual shareholder who is domiciled in the U.S. for the purposes of the convention between the U.S. and the U.K. relating to estate and gift taxes (the Convention) and who is neither domiciled in the U.K. nor (where certain conditions are met) a U.K. national (as defined in the Convention), will generally not be subject to U.K. inheritance tax on the individuals death (whether held on the date of death or gifted during the individuals lifetime) except where the ADS and/or ADR is part of the business property of a U.K. permanent establishment of the individual or pertains to a U.K. fixed base of an individual who performs independent personal services. In a case where an ADS and/or ADR is subject both to U.K. inheritance tax and to U.S. federal gift or estate tax, the Convention generally provides for inheritance tax paid in the U.K. to be credited against federal gift or estate tax payable in the U.S., or for federal gift or estate tax paid in the U.S. to be credited against any inheritance tax payable in the U.K., based on priority rules set forth in the Convention.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Stamp Duty and Stamp Duty Reserve Tax </w:t>
      </w:r>
    </w:p>
    <w:p>
      <w:pPr>
        <w:pStyle w:val="TextBody"/>
        <w:bidi w:val="0"/>
        <w:spacing w:before="120" w:after="0"/>
        <w:jc w:val="left"/>
        <w:rPr>
          <w:rFonts w:ascii="Times New Roman" w:hAnsi="Times New Roman"/>
          <w:i/>
          <w:sz w:val="20"/>
        </w:rPr>
      </w:pPr>
      <w:r>
        <w:rPr>
          <w:rFonts w:ascii="Times New Roman" w:hAnsi="Times New Roman"/>
          <w:i/>
          <w:sz w:val="20"/>
        </w:rPr>
        <w:t xml:space="preserve">The discussion below is intended as a general and non-exhaustive guide to the current U.K. stamp duty and SDRT position and applies to the holders and acquirers of ADSs and/or ADRs (representing our ordinary shares) wherever resident; however, it should be noted that special rules may apply to certain persons such as market makers, brokers, dealers or intermediaries, and persons connected with clearance services and depositary receipt systems. Such persons may not be liable to U.K. stamp duty or SDRT or may be so liable at a higher rate. Furthermore, such persons may, although not primarily liable for the tax, be required to notify and account for it under the Stamp Duty Reserve Tax Regulations 1986.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Acquisitions and Subsequent Transfers of ADSs and/or ADRs </w:t>
      </w:r>
    </w:p>
    <w:p>
      <w:pPr>
        <w:pStyle w:val="TextBody"/>
        <w:bidi w:val="0"/>
        <w:spacing w:before="120" w:after="0"/>
        <w:jc w:val="left"/>
        <w:rPr>
          <w:rFonts w:ascii="Times New Roman" w:hAnsi="Times New Roman"/>
          <w:sz w:val="20"/>
        </w:rPr>
      </w:pPr>
      <w:r>
        <w:rPr>
          <w:rFonts w:ascii="Times New Roman" w:hAnsi="Times New Roman"/>
          <w:sz w:val="20"/>
        </w:rPr>
        <w:t xml:space="preserve">Based on HMRCs published practice, no U.K. stamp duty will be payable on the acquisition or transfer of ADSs and/or ADRs. Furthermore, an agreement to transfer ADSs and/or ADRs will not give rise to a liability to SDRT. </w:t>
      </w:r>
    </w:p>
    <w:p>
      <w:pPr>
        <w:pStyle w:val="TextBody"/>
        <w:bidi w:val="0"/>
        <w:spacing w:before="360" w:after="0"/>
        <w:jc w:val="left"/>
        <w:rPr>
          <w:rFonts w:ascii="Times New Roman" w:hAnsi="Times New Roman"/>
          <w:i/>
          <w:sz w:val="20"/>
        </w:rPr>
      </w:pPr>
      <w:r>
        <w:rPr>
          <w:rFonts w:ascii="Times New Roman" w:hAnsi="Times New Roman"/>
          <w:i/>
          <w:sz w:val="20"/>
        </w:rPr>
        <w:t xml:space="preserve">Withdrawals and Subsequent Transfers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 transfer of ordinary shares (as opposed to ADSs and/or ADRs) will generally be subject to U.K. stamp duty (if the ordinary shares are held in certificated form) or SDRT (if the ordinary shares are held in uncertificated form), in either case at the rate of 0.5% (or potentially 1.5% in certain circumstances) of the amount or value of the consideration paid for the ordinary shares (for example in respect of transfer of ordinary shares or a redeposit of ordinary shares into the ADR program). </w:t>
      </w:r>
    </w:p>
    <w:p>
      <w:pPr>
        <w:pStyle w:val="TextBody"/>
        <w:bidi w:val="0"/>
        <w:spacing w:before="240" w:after="0"/>
        <w:jc w:val="left"/>
        <w:rPr>
          <w:rFonts w:ascii="Times New Roman" w:hAnsi="Times New Roman"/>
          <w:sz w:val="20"/>
        </w:rPr>
      </w:pPr>
      <w:r>
        <w:rPr>
          <w:rFonts w:ascii="Times New Roman" w:hAnsi="Times New Roman"/>
          <w:sz w:val="20"/>
        </w:rPr>
        <w:t xml:space="preserve">Further, SDRT will generally be payable on an unconditional agreement to transfer ordinary shares in certificated form at 0.5% (or potentially 1.5% in certain circumstances) of the amount or value of the consideration for the transfer, but is repayable if, within six years of the date of the agreement, an instrument transferring the ordinary shares is executed. </w:t>
      </w:r>
    </w:p>
    <w:p>
      <w:pPr>
        <w:pStyle w:val="TextBody"/>
        <w:bidi w:val="0"/>
        <w:spacing w:before="240" w:after="0"/>
        <w:jc w:val="left"/>
        <w:rPr>
          <w:rFonts w:ascii="Times New Roman" w:hAnsi="Times New Roman"/>
          <w:sz w:val="20"/>
        </w:rPr>
      </w:pPr>
      <w:r>
        <w:rPr>
          <w:rFonts w:ascii="Times New Roman" w:hAnsi="Times New Roman"/>
          <w:sz w:val="20"/>
        </w:rPr>
        <w:t xml:space="preserve">Therefore, you are strongly encouraged to hold your ADSs (representing ordinary shares) in book-entry form through the facilities of the Depositary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rom393891_26"/>
      <w:bookmarkEnd w:id="27"/>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 is offering the ADSs described in this prospectus through a number of underwriters. Barclays Capital Inc., Goldman Sachs &amp; Co. LLC, J.P. Morgan Securities LLC and Mizuho Securities USA LLC are acting as joint book-running managers of the offering and as representatives of the underwriters. We and the selling shareholder have entered into an underwriting agreement with the underwriters. Subject to the terms and conditions of the underwriting agreement, the selling shareholder has agreed to sell to the underwriters, and each underwriter has severally agreed to purchase, at the public offering price less the underwriting discounts and commissions set forth on the cover page of this prospectus, the number of ADSs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66"/>
        <w:gridCol w:w="731"/>
        <w:gridCol w:w="136"/>
        <w:gridCol w:w="1643"/>
        <w:gridCol w:w="63"/>
      </w:tblGrid>
      <w:tr>
        <w:trPr/>
        <w:tc>
          <w:tcPr>
            <w:tcW w:w="4366" w:type="dxa"/>
            <w:tcBorders/>
            <w:vAlign w:val="center"/>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731" w:type="dxa"/>
            <w:tcBorders/>
            <w:vAlign w:val="bottom"/>
          </w:tcPr>
          <w:p>
            <w:pPr>
              <w:pStyle w:val="TableContents"/>
              <w:bidi w:val="0"/>
              <w:spacing w:before="0" w:after="283"/>
              <w:jc w:val="left"/>
              <w:rPr/>
            </w:pPr>
            <w:r>
              <w:rPr/>
              <w:t>  </w:t>
            </w:r>
          </w:p>
        </w:tc>
        <w:tc>
          <w:tcPr>
            <w:tcW w:w="1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ADSs</w:t>
            </w:r>
          </w:p>
        </w:tc>
        <w:tc>
          <w:tcPr>
            <w:tcW w:w="63" w:type="dxa"/>
            <w:tcBorders/>
            <w:vAlign w:val="bottom"/>
          </w:tcPr>
          <w:p>
            <w:pPr>
              <w:pStyle w:val="TableContents"/>
              <w:bidi w:val="0"/>
              <w:spacing w:before="0" w:after="283"/>
              <w:jc w:val="left"/>
              <w:rPr/>
            </w:pPr>
            <w:r>
              <w:rPr/>
              <w:t> </w:t>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Deutsche Bank Securities Inc.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20"/>
              <w:jc w:val="left"/>
              <w:rPr>
                <w:rFonts w:ascii="Times New Roman" w:hAnsi="Times New Roman"/>
                <w:sz w:val="20"/>
              </w:rPr>
            </w:pPr>
            <w:r>
              <w:rPr>
                <w:rFonts w:ascii="Times New Roman" w:hAnsi="Times New Roman"/>
                <w:sz w:val="20"/>
              </w:rPr>
              <w:t>Jefferies LLC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BNP Paribas Securities Corp.</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Daiwa Capital Markets America Inc.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Intesa Sanpaolo S.p.A.</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Independence Point Securities LLC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Rosenblatt Securities Inc.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Cowen and Company, LLC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Nomura Securities International, Inc.</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 Securities, LLC</w:t>
            </w:r>
          </w:p>
        </w:tc>
        <w:tc>
          <w:tcPr>
            <w:tcW w:w="73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66" w:type="dxa"/>
            <w:tcBorders/>
            <w:vAlign w:val="bottom"/>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366" w:type="dxa"/>
            <w:tcBorders/>
            <w:vAlign w:val="bottom"/>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of the ADSs offered by the selling shareholder if they purchase any ADSs. However, the underwriters are not required to purchase the ADSs covered by the underwriters option to purchase additional ADSs described below. The underwriting agreement also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if an underwriter defaults, the purchase commitments of non-defaulting underwriters may also be increased or the offering may be terminated. To the extent any underwriter that is not a U.S. registered broker-dealer intends to effect any offers or sales of any securities in the United States, it will do so through one or more U.S. registered broker-dealers in accordance with the applicable U.S. securities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shareholder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ADSs directly to the public at the initial public offering price set forth on the cover page of this prospectus and to certain dealers at that price less a concession not in excess of $         per ADS. Any such dealers may resell ADSs to certain other brokers or dealers at a discount of up to $         per ADS from the initial public offering price. After the initial offering of the ADSs to the public, if all of the ADSs are not sold at the initial public offering price, the underwriters may change the offering price and the other selling terms. Sales of any ADSs made outside of the U.S. may be made by affiliates of the underwriters. The underwriters may offer and sell the ADSs to the public through one or more of their respective affiliates or other registered broker-dealers or selling agents.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additional ADSs from the selling shareholder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ADS less the amount paid by the underwriters to the selling shareholder per ADS. The underwriting fee is $             per ADS. The following table shows the per ADS and total underwriting discounts and commissions to be paid to the underwriters assuming both no exercise and full exercise of the underwriters option to purchase additional ADSs.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73"/>
        <w:gridCol w:w="429"/>
        <w:gridCol w:w="162"/>
        <w:gridCol w:w="980"/>
        <w:gridCol w:w="60"/>
        <w:gridCol w:w="429"/>
        <w:gridCol w:w="162"/>
        <w:gridCol w:w="980"/>
        <w:gridCol w:w="64"/>
      </w:tblGrid>
      <w:tr>
        <w:trPr/>
        <w:tc>
          <w:tcPr>
            <w:tcW w:w="3673"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73"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exercise of</w:t>
              <w:br/>
              <w:t>option to</w:t>
              <w:br/>
              <w:t>purchase</w:t>
              <w:br/>
              <w:t>additional</w:t>
              <w:br/>
              <w:t>ADSs</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w:t>
              <w:br/>
              <w:t>exercise of</w:t>
              <w:br/>
              <w:t>option to</w:t>
              <w:br/>
              <w:t>purchase</w:t>
              <w:br/>
              <w:t>additional</w:t>
              <w:br/>
              <w:t>ADSs</w:t>
            </w:r>
          </w:p>
        </w:tc>
        <w:tc>
          <w:tcPr>
            <w:tcW w:w="64"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ADS</w:t>
            </w:r>
          </w:p>
        </w:tc>
        <w:tc>
          <w:tcPr>
            <w:tcW w:w="42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payable by us, including registration, filing and listing fees, printing fees and legal and accounting expenses, but excluding the underwriting discounts and commissions, will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reimburse the underwriters for expenses relating to clearance of this offering with FINRA for up to $50,000.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for a period of 180 days after the date of this prospectus (the Lock-Up Period) we will not (1) offer, pledge, sell, contract to sell, sell any option or contract to purchase, purchase any option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contract to sell, grant any option, right or warrant to purchase, lend, or otherwise transfer or dispose of, directly or indirectly, or submit to, or file with, the SEC a registration statement under the Securities Act relating to, ordinary shares or ADSs or any securities convertible into or exercisable or exchangeable for ordinary shares or ADSs, or publicly disclose the intention to undertake any of the foregoing, or (2) enter into any swap or other agreement that transfers, in whole or in part, any of the economic consequences of ownership of the ordinary shares or ADSs or any such other securities, whether any such transaction described in clause (1) or (2) above is to be settled by delivery of ordinary shares or ADSs or such other securities, in cash or otherwise, without the prior written consent of any two of the four representatives of the underwriters, other than the ADSs to be sold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paragraph above relating to the Company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ordinary shares or securities convertible into or exercisable for ordinary shares pursuant to the conversion or exchange of convertible or exchangeable securities or the exercise of warrants or options (including net exercise) or the settlement of RSUs (including net settlement), in each case outstanding on the date of this prospectus and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grants of stock options, stock awards, restricted stock, RSUs, or other equity awards and the issuance of ordinary shares or securities convertible into or exercisable or exchangeable for ordinary shares (whether upon the exercise of stock options or otherwise) to the Companys employees, officers, directors, advisors, or consultants pursuant to the terms of any equity compensation plan described herein, provided that such recipients either enter into a lock-up agreement with the underwriters or are otherwise bound by a lock-up or similar provision under such equity compensation plan for the duration of the Lock-Up Period that the Company will not release or otherwise waive during the Lock-Up Period without the prior written consent of any two of the four representatives of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up to 10% of the ordinary shares, or securities convertible into, exercisable for, or which are otherwise exchangeable for, ordinary shares, outstanding immediately following the completion of this offering, in acquisitions or other similar strategic transactions, provided that such recipients enter into a lock-up agreement with the underwriters covering the remainder of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any registration statement on Form S-8 relating to securities granted or to be granted pursuant to any plan described herein or any assumed benefit plan pursuant to an acquisition or similar strategic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facilitating the establishment of a trading plan on behalf of a shareholder, officer, employee or director of the Company pursuant to Rule 10b5-1 under the Exchange Act for the transfer of ordinary shares, or securities convertible into, exercisable for or which are otherwise exchangeable for ordinary shares, provided that (i) such trading plan does not provide for the transfer of ordinary shares, or securities convertible into, exercisable for or which are otherwise exchangeable for ordinary shares during the Lock-Up Period and (ii) to the extent a public announcement under the Exchange Act, if any, is required of or voluntarily made by the Company regarding the establishment of such trading plan, such announcement or filing shall include a statement to the effect that no transfer of ordinary shares, or securities convertible into, exercisable for or which are otherwise exchangeable for ordinary shares may be made under such plan during the Lock-Up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and the selling shareholder (such persons, the lock-up parties) have entered into lock-up agreements with the representatives of the underwriters prior to the commencement of this offering pursuant to which each lock-up party, for the duration of the Lock-up Period, may not (and may not cause any of their direct or indirect affiliates to), without the prior written consent of any two of the four representatives of the underwriters, (1) offer, pledge, sell, contract to sell, sell any option or contract to purchase, purchase any option or contract to sell, grant any option, right or warrant to purchase, lend, or otherwise transfer or dispose of, directly or indirectly, any ADSs or ordinary shares (Equity Securities) or any securities convertible into or exercisable or exchangeable for Equity Securities (including without, limitation,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or such other securities which may be deemed to be beneficially owned by the lock-up party in accordance with the rules and regulations of the SEC (collectively,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except for in the case of the selling shareholder, make any demand for, or exercise any right with respect to, the registration of any Lock-Up Securities, or (4) publicly disclose the intention to do any of the foregoing. Each lock-up party has further acknowledged that the foregoing precludes the lock-up party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For the avoidance of doubt, nothing contained in any of the lock-up agreements will be construed to prohibit the relevant lock-up party from causing any direct or indirect affiliate thereof to take any action permitted under any lock-up letter such affiliate has delivered to the representatives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paragraph above relating to our directors and executive officers and the selling shareholder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the lock-up partys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1"/>
        <w:gridCol w:w="8268"/>
      </w:tblGrid>
      <w:tr>
        <w:trPr/>
        <w:tc>
          <w:tcPr>
            <w:tcW w:w="132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bona fide gift or gifts, charitable contribution or contributions or for bona fide estate planning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0"/>
        <w:gridCol w:w="8269"/>
      </w:tblGrid>
      <w:tr>
        <w:trPr/>
        <w:tc>
          <w:tcPr>
            <w:tcW w:w="1326"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(ii)</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other testamentary document or intestate succession,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2"/>
        <w:gridCol w:w="8268"/>
      </w:tblGrid>
      <w:tr>
        <w:trPr/>
        <w:tc>
          <w:tcPr>
            <w:tcW w:w="132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member or members of the lock-up partys immediate family or to any trust or limited family partnership for the direct or indirect benefit of the lock-up party or the immediate family of the lock-up party, or if the lock-up party is a trust, to a trustor or beneficiary of the trust or to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2"/>
        <w:gridCol w:w="8268"/>
      </w:tblGrid>
      <w:tr>
        <w:trPr/>
        <w:tc>
          <w:tcPr>
            <w:tcW w:w="132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such as pursuant to a qualified domestic order, divorce settlement, divorce decree, separation agreement or other final order of a court or regulatory agency, or to comply with any regulations related to the lock-up partys ownership of the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0"/>
        <w:gridCol w:w="8270"/>
      </w:tblGrid>
      <w:tr>
        <w:trPr/>
        <w:tc>
          <w:tcPr>
            <w:tcW w:w="1325"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(v)</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partnership, limited liability company or other entity of which the lock-up party and the immediate family of the lock-up party are the legal and beneficial owner of all of the outstanding equity securities or similar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2"/>
        <w:gridCol w:w="8268"/>
      </w:tblGrid>
      <w:tr>
        <w:trPr/>
        <w:tc>
          <w:tcPr>
            <w:tcW w:w="132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nominee or custodian of a person or entity to whom a disposition or transfer would be permissible under clauses (i) through (v)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2"/>
        <w:gridCol w:w="8267"/>
      </w:tblGrid>
      <w:tr>
        <w:trPr/>
        <w:tc>
          <w:tcPr>
            <w:tcW w:w="132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(vii)</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any direct or indirect members, partners or stockholder of the lock-up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2"/>
        <w:gridCol w:w="8268"/>
      </w:tblGrid>
      <w:tr>
        <w:trPr/>
        <w:tc>
          <w:tcPr>
            <w:tcW w:w="132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(viii)</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pursuant to any contractual arrangement that provides for the forfeiture of the lock-up partys securities in connection with death or disability, or the termination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936"/>
        <w:gridCol w:w="8269"/>
      </w:tblGrid>
      <w:tr>
        <w:trPr/>
        <w:tc>
          <w:tcPr>
            <w:tcW w:w="1936" w:type="dxa"/>
            <w:tcBorders/>
            <w:vAlign w:val="center"/>
          </w:tcPr>
          <w:p>
            <w:pPr>
              <w:pStyle w:val="TableContents"/>
              <w:bidi w:val="0"/>
              <w:spacing w:before="0" w:after="283"/>
              <w:jc w:val="left"/>
              <w:rPr/>
            </w:pPr>
            <w:r>
              <w:rPr/>
              <w:t> </w:t>
            </w:r>
          </w:p>
        </w:tc>
        <w:tc>
          <w:tcPr>
            <w:tcW w:w="8269" w:type="dxa"/>
            <w:tcBorders/>
          </w:tcPr>
          <w:p>
            <w:pPr>
              <w:pStyle w:val="TableContents"/>
              <w:bidi w:val="0"/>
              <w:spacing w:before="0" w:after="283"/>
              <w:jc w:val="left"/>
              <w:rPr/>
            </w:pPr>
            <w:r>
              <w:rPr/>
              <w:t xml:space="preserve">lock-up partys employment or other service relationship with the Company or an affiliated entity, or the lock-up partys failure to meet certain conditions set out upon receipt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2"/>
        <w:gridCol w:w="8268"/>
      </w:tblGrid>
      <w:tr>
        <w:trPr/>
        <w:tc>
          <w:tcPr>
            <w:tcW w:w="132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(ix)</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part of transactions relating to the lock-up partys Lock-Up Securities acquired (A) from the underwriters in this offering (except, in the case of officers or directors, for any issuer-directed ADSs) or (B) in open market transactions after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2"/>
        <w:gridCol w:w="8268"/>
      </w:tblGrid>
      <w:tr>
        <w:trPr/>
        <w:tc>
          <w:tcPr>
            <w:tcW w:w="132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(x)</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connection with the vesting, settlement, or exercise of RSUs, options, warrants or other rights to purchase shares of Equity Securities (including, in each case, by way of net or cashless exercise), including for the payment of exercise price and tax and remittance payments due as a result of the vesting, settlement, or exercise of such RSUs, options, warrants or rights, provided that any such Equity Securities received upon such exercise, vesting or settlement shall be subject to the terms of the lock-up agreement, and provided further that any such RSUs, options, warrants or rights are held by the lock-up party pursuant to an agreement or equity awards granted under a stock incentive plan or other equity award plan, each such agreement or plan which is described in this prospectus, the registration statement of which this prospectus forms a part, and the Pricing Disclosure Package (as defined in the underwriting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0"/>
        <w:gridCol w:w="8269"/>
      </w:tblGrid>
      <w:tr>
        <w:trPr/>
        <w:tc>
          <w:tcPr>
            <w:tcW w:w="1326"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(xi)</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bona fide third-party tender offer, merger, consolidation or other similar transaction that is approved by the Board of Directors of the Company and made to all holders of the Companys share capital involving a change of control; provided that in the event that such tender offer, merger, consolidation or other similar transaction is not completed, the lock-up partys Lock-Up Securities shall remain subject to the provisions of the lock-up agreement;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with respect to the immediately preceding paragraph,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2"/>
        <w:gridCol w:w="8267"/>
      </w:tblGrid>
      <w:tr>
        <w:trPr/>
        <w:tc>
          <w:tcPr>
            <w:tcW w:w="132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transfer or distribution pursuant to paragraph (a)(i), (ii), (iii), (v) and (vi), such transfer shall not involve a disposition for value and, in each such case and in the case of any transfer or distribution pursuant to clause (a)(iv) and (vii), each donee, devisee, transferee or distributee shall execute and deliver a lock-up agreement, unless such donee, devisee, transferee or distributee has already signed and delivered a lock-up agreement to the representatives of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2"/>
        <w:gridCol w:w="8267"/>
      </w:tblGrid>
      <w:tr>
        <w:trPr/>
        <w:tc>
          <w:tcPr>
            <w:tcW w:w="132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transfer or distribution pursuant to paragraph (a) (i), (ii), (iii), (v) and (vi), no filing by any party (donor, donee, devisee, transferor, transferee, distributer or distributee) under the Exchange Act, or other public announcement shall be required or shall be made voluntarily in connection with such transfer or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2"/>
        <w:gridCol w:w="8267"/>
      </w:tblGrid>
      <w:tr>
        <w:trPr/>
        <w:tc>
          <w:tcPr>
            <w:tcW w:w="132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transfer or distribution pursuant to paragraph (a)(iv), (vii), (viii), (ix) and (x), it shall be a condition to such transfer that no public filing, report or announcement not otherwise required under applicable law shall be voluntarily made and if any filing under the equivalent of Section 16(a) of the Exchange Act in non-U.S. jurisdictions, or other public filing, report or announcement reporting a reduction in beneficial ownership of shares of Equity Securities in connection with such transfer or distribution shall be legally required during the Lock-Up Period, such filing, report or announcement shall clearly indicate in the footnotes thereto or otherwise the nature and conditions of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of outstanding options, settlement of RSUs or other equity awards or exercise of warrants pursuant to plans described in this prospectus, the registration statement of which this prospectus forms a part, and the Pricing Disclosure Package (as defined in the underwriting agreement); provided that any Lock-Up Securities received upon such exercise, vesting or settlement shall be subject to the terms of the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of outstanding preferred stock, warrants to acquire preferred stock or convertible securities into Equity Securities or warrants to acquire Equity Securities; provided that any such Equity Securities or warrants received upon such conversion shall be subject to the terms of the lock-up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establishment of trading plans pursuant to Rule 10b5-1 under the Exchange Act for the transfer of Lock-Up Securities; provided that (1) such plans do not provide for the transfer of Lock-Up Securities during the Lock-Up Period and (2) no filing by any party under the Exchange Act (or the equivalent thereof in non-U.S. jurisdictions) or other public announcement shall be required or made voluntarily in connection with such trading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with respect to the selling shareholder only, the restrictions in the lock-up agreement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the Equity Securities to be sold pursuant to the terms of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actions that are necessary or appropriate for the purposes of pledging, charging or granting any lien, mortgage or other security interest (the Pledge) in respect of any of the lock-up partys Lock-Up Securities to or for the benefit of lenders or finance counterparties (as well as any security agent, securities intermediary and/or custodian) (collectively, the Pledgees) in connection with a bona fide loan (including any margin loan) or other financing transaction provided to the selling shareholder and/or its affiliates (a Financing Transaction); provided that the terms of such Pledge require that, to the extent the Pledgees enforce their security interest during the term of the Lock-Up Period by way of sale, transfer, appropriation or other disposition, each purchaser or transferee (the Purchaser) shall execute and deliver to the representatives of the underwriters (prior to or substantially contemporaneously with such sale, transfer, appropriation or other disposition) a lock-up agreement in respect of the remainder of the Lock-Up Period (which, for the avoidance of doubt, shall contain exceptions substantially similar to the exceptions contained in paragraphs (b) and (c));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actions to permit the Pledgees to enforce their security interest under a Financing Transaction by selling, transferring, appropriating or otherwise disposing of the Lock-Up Securities; </w:t>
            </w:r>
            <w:r>
              <w:rPr>
                <w:rFonts w:ascii="Times New Roman" w:hAnsi="Times New Roman"/>
                <w:i/>
                <w:sz w:val="20"/>
              </w:rPr>
              <w:t>provided</w:t>
            </w:r>
            <w:r>
              <w:rPr>
                <w:rFonts w:ascii="Times New Roman" w:hAnsi="Times New Roman"/>
                <w:sz w:val="20"/>
              </w:rPr>
              <w:t xml:space="preserve">, that in the case of any such sale, transfer, appropriation or other disposition each purchaser or transferee (the Purchaser) shall execute and deliver to the representatives of the underwriters (prior to or substantially contemporaneously with such sale, transfer, appropriation or other disposition) a lock-up agreement for the remainder of the Lock-Up Period (which, for the avoidance of doubt, shall contain exceptions substantially similar to the exceptions contained in paragraph (b) and (c)).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for the duration of the Lock-Up Period, the Company has agreed (A) to enforce all existing agreements between the Company and any of its securityholders that prohibit the sale, transfer, assignment, pledge or hypothecation of any of the Companys securities until the expiration of the restricted period; (B) to direct the transfer agent to place stop transfer restrictions upon any such securities of the Company that are bound by such existing lock-up, market stand off, holdback or similar provisions of such agreements for the duration of the Lock-Up Period; and (C) not to release or otherwise grant any waiver of such provisions in such agreements during the Lock-Up Period without the prior written consent of any two of the four representatives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Any two of the four representatives of the underwriters may, in their sole discretion and at any time or from time to time before the termination of the Lock-Up Period release all or any portion of the Lock-Up Securities; provided that if such waiver is with respect to one of our officers or directors, subject to compliance with the notification requirements under FINRA Rule 5131, the representatives will notify us of the impending release or waiver at least three business days before the release or waiver, and as required by FINRA Rule 5131, we have agreed to announce the impending release or waiver at least two business days before the release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applied to list our ADSs on the Nasdaq Global Select Market under the symbol ARM.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this offering. To the extent that the underwriters create a naked short position, they will purchase ADSs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ADSs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ADSs. The initial public offering price will be determined by negotiations among us, the selling shareholder and the representatives of the underwriters. In determining the initial public offering price, we, the selling shareholder and the representatives of the underwriters expect to consider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markets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recent market prices of, and demand for, publicly traded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deemed relevant by the underwriters, the selling shareholder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selling shareholder and the underwriters cannot assure investors that an active trading market will develop for our ADSs, or that the ADSs will trade in the public market at or above the initial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U.S., no action has been taken by us, the selling shareholder or the underwriters that would permit a public offering of the securities offered by this prospectus in any jurisdiction where action for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and may provide from time to time in the future, certain commercial banking, financial advisory, investment banking and other services to us, the selling shareholder and our and its respective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particular, certain of the underwriters or their affiliates, including Barclays Capital Inc., BNP Paribas Securities Corp., Citigroup Global Markets Inc., Credit Agricole Securities (USA) Inc., Daiwa Capital Markets America Inc., Deutsche Bank Securities Inc., Goldman Sachs &amp; Co. LLC, HSBC Securities (USA) Inc., Intesa Sanpaolo S.p.A., J.P. Morgan Securities LLC, Mizuho Securities USA LLC, MUFG Securities Americas Inc., Natixis Securities Americas LLC, Santander US Capital Markets LLC and SMBC Nikko Securities America, Inc., are lenders under the Existing SoftBank Group Facility and/or have entered into the New SoftBank Group Facility as lenders and/or agents thereunder, in respect of which they have received and/or expect to receive various fees and interest on the loans. A subsidiary of SoftBank Group has granted a security interest with respect to substantially all of our share capital to secure the Existing SoftBank Group Facility and will initially grant a security interest with respect to 769,029,000 of our ordinary shares, representing a 75.01% equity interest in us (before giving effect to the issuance of ordinary shares issuable upon the completion of this offering in connection with the vesting of RSUs and Executive Awards), to secure the New SoftBank Group Facility. SoftBank Group has advised us that the Existing SoftBank Group Facility is expected to be repaid prior to, or concurrently with, the pricing of this offering, and the New SoftBank Group Facility is expected to be funded following, or concurrently with, the closing of this offering. The repayment of the Existing SoftBank Group Facility and the release of our obligations thereunder is a condition to the closing of this offering. In case of an event of default under the New SoftBank Group Facility, the lenders would be in a position to enforce their security interest with respect to our ordinary shares, which may therefore result in a disposal or sale of our ADSs by the lenders and could cause the trading price of our ADSs to decline. In addition, the lenders might carry out hedging transactions in order to cover financial risk relating to the pledged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EU Prospectus Regulation, except that offers of ADSs may be made to the public in that Relevant State at any time under the following exemptions under the EU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EU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EU Prospectus Regulation), subject to obtaining the prior consent of the representatives for any such offer;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EU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ADSs shall require us, the selling shareholder or any underwriter to publish a prospectus pursuant to Article 3 of the EU Prospectus Regulation or supplement a prospectus pursuant to Article 23 of the EU Prospectus Regulation. Each person who initially acquires any ADSs or to whom any offer is made will be deemed to have represented, acknowledged and agreed to and with each of the underwriters and their affiliates and us and the selling shareholder that it is a qualified investor within the meaning of Article 2 of the EU Prospectus Regulation. In the case of any ADSs being offered to a financial intermediary as that term is used in Article 5 of the EU Prospectus Regulation, each such financial intermediary will be deemed to have represented, acknowledged and agreed that the ADSs acquired by it in this offering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representatives have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EU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U.K. </w:t>
      </w:r>
    </w:p>
    <w:p>
      <w:pPr>
        <w:pStyle w:val="TextBody"/>
        <w:bidi w:val="0"/>
        <w:spacing w:before="120" w:after="0"/>
        <w:jc w:val="left"/>
        <w:rPr>
          <w:rFonts w:ascii="Times New Roman" w:hAnsi="Times New Roman"/>
          <w:sz w:val="20"/>
        </w:rPr>
      </w:pPr>
      <w:r>
        <w:rPr>
          <w:rFonts w:ascii="Times New Roman" w:hAnsi="Times New Roman"/>
          <w:sz w:val="20"/>
        </w:rPr>
        <w:t xml:space="preserve">No ADSs have been offered or will be offered pursuant to the offering to the public in the U.K. prior to the publication of a prospectus in relation to the ADSs which has been approved by the Financial Conduct Authority in accordance with the U.K. Prospectus Regulation (as defined below), except that the ADSs may be offered to the public in the U.K.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ADSs shall require us, the selling shareholder or any underwriter to publish a prospectus pursuant to Section 85 of the FSMA or supplement a prospectus pursuant to Article 23 of the U.K. Prospectus Regulation. For the purposes of this provision, the expression an offer to the public in relation to the ADSs in the U.K.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U.K., this prospectus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U.K. within the meaning of the FSMA.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in the U.K. that is not a relevant person should not act or rely on the information included in this document or use it as basis for taking any action. In the U.K., any investment or investment activity that this prospectus relates to may be made or taken exclusively by relevant persons.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ADSs may not be publicly offered in Switzerland and will not be listed on the SIX Swiss Exchange (SIX) or on any other stock exchange or regulated trading facility in Switzerland. This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ADSs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nor any other offering or marketing material relating to the offering, the Company, the ADSs have been or will be filed with or approved by any Swiss regulatory authority. In particular, this prospectus will not be filed with, and the offer of ADSs will not be supervised by, the Swiss Financial Market Supervisory Authority FINMA (FINMA), and the offer of ADSs has not been and will not be authorized under the Swiss Federal Act on Collective Investment Schemes (the CISA). The investor protection afforded to acquirers of interests in collective investment schemes under the CISA does not extend to acquirers of ADSs.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in accordance with the Markets Rules 2012 of the 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and the selling shareholder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and the selling shareholder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ADSs have not been offered or sold and will not be offered or sold in Hong Kong, by means of any document, other than (a) to professional investors as defined in the Securities and Futures Ordinance (Cap. 571 of the Laws of Hong Kong) of Hong Kong (the SFO)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ADSs have not been and will not be registered pursuant to Article 4, Paragraph 1 of the Financial Instruments and Exchange Act. Accordingly, none of the ADSs nor any interest therein may be offered or sold,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ADSs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rom393891_27"/>
      <w:bookmarkEnd w:id="28"/>
      <w:r>
        <w:rPr>
          <w:rFonts w:ascii="Times New Roman" w:hAnsi="Times New Roman"/>
          <w:b/>
          <w:sz w:val="20"/>
        </w:rPr>
        <w:t xml:space="preserve">EXPENSES RELATED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an itemization of the total expenses, excluding the underwriting discounts and commissions, which are expected to be incurred in connection with the sale of ADSs in this offering. With the exception of the registration fee payable to the SEC, the Nasdaq listing fee and the filing fee payable to FINRA, all amounts are estimates.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38"/>
        <w:gridCol w:w="451"/>
        <w:gridCol w:w="155"/>
        <w:gridCol w:w="892"/>
        <w:gridCol w:w="203"/>
      </w:tblGrid>
      <w:tr>
        <w:trPr/>
        <w:tc>
          <w:tcPr>
            <w:tcW w:w="5238"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23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Expense</w:t>
            </w:r>
          </w:p>
        </w:tc>
        <w:tc>
          <w:tcPr>
            <w:tcW w:w="451" w:type="dxa"/>
            <w:tcBorders/>
            <w:vAlign w:val="bottom"/>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bottom"/>
          </w:tcPr>
          <w:p>
            <w:pPr>
              <w:pStyle w:val="TableContents"/>
              <w:bidi w:val="0"/>
              <w:spacing w:before="0" w:after="283"/>
              <w:jc w:val="center"/>
              <w:rPr/>
            </w:pPr>
            <w:r>
              <w:rPr/>
              <w:t>Amount</w:t>
            </w:r>
          </w:p>
        </w:tc>
        <w:tc>
          <w:tcPr>
            <w:tcW w:w="20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Nasdaq initial listing fee</w:t>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rom393891_28"/>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ADSs being offered by this prospectus and certain other matters of English law will be passed upon for us by Morrison &amp; Foerster (UK) LLP and certain other matters of U.S. federal law will be passed upon for us by Morrison &amp; Foerster LLP. SoftBank Group has been advised as to certain legal matters by Sullivan &amp; Cromwell LLP. Certain legal matters related to this offering will be passed upon for the underwriters by Davis Polk  &amp; Wardwell LLP. </w:t>
      </w:r>
    </w:p>
    <w:p>
      <w:pPr>
        <w:pStyle w:val="TextBody"/>
        <w:bidi w:val="0"/>
        <w:spacing w:before="480" w:after="0"/>
        <w:jc w:val="center"/>
        <w:rPr>
          <w:rFonts w:ascii="Times New Roman" w:hAnsi="Times New Roman"/>
          <w:b/>
          <w:sz w:val="20"/>
        </w:rPr>
      </w:pPr>
      <w:bookmarkStart w:id="30" w:name="rom393891_29"/>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Arm Limited as of March 31, 2023 and 2022, and for each of the three years in the period ended March 31, 2023,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business address of Deloitte &amp; Touche LLP is 225 West Santa Clara Street, Suite 600, San Jose, CA 95113-1728, USA.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rom393891_30"/>
      <w:bookmarkEnd w:id="31"/>
      <w:r>
        <w:rPr>
          <w:rFonts w:ascii="Times New Roman" w:hAnsi="Times New Roman"/>
          <w:b/>
          <w:sz w:val="20"/>
        </w:rPr>
        <w:t xml:space="preserve">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incorporated and currently existing under the laws of England and Wales. </w:t>
      </w:r>
    </w:p>
    <w:p>
      <w:pPr>
        <w:pStyle w:val="TextBody"/>
        <w:bidi w:val="0"/>
        <w:spacing w:before="240" w:after="0"/>
        <w:jc w:val="left"/>
        <w:rPr>
          <w:rFonts w:ascii="Times New Roman" w:hAnsi="Times New Roman"/>
          <w:sz w:val="20"/>
        </w:rPr>
      </w:pPr>
      <w:r>
        <w:rPr>
          <w:rFonts w:ascii="Times New Roman" w:hAnsi="Times New Roman"/>
          <w:sz w:val="20"/>
        </w:rPr>
        <w:t xml:space="preserve">Uncertainty exists as to whether the courts of England and Wales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or enforce judgments of U.S. courts obtained against us or our directors or officers predicated upon the civil liabilities provisions of the securities laws of the U.S. or any state in the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entertain original actions brought in England and Wales against us or our directors or officers predicated upon the securities laws of the U.S. or any state in the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Morrison &amp; Foerster (UK) LLP and Morrison &amp; Foerster LLP that there is currently no treaty between (i) the U.S. and (ii) England and Wales providing for reciprocal recognition and enforcement of judgments of U.S. courts in civil and commercial matters (although the U.S. and the U.K. are both parties to the New York Convention on the Recognition and Enforcement of Foreign Arbitral Awards) and that a final judgment for the payment of money rendered by any general or state court in the U.S. based on civil liability, whether or not predicated solely upon U.S. securities laws, would not be automatically enforceable in England and Wales. We have also been advised by Morrison &amp; Foerster (UK) LLP and Morrison &amp; Foerster LLP that any final and conclusive monetary judgment for a definite sum obtained against us in the U.S. courts would be treated by the courts of England and Wales as a cause of action in itself and sued upon as a debt at common law so that no retrial of the issues would be necessary, provided that certain preconditions are met, including, but not limited to, that the relevant U.S. court had jurisdiction over the original proceeding according to English conflicts of laws principles and that the U.S. judgment was final and not procured by fraud. </w:t>
      </w:r>
    </w:p>
    <w:p>
      <w:pPr>
        <w:pStyle w:val="TextBody"/>
        <w:bidi w:val="0"/>
        <w:spacing w:before="240" w:after="0"/>
        <w:jc w:val="left"/>
        <w:rPr>
          <w:rFonts w:ascii="Times New Roman" w:hAnsi="Times New Roman"/>
          <w:sz w:val="20"/>
        </w:rPr>
      </w:pPr>
      <w:r>
        <w:rPr>
          <w:rFonts w:ascii="Times New Roman" w:hAnsi="Times New Roman"/>
          <w:sz w:val="20"/>
        </w:rPr>
        <w:t xml:space="preserve">Whether the preconditions are met in respect of a judgment based upon the civil liability provisions of the United States securities laws, including whether the award of monetary damages under such laws would constitute a penalty, is an issue for the court making such decision.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 </w:t>
      </w:r>
    </w:p>
    <w:p>
      <w:pPr>
        <w:pStyle w:val="TextBody"/>
        <w:bidi w:val="0"/>
        <w:spacing w:before="240" w:after="0"/>
        <w:jc w:val="left"/>
        <w:rPr>
          <w:rFonts w:ascii="Times New Roman" w:hAnsi="Times New Roman"/>
          <w:sz w:val="20"/>
        </w:rPr>
      </w:pPr>
      <w:r>
        <w:rPr>
          <w:rFonts w:ascii="Times New Roman" w:hAnsi="Times New Roman"/>
          <w:sz w:val="20"/>
        </w:rPr>
        <w:t xml:space="preserve">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It should also be noted that in the courts of England and Wales the usual rule is that the losing party is ordered to pay the legal costs of the litigation that were incurred by the successful party. These costs are assessed by the courts of England and Wales at the conclusion of the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rom393891_31"/>
      <w:bookmarkEnd w:id="3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(including amendments and exhibits to the registration statement) on Form F-1 under the Securities Act. A related registration statement on Form F-6 will be filed with the SEC to register the ADSs. This prospectus, which forms a part of the registration statement on Form F-1, does not contain all of the information included in the registration statement on Form F-1 and the exhibits and schedules to the registration statement on Form F-1. Certain information is omitted and you should refer to the registration statement on Form F-1 and its exhibits and schedules for that information. If a document has been filed as an exhibit to the registration statement on Form F-1, we refer you to the copy of the document that has been filed. Each statement in this prospectus relating to a document filed as an exhibit is qualified in all respects by the filed exhibit.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this offering, we will be subject to the information reporting requirements of the Exchange Act applicable to foreign private issuers. Accordingly, we will be required to file reports and other information with the SEC, including annual reports on Form 20-F and current reports on Form 6-K. You can read our SEC filings, including the registration statement on Form F-1, at the SECs website at www.sec.gov. We also maintain a corporate website at www.arm.com and, upon the closing of this offering, you may access, free of charge, our annual reports on Form 20-F and current reports on Form 6-K and any amendments to those reports, as soon as reasonably practicable after such material is electronically filed with, or furnished to, the SEC. We have included our website address in this prospectus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under the Exchange Act. Since many of the disclosure obligations required of us as a foreign private issuer are different than those required of U.S. domestic reporting companies, our shareholders, potential shareholders and the investing public in general should not expect to receive information about us in the same amount, or at the same time, as information is received from, or provided by, U.S. domestic reporting companies. We are only liable for violations of the rules and regulations of the SEC that apply to us as a foreign private issuer. </w:t>
      </w:r>
    </w:p>
    <w:p>
      <w:pPr>
        <w:pStyle w:val="TextBody"/>
        <w:bidi w:val="0"/>
        <w:spacing w:before="240" w:after="0"/>
        <w:jc w:val="left"/>
        <w:rPr>
          <w:rFonts w:ascii="Times New Roman" w:hAnsi="Times New Roman"/>
          <w:sz w:val="20"/>
        </w:rPr>
      </w:pPr>
      <w:r>
        <w:rPr>
          <w:rFonts w:ascii="Times New Roman" w:hAnsi="Times New Roman"/>
          <w:sz w:val="20"/>
        </w:rPr>
        <w:t xml:space="preserve">We will send the depositary a copy of all notices of shareholders meetings and other reports, communications and information that are made generally available to shareholders. The depositary has agreed to mail to all holders of ADSs a notice containing the information (or a summary of the information) contained in any notice of a meeting of our shareholders received by the depositary and will make available to all holders of ADSs such notices and all such other reports and communications received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rom393891_32"/>
      <w:bookmarkStart w:id="34" w:name="index"/>
      <w:bookmarkEnd w:id="33"/>
      <w:bookmarkEnd w:id="34"/>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1">
              <w:r>
                <w:rPr>
                  <w:rStyle w:val="InternetLink"/>
                  <w:rFonts w:ascii="Times New Roman" w:hAnsi="Times New Roman"/>
                  <w:sz w:val="20"/>
                </w:rPr>
                <w:t>Report of Independent Registered Public Accounting Firm</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2">
              <w:r>
                <w:rPr>
                  <w:rStyle w:val="InternetLink"/>
                  <w:rFonts w:ascii="Times New Roman" w:hAnsi="Times New Roman"/>
                  <w:sz w:val="20"/>
                </w:rPr>
                <w:t>Consolidated Income Statements for the fiscal years ended March 31, 2023,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3">
              <w:r>
                <w:rPr>
                  <w:rStyle w:val="InternetLink"/>
                  <w:rFonts w:ascii="Times New Roman" w:hAnsi="Times New Roman"/>
                  <w:sz w:val="20"/>
                </w:rPr>
                <w:t>Consolidated Statements of Comprehensive Income for the fiscal years ended March 31, 2023,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4">
              <w:r>
                <w:rPr>
                  <w:rStyle w:val="InternetLink"/>
                  <w:rFonts w:ascii="Times New Roman" w:hAnsi="Times New Roman"/>
                  <w:sz w:val="20"/>
                </w:rPr>
                <w:t>Consolidated Balance Sheets as of March 31,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5">
              <w:r>
                <w:rPr>
                  <w:rStyle w:val="InternetLink"/>
                  <w:rFonts w:ascii="Times New Roman" w:hAnsi="Times New Roman"/>
                  <w:sz w:val="20"/>
                </w:rPr>
                <w:t>Consolidated Statements of Shareholders Equity for the fiscal years ended March 31, 2023,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6">
              <w:r>
                <w:rPr>
                  <w:rStyle w:val="InternetLink"/>
                  <w:rFonts w:ascii="Times New Roman" w:hAnsi="Times New Roman"/>
                  <w:sz w:val="20"/>
                </w:rPr>
                <w:t>Consolidated Statements of Cash Flows for the fiscal years ended March 31, 2023,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7">
              <w:r>
                <w:rPr>
                  <w:rStyle w:val="InternetLink"/>
                  <w:rFonts w:ascii="Times New Roman" w:hAnsi="Times New Roman"/>
                  <w:sz w:val="20"/>
                </w:rPr>
                <w:t>Notes to the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F-10</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Unaudited Condensed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8">
              <w:r>
                <w:rPr>
                  <w:rStyle w:val="InternetLink"/>
                  <w:rFonts w:ascii="Times New Roman" w:hAnsi="Times New Roman"/>
                  <w:sz w:val="20"/>
                </w:rPr>
                <w:t>Unaudited Condensed Consolidated Income Statements for the fiscal quarters ended June 30,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F-66</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9">
              <w:r>
                <w:rPr>
                  <w:rStyle w:val="InternetLink"/>
                  <w:rFonts w:ascii="Times New Roman" w:hAnsi="Times New Roman"/>
                  <w:sz w:val="20"/>
                </w:rPr>
                <w:t>Unaudited Condensed Consolidated Statements of Comprehensive Income for the fiscal quarters ended June 30,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F-67</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10">
              <w:r>
                <w:rPr>
                  <w:rStyle w:val="InternetLink"/>
                  <w:rFonts w:ascii="Times New Roman" w:hAnsi="Times New Roman"/>
                  <w:sz w:val="20"/>
                </w:rPr>
                <w:t>Unaudited Condensed Consolidated Balance Sheets as of June 30, 2023 and March 31,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F-68</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11">
              <w:r>
                <w:rPr>
                  <w:rStyle w:val="InternetLink"/>
                  <w:rFonts w:ascii="Times New Roman" w:hAnsi="Times New Roman"/>
                  <w:sz w:val="20"/>
                </w:rPr>
                <w:t>Unaudited Condensed Consolidated Statements of Shareholders Equity for the fiscal quarters ended June 30,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F-69</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12">
              <w:r>
                <w:rPr>
                  <w:rStyle w:val="InternetLink"/>
                  <w:rFonts w:ascii="Times New Roman" w:hAnsi="Times New Roman"/>
                  <w:sz w:val="20"/>
                </w:rPr>
                <w:t>Unaudited Condensed Consolidated Statements of Cash Flows for the fiscal quarters ended June 30,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F-70</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rider393891_13">
              <w:r>
                <w:rPr>
                  <w:rStyle w:val="InternetLink"/>
                  <w:rFonts w:ascii="Times New Roman" w:hAnsi="Times New Roman"/>
                  <w:sz w:val="20"/>
                </w:rPr>
                <w:t>Notes to the Unaudited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rider393891_1"/>
      <w:bookmarkEnd w:id="35"/>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Arm Limited </w:t>
      </w:r>
    </w:p>
    <w:p>
      <w:pPr>
        <w:pStyle w:val="TextBody"/>
        <w:bidi w:val="0"/>
        <w:spacing w:before="24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Arm Limited and subsidiaries (the Company) as of March 31, 2023 and 2022, the related consolidated statements of income, comprehensive income, shareholders equity, and cash flows, for each of the three years in the period ended March 31, 2023, and the related notes (collectively referred to as the financial statements). In our opinion, the financial statements present fairly, in all material respects, the financial position of the Company as of March 31, 2023 and 2022, and the results of its operations and its cash flows for each of the three years in the period ended March 31, 2023,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 License and Other Revenue  Refer to Notes 1, 3 and 22 to the Consolidated Financial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Critical Audit Matter Description </w:t>
      </w:r>
    </w:p>
    <w:p>
      <w:pPr>
        <w:pStyle w:val="TextBody"/>
        <w:bidi w:val="0"/>
        <w:spacing w:before="120" w:after="0"/>
        <w:jc w:val="left"/>
        <w:rPr>
          <w:rFonts w:ascii="Times New Roman" w:hAnsi="Times New Roman"/>
          <w:sz w:val="20"/>
        </w:rPr>
      </w:pPr>
      <w:r>
        <w:rPr>
          <w:rFonts w:ascii="Times New Roman" w:hAnsi="Times New Roman"/>
          <w:sz w:val="20"/>
        </w:rPr>
        <w:t xml:space="preserve">Many of the Companys revenue arrangements involve multiple performance obligations consisting of products and services such as intellectual property licenses, software licenses, support, training, and professional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 services. New arrangements with existing customers can be based on either a new contract or modification of prior contracts. Determining the appropriate revenue recognition for the Companys contracts and modifications may involve significant judgments by management, including determining whether the Companys contracts represent new contracts or the modification of pre-existing contracts, whether certain performance obligations are separate or should be combined and the portion of the transaction price that should be allocated to performance obligations, which may impact the amount and timing of revenue recognition. </w:t>
      </w:r>
    </w:p>
    <w:p>
      <w:pPr>
        <w:pStyle w:val="TextBody"/>
        <w:bidi w:val="0"/>
        <w:spacing w:before="240" w:after="0"/>
        <w:jc w:val="left"/>
        <w:rPr>
          <w:rFonts w:ascii="Times New Roman" w:hAnsi="Times New Roman"/>
          <w:sz w:val="20"/>
        </w:rPr>
      </w:pPr>
      <w:r>
        <w:rPr>
          <w:rFonts w:ascii="Times New Roman" w:hAnsi="Times New Roman"/>
          <w:sz w:val="20"/>
        </w:rPr>
        <w:t xml:space="preserve">Given that the evaluation of whether contracts represent new contracts or the modification of pre-existing contracts, whether certain performance obligations are separate or should be combined and the portion of the transaction price that should be allocated to performance obligations in accordance with revenue recognition guidance was complex and required significant management judgment, performing audit procedures required a high degree of auditor judgment and an increased extent of effort, including the need to involve professionals in our firm having expertise in revenue recognition. </w:t>
      </w:r>
    </w:p>
    <w:p>
      <w:pPr>
        <w:pStyle w:val="TextBody"/>
        <w:bidi w:val="0"/>
        <w:spacing w:before="360" w:after="0"/>
        <w:jc w:val="left"/>
        <w:rPr>
          <w:rFonts w:ascii="Times New Roman" w:hAnsi="Times New Roman"/>
          <w:i/>
          <w:sz w:val="20"/>
        </w:rPr>
      </w:pPr>
      <w:r>
        <w:rPr>
          <w:rFonts w:ascii="Times New Roman" w:hAnsi="Times New Roman"/>
          <w:i/>
          <w:sz w:val="20"/>
        </w:rPr>
        <w:t xml:space="preserve">How the Critical Audit Matter Was Addressed in the Audit </w:t>
      </w:r>
    </w:p>
    <w:p>
      <w:pPr>
        <w:pStyle w:val="TextBody"/>
        <w:bidi w:val="0"/>
        <w:spacing w:before="120" w:after="0"/>
        <w:jc w:val="left"/>
        <w:rPr>
          <w:rFonts w:ascii="Times New Roman" w:hAnsi="Times New Roman"/>
          <w:sz w:val="20"/>
        </w:rPr>
      </w:pPr>
      <w:r>
        <w:rPr>
          <w:rFonts w:ascii="Times New Roman" w:hAnsi="Times New Roman"/>
          <w:sz w:val="20"/>
        </w:rPr>
        <w:t xml:space="preserve">Our audit procedures related to managements evaluation of whether contracts represent new contracts or the modification of pre-existing contracts, whether certain performance obligations are separate or should be combined and the portion of the transaction price that should be allocated to performance obligations included the following,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sample of contracts with customers, we performed the following, among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Obtained and read the contract, including master agreements, amendments, purchase and sales order agreements, and related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evaluated whether management properly determined whether the contract should be treated as a new contract or a modification of a pre-existing contract, including evaluating multiple contracts entered into with the same customer and whether those contracts were entered into at, or near, the same time and were interrelated.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Requested and obtained responses to confirmations of contracts directly from the Companys customers. If a response was not received, we performed alternative procedures including obtaining sales certifications to ensure no additional agreements existed.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evaluated managements identification of performance obligations by assessing whether the underlying products and services were separate performance obligations by performing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Comparing the products and services identified in the contract to the performance obligations identified by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additional or combined performance obligations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 understanding of the Companys products and services, including product roadmaps and other marketing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9"/>
        <w:gridCol w:w="203"/>
        <w:gridCol w:w="101"/>
        <w:gridCol w:w="7962"/>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Inquiring of the Companys operational personnel to understand the nature of the contract, its business purpose, and identified performance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3"/>
        <w:gridCol w:w="8270"/>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certain of these selections, we evaluated managements conclusions about whether identified performance obligations should be separate or combined with the assistance of professionals in our firm having expertise in revenue recognition.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assessed the allocation of the transaction price to performance obligations by performing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3"/>
        <w:gridCol w:w="8268"/>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transaction price determined by management to the transaction price in the customer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stand-alone selling price associated with each performance obligation to the Companys estimated stand-alone selling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reasonableness of the Companys methodology and inputs used to estimate stand-alone selling price by obtaining an understanding of the nature of the products and services, the pricing framework and testing the accuracy and completeness of inputs.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3"/>
        <w:gridCol w:w="8269"/>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Tested the mathematical accuracy of managements allocation of transaction price to the performance obligations. </w:t>
            </w:r>
          </w:p>
        </w:tc>
      </w:tr>
    </w:tbl>
    <w:p>
      <w:pPr>
        <w:pStyle w:val="TextBody"/>
        <w:bidi w:val="0"/>
        <w:spacing w:before="36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San Jose, California</w:t>
      </w:r>
    </w:p>
    <w:p>
      <w:pPr>
        <w:pStyle w:val="TextBody"/>
        <w:bidi w:val="0"/>
        <w:spacing w:before="0" w:after="0"/>
        <w:jc w:val="left"/>
        <w:rPr>
          <w:rFonts w:ascii="Times New Roman" w:hAnsi="Times New Roman"/>
          <w:sz w:val="20"/>
        </w:rPr>
      </w:pPr>
      <w:r>
        <w:rPr>
          <w:rFonts w:ascii="Times New Roman" w:hAnsi="Times New Roman"/>
          <w:sz w:val="20"/>
        </w:rPr>
        <w:t xml:space="preserve">July 31, 2023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rider393891_2"/>
      <w:bookmarkEnd w:id="36"/>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Income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3"/>
        <w:gridCol w:w="517"/>
        <w:gridCol w:w="140"/>
        <w:gridCol w:w="1405"/>
        <w:gridCol w:w="155"/>
        <w:gridCol w:w="465"/>
        <w:gridCol w:w="140"/>
        <w:gridCol w:w="1405"/>
        <w:gridCol w:w="155"/>
        <w:gridCol w:w="465"/>
        <w:gridCol w:w="140"/>
        <w:gridCol w:w="1405"/>
        <w:gridCol w:w="160"/>
      </w:tblGrid>
      <w:tr>
        <w:trPr/>
        <w:tc>
          <w:tcPr>
            <w:tcW w:w="3653"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53"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58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160"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2,025</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2,219</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1,579</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related parties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654</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484</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448</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2,679</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2,703</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2,027</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(145</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2,573</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 xml:space="preserve">2,572 </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1,882</w:t>
            </w:r>
          </w:p>
        </w:tc>
        <w:tc>
          <w:tcPr>
            <w:tcW w:w="160"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(1,133</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(995</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(814</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(762</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(897</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(826</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(3</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Disposal, restructuring and other operating expenses, net</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(1,902</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(1,939</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(1,643</w:t>
            </w:r>
          </w:p>
        </w:tc>
        <w:tc>
          <w:tcPr>
            <w:tcW w:w="160"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671</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633</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239</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from equity investments, net</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476</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2</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 (loss), net</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(20</w:t>
            </w:r>
          </w:p>
        </w:tc>
        <w:tc>
          <w:tcPr>
            <w:tcW w:w="160"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from continuing operations before income taxes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671</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786</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697</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(153</w:t>
            </w:r>
          </w:p>
        </w:tc>
        <w:tc>
          <w:tcPr>
            <w:tcW w:w="160"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from continuing operations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524</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676</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544</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b/>
                <w:sz w:val="20"/>
              </w:rPr>
            </w:pPr>
            <w:r>
              <w:rPr>
                <w:rFonts w:ascii="Times New Roman" w:hAnsi="Times New Roman"/>
                <w:b/>
                <w:sz w:val="20"/>
              </w:rPr>
              <w:t>Discontinued operations (Note 4):</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before income taxes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(194</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 from discontinued operations</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38</w:t>
            </w:r>
          </w:p>
        </w:tc>
        <w:tc>
          <w:tcPr>
            <w:tcW w:w="160"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from discontinued operations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(127</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(156</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524</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549</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388</w:t>
            </w:r>
          </w:p>
        </w:tc>
        <w:tc>
          <w:tcPr>
            <w:tcW w:w="160"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per share attributable to ordinary shareholders  basic</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from continuing operations</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0.51</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0.66</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0.53</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(0.15</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0.51</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0.54</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0.38</w:t>
            </w:r>
          </w:p>
        </w:tc>
        <w:tc>
          <w:tcPr>
            <w:tcW w:w="160" w:type="dxa"/>
            <w:tcBorders/>
            <w:vAlign w:val="bottom"/>
          </w:tcPr>
          <w:p>
            <w:pPr>
              <w:pStyle w:val="TableContents"/>
              <w:bidi w:val="0"/>
              <w:spacing w:before="0" w:after="283"/>
              <w:jc w:val="left"/>
              <w:rPr/>
            </w:pPr>
            <w:r>
              <w:rPr/>
              <w:t> </w:t>
            </w:r>
          </w:p>
        </w:tc>
      </w:tr>
      <w:tr>
        <w:trPr>
          <w:trHeight w:val="120" w:hRule="atLeast"/>
        </w:trPr>
        <w:tc>
          <w:tcPr>
            <w:tcW w:w="3653" w:type="dxa"/>
            <w:tcBorders/>
            <w:vAlign w:val="center"/>
          </w:tcPr>
          <w:p>
            <w:pPr>
              <w:pStyle w:val="TableContents"/>
              <w:bidi w:val="0"/>
              <w:spacing w:before="0" w:after="283"/>
              <w:jc w:val="left"/>
              <w:rPr>
                <w:sz w:val="4"/>
                <w:szCs w:val="4"/>
              </w:rPr>
            </w:pPr>
            <w:r>
              <w:rPr>
                <w:sz w:val="4"/>
                <w:szCs w:val="4"/>
              </w:rPr>
            </w:r>
          </w:p>
        </w:tc>
        <w:tc>
          <w:tcPr>
            <w:tcW w:w="2217"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2170" w:type="dxa"/>
            <w:gridSpan w:val="4"/>
            <w:tcBorders/>
            <w:vAlign w:val="center"/>
          </w:tcPr>
          <w:p>
            <w:pPr>
              <w:pStyle w:val="TableContents"/>
              <w:bidi w:val="0"/>
              <w:spacing w:before="0" w:after="283"/>
              <w:jc w:val="left"/>
              <w:rPr>
                <w:sz w:val="4"/>
                <w:szCs w:val="4"/>
              </w:rPr>
            </w:pPr>
            <w:r>
              <w:rPr>
                <w:sz w:val="4"/>
                <w:szCs w:val="4"/>
              </w:rPr>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per share attributable to ordinary shareholders  diluted</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from continuing operations</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0.51</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0.66</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0.53</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(0.15</w:t>
            </w:r>
          </w:p>
        </w:tc>
        <w:tc>
          <w:tcPr>
            <w:tcW w:w="160"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0.51</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0.54</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0.38</w:t>
            </w:r>
          </w:p>
        </w:tc>
        <w:tc>
          <w:tcPr>
            <w:tcW w:w="160" w:type="dxa"/>
            <w:tcBorders/>
            <w:vAlign w:val="bottom"/>
          </w:tcPr>
          <w:p>
            <w:pPr>
              <w:pStyle w:val="TableContents"/>
              <w:bidi w:val="0"/>
              <w:spacing w:before="0" w:after="283"/>
              <w:jc w:val="left"/>
              <w:rPr/>
            </w:pPr>
            <w:r>
              <w:rPr/>
              <w:t> </w:t>
            </w:r>
          </w:p>
        </w:tc>
      </w:tr>
      <w:tr>
        <w:trPr>
          <w:trHeight w:val="120" w:hRule="atLeast"/>
        </w:trPr>
        <w:tc>
          <w:tcPr>
            <w:tcW w:w="3653" w:type="dxa"/>
            <w:tcBorders/>
            <w:vAlign w:val="center"/>
          </w:tcPr>
          <w:p>
            <w:pPr>
              <w:pStyle w:val="TableContents"/>
              <w:bidi w:val="0"/>
              <w:spacing w:before="0" w:after="283"/>
              <w:jc w:val="left"/>
              <w:rPr>
                <w:sz w:val="4"/>
                <w:szCs w:val="4"/>
              </w:rPr>
            </w:pPr>
            <w:r>
              <w:rPr>
                <w:sz w:val="4"/>
                <w:szCs w:val="4"/>
              </w:rPr>
            </w:r>
          </w:p>
        </w:tc>
        <w:tc>
          <w:tcPr>
            <w:tcW w:w="2217"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2170" w:type="dxa"/>
            <w:gridSpan w:val="4"/>
            <w:tcBorders/>
            <w:vAlign w:val="center"/>
          </w:tcPr>
          <w:p>
            <w:pPr>
              <w:pStyle w:val="TableContents"/>
              <w:bidi w:val="0"/>
              <w:spacing w:before="0" w:after="283"/>
              <w:jc w:val="left"/>
              <w:rPr>
                <w:sz w:val="4"/>
                <w:szCs w:val="4"/>
              </w:rPr>
            </w:pPr>
            <w:r>
              <w:rPr>
                <w:sz w:val="4"/>
                <w:szCs w:val="4"/>
              </w:rPr>
            </w:r>
          </w:p>
        </w:tc>
      </w:tr>
      <w:tr>
        <w:trPr/>
        <w:tc>
          <w:tcPr>
            <w:tcW w:w="36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ordinary shares outstanding</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5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1,025,234,000</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1,025,234,000</w:t>
            </w:r>
          </w:p>
        </w:tc>
        <w:tc>
          <w:tcPr>
            <w:tcW w:w="155"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1,025,234,000</w:t>
            </w:r>
          </w:p>
        </w:tc>
        <w:tc>
          <w:tcPr>
            <w:tcW w:w="160"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5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1,027,505,008</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1,025,234,000</w:t>
            </w:r>
          </w:p>
        </w:tc>
        <w:tc>
          <w:tcPr>
            <w:tcW w:w="155"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1,025,234,000</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7" w:name="rider393891_3"/>
      <w:bookmarkEnd w:id="37"/>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84"/>
        <w:gridCol w:w="159"/>
        <w:gridCol w:w="196"/>
        <w:gridCol w:w="538"/>
        <w:gridCol w:w="301"/>
        <w:gridCol w:w="264"/>
        <w:gridCol w:w="196"/>
        <w:gridCol w:w="538"/>
        <w:gridCol w:w="370"/>
        <w:gridCol w:w="264"/>
        <w:gridCol w:w="196"/>
        <w:gridCol w:w="539"/>
        <w:gridCol w:w="260"/>
      </w:tblGrid>
      <w:tr>
        <w:trPr/>
        <w:tc>
          <w:tcPr>
            <w:tcW w:w="6384"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r>
      <w:tr>
        <w:trPr/>
        <w:tc>
          <w:tcPr>
            <w:tcW w:w="638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40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260" w:type="dxa"/>
            <w:tcBorders/>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1"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7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60"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5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538" w:type="dxa"/>
            <w:tcBorders/>
            <w:shd w:fill="CCEEFF" w:val="clear"/>
            <w:vAlign w:val="bottom"/>
          </w:tcPr>
          <w:p>
            <w:pPr>
              <w:pStyle w:val="TableContents"/>
              <w:bidi w:val="0"/>
              <w:spacing w:before="0" w:after="283"/>
              <w:jc w:val="right"/>
              <w:rPr/>
            </w:pPr>
            <w:r>
              <w:rPr/>
              <w:t>524</w:t>
            </w:r>
          </w:p>
        </w:tc>
        <w:tc>
          <w:tcPr>
            <w:tcW w:w="301"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538" w:type="dxa"/>
            <w:tcBorders/>
            <w:shd w:fill="CCEEFF" w:val="clear"/>
            <w:vAlign w:val="bottom"/>
          </w:tcPr>
          <w:p>
            <w:pPr>
              <w:pStyle w:val="TableContents"/>
              <w:bidi w:val="0"/>
              <w:spacing w:before="0" w:after="283"/>
              <w:jc w:val="right"/>
              <w:rPr/>
            </w:pPr>
            <w:r>
              <w:rPr/>
              <w:t>549</w:t>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539" w:type="dxa"/>
            <w:tcBorders/>
            <w:shd w:fill="CCEEFF" w:val="clear"/>
            <w:vAlign w:val="bottom"/>
          </w:tcPr>
          <w:p>
            <w:pPr>
              <w:pStyle w:val="TableContents"/>
              <w:bidi w:val="0"/>
              <w:spacing w:before="0" w:after="283"/>
              <w:jc w:val="right"/>
              <w:rPr/>
            </w:pPr>
            <w:r>
              <w:rPr/>
              <w:t>388</w:t>
            </w:r>
          </w:p>
        </w:tc>
        <w:tc>
          <w:tcPr>
            <w:tcW w:w="260"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net of tax:</w:t>
            </w:r>
          </w:p>
        </w:tc>
        <w:tc>
          <w:tcPr>
            <w:tcW w:w="15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53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of the effective portion of designated cash flow hedges</w:t>
            </w:r>
          </w:p>
        </w:tc>
        <w:tc>
          <w:tcPr>
            <w:tcW w:w="15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8</w:t>
            </w:r>
          </w:p>
        </w:tc>
        <w:tc>
          <w:tcPr>
            <w:tcW w:w="301"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  </w:t>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5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(31</w:t>
            </w:r>
          </w:p>
        </w:tc>
        <w:tc>
          <w:tcPr>
            <w:tcW w:w="301"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(31</w:t>
            </w:r>
          </w:p>
        </w:tc>
        <w:tc>
          <w:tcPr>
            <w:tcW w:w="37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38</w:t>
            </w:r>
          </w:p>
        </w:tc>
        <w:tc>
          <w:tcPr>
            <w:tcW w:w="260" w:type="dxa"/>
            <w:tcBorders/>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538" w:type="dxa"/>
            <w:tcBorders/>
            <w:vAlign w:val="bottom"/>
          </w:tcPr>
          <w:p>
            <w:pPr>
              <w:pStyle w:val="TableContents"/>
              <w:pBdr>
                <w:top w:val="single" w:sz="2" w:space="1" w:color="000000"/>
              </w:pBdr>
              <w:bidi w:val="0"/>
              <w:spacing w:before="0" w:after="0"/>
              <w:jc w:val="left"/>
              <w:rPr/>
            </w:pPr>
            <w:r>
              <w:rPr/>
              <w:t> </w:t>
            </w:r>
          </w:p>
        </w:tc>
        <w:tc>
          <w:tcPr>
            <w:tcW w:w="301"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538" w:type="dxa"/>
            <w:tcBorders/>
            <w:vAlign w:val="bottom"/>
          </w:tcPr>
          <w:p>
            <w:pPr>
              <w:pStyle w:val="TableContents"/>
              <w:pBdr>
                <w:top w:val="single" w:sz="2"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539"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5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538" w:type="dxa"/>
            <w:tcBorders/>
            <w:shd w:fill="CCEEFF" w:val="clear"/>
            <w:vAlign w:val="bottom"/>
          </w:tcPr>
          <w:p>
            <w:pPr>
              <w:pStyle w:val="TableContents"/>
              <w:bidi w:val="0"/>
              <w:spacing w:before="0" w:after="283"/>
              <w:jc w:val="right"/>
              <w:rPr/>
            </w:pPr>
            <w:r>
              <w:rPr/>
              <w:t>501</w:t>
            </w:r>
          </w:p>
        </w:tc>
        <w:tc>
          <w:tcPr>
            <w:tcW w:w="301"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538" w:type="dxa"/>
            <w:tcBorders/>
            <w:shd w:fill="CCEEFF" w:val="clear"/>
            <w:vAlign w:val="bottom"/>
          </w:tcPr>
          <w:p>
            <w:pPr>
              <w:pStyle w:val="TableContents"/>
              <w:bidi w:val="0"/>
              <w:spacing w:before="0" w:after="283"/>
              <w:jc w:val="right"/>
              <w:rPr/>
            </w:pPr>
            <w:r>
              <w:rPr/>
              <w:t>518</w:t>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539" w:type="dxa"/>
            <w:tcBorders/>
            <w:shd w:fill="CCEEFF" w:val="clear"/>
            <w:vAlign w:val="bottom"/>
          </w:tcPr>
          <w:p>
            <w:pPr>
              <w:pStyle w:val="TableContents"/>
              <w:bidi w:val="0"/>
              <w:spacing w:before="0" w:after="283"/>
              <w:jc w:val="right"/>
              <w:rPr/>
            </w:pPr>
            <w:r>
              <w:rPr/>
              <w:t>426</w:t>
            </w:r>
          </w:p>
        </w:tc>
        <w:tc>
          <w:tcPr>
            <w:tcW w:w="260" w:type="dxa"/>
            <w:tcBorders/>
            <w:shd w:fill="CCEEFF" w:val="clear"/>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538" w:type="dxa"/>
            <w:tcBorders/>
            <w:vAlign w:val="bottom"/>
          </w:tcPr>
          <w:p>
            <w:pPr>
              <w:pStyle w:val="TableContents"/>
              <w:pBdr>
                <w:top w:val="double" w:sz="6" w:space="1" w:color="000000"/>
              </w:pBdr>
              <w:bidi w:val="0"/>
              <w:spacing w:before="0" w:after="0"/>
              <w:jc w:val="left"/>
              <w:rPr/>
            </w:pPr>
            <w:r>
              <w:rPr/>
              <w:t> </w:t>
            </w:r>
          </w:p>
        </w:tc>
        <w:tc>
          <w:tcPr>
            <w:tcW w:w="301"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538" w:type="dxa"/>
            <w:tcBorders/>
            <w:vAlign w:val="bottom"/>
          </w:tcPr>
          <w:p>
            <w:pPr>
              <w:pStyle w:val="TableContents"/>
              <w:pBdr>
                <w:top w:val="double" w:sz="6"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539" w:type="dxa"/>
            <w:tcBorders/>
            <w:vAlign w:val="bottom"/>
          </w:tcPr>
          <w:p>
            <w:pPr>
              <w:pStyle w:val="TableContents"/>
              <w:pBdr>
                <w:top w:val="double" w:sz="6"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r>
    </w:tbl>
    <w:p>
      <w:pPr>
        <w:pStyle w:val="TextBody"/>
        <w:bidi w:val="0"/>
        <w:spacing w:before="8000" w:after="0"/>
        <w:jc w:val="center"/>
        <w:rPr>
          <w:rFonts w:ascii="Times New Roman" w:hAnsi="Times New Roman"/>
          <w:sz w:val="20"/>
        </w:rPr>
      </w:pPr>
      <w:r>
        <w:rPr>
          <w:rFonts w:ascii="Times New Roman" w:hAnsi="Times New Roman"/>
          <w:sz w:val="20"/>
        </w:rPr>
        <w:t>See accompanying notes to the consolidated financial statements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8" w:name="rider393891_4"/>
      <w:bookmarkEnd w:id="38"/>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par value and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60"/>
        <w:gridCol w:w="252"/>
        <w:gridCol w:w="141"/>
        <w:gridCol w:w="567"/>
        <w:gridCol w:w="60"/>
        <w:gridCol w:w="253"/>
        <w:gridCol w:w="141"/>
        <w:gridCol w:w="568"/>
        <w:gridCol w:w="63"/>
      </w:tblGrid>
      <w:tr>
        <w:trPr/>
        <w:tc>
          <w:tcPr>
            <w:tcW w:w="81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3"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160"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1,554</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1,004</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Short-term investments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661</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631</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 net (including receivables from related parties of $402 and $643 as of March 31, 2023 and 2022, respectively)</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999</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1,124</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Contract assets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166</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169</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167</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current assets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3,537</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3,092</w:t>
            </w:r>
          </w:p>
        </w:tc>
        <w:tc>
          <w:tcPr>
            <w:tcW w:w="63"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assets: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188</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 of use assets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206</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229</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Equity investments (including investments held at fair value of $592 and $631 as of March 31, 2023 and 2022, respectively)</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723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736</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Goodwill</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1,620</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1,636</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Intangible assets, net</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205</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139</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135</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Non-current portion of contract assets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202</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189</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non-current assets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3,329</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3,418</w:t>
            </w:r>
          </w:p>
        </w:tc>
        <w:tc>
          <w:tcPr>
            <w:tcW w:w="63"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assets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6,866</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6,510</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Current liabilities: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Accrued compensation and benefits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589</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642</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Tax liabilities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129</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Contract liabilities (including contract liabilities from related parties of $135 and $135 as of March 31, 2023 and 2022, respectively)</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334</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liabilities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31</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Other current liabilities (including payables to related parties of $17 and $28 as of March 31, 2023 and 2022, respectively)</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259</w:t>
            </w:r>
          </w:p>
        </w:tc>
        <w:tc>
          <w:tcPr>
            <w:tcW w:w="63"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current liabilities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1,363</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1,395</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b/>
                <w:sz w:val="18"/>
              </w:rPr>
            </w:pPr>
            <w:r>
              <w:rPr>
                <w:rFonts w:ascii="Times New Roman" w:hAnsi="Times New Roman"/>
                <w:b/>
                <w:sz w:val="18"/>
              </w:rPr>
              <w:t>Non-current liabilities: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Non-current portion of accrued compensation and share-based compensation</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158</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Deferred tax liabilities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262</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279</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Non-current portion of contract liabilities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807</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792</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Non-current portion of operating lease liabilities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193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230</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108</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non-current liabilities</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1,452</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1,567</w:t>
            </w:r>
          </w:p>
        </w:tc>
        <w:tc>
          <w:tcPr>
            <w:tcW w:w="63"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2,815</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2,962</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Commitments and contingencies (Note 19)</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Shareholders equity:</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Ordinary shares, $0.001 par value, 1,025,234,000 shares authorized, issued and outstanding as of March 31, 2023</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1,216</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1,214</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income</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376</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399</w:t>
            </w:r>
          </w:p>
        </w:tc>
        <w:tc>
          <w:tcPr>
            <w:tcW w:w="63" w:type="dxa"/>
            <w:tcBorders/>
            <w:vAlign w:val="bottom"/>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Retained earnings</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2,457</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1,933</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shareholders equity</w:t>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4,051</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3,548</w:t>
            </w:r>
          </w:p>
        </w:tc>
        <w:tc>
          <w:tcPr>
            <w:tcW w:w="63"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liabilities and shareholders equity</w:t>
            </w:r>
          </w:p>
        </w:tc>
        <w:tc>
          <w:tcPr>
            <w:tcW w:w="2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6,866</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6,510</w:t>
            </w:r>
          </w:p>
        </w:tc>
        <w:tc>
          <w:tcPr>
            <w:tcW w:w="63"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9" w:name="rider393891_5"/>
      <w:bookmarkEnd w:id="39"/>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Shareholders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2"/>
        <w:gridCol w:w="63"/>
        <w:gridCol w:w="60"/>
        <w:gridCol w:w="1403"/>
        <w:gridCol w:w="60"/>
        <w:gridCol w:w="63"/>
        <w:gridCol w:w="430"/>
        <w:gridCol w:w="430"/>
        <w:gridCol w:w="60"/>
        <w:gridCol w:w="63"/>
        <w:gridCol w:w="340"/>
        <w:gridCol w:w="1362"/>
        <w:gridCol w:w="60"/>
        <w:gridCol w:w="63"/>
        <w:gridCol w:w="433"/>
        <w:gridCol w:w="1179"/>
        <w:gridCol w:w="155"/>
        <w:gridCol w:w="63"/>
        <w:gridCol w:w="171"/>
        <w:gridCol w:w="780"/>
        <w:gridCol w:w="155"/>
        <w:gridCol w:w="63"/>
        <w:gridCol w:w="247"/>
        <w:gridCol w:w="1124"/>
        <w:gridCol w:w="166"/>
      </w:tblGrid>
      <w:tr>
        <w:trPr/>
        <w:tc>
          <w:tcPr>
            <w:tcW w:w="1212"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1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Ordinary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02"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 Paid-</w:t>
            </w:r>
            <w:r>
              <w:rPr/>
              <w:br/>
            </w:r>
            <w:r>
              <w:rPr>
                <w:b/>
              </w:rPr>
              <w:t>in Capital</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Income (Loss)</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Equity</w:t>
            </w:r>
          </w:p>
        </w:tc>
        <w:tc>
          <w:tcPr>
            <w:tcW w:w="166" w:type="dxa"/>
            <w:tcBorders/>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0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1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71"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2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April 1, 2020</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b/>
              </w:rPr>
            </w:pPr>
            <w:r>
              <w:rPr>
                <w:b/>
              </w:rPr>
              <w:t>1,025,234,000</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b/>
              </w:rPr>
            </w:pPr>
            <w:r>
              <w:rPr>
                <w:b/>
              </w:rPr>
              <w:t>$</w:t>
            </w:r>
          </w:p>
        </w:tc>
        <w:tc>
          <w:tcPr>
            <w:tcW w:w="430"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b/>
              </w:rPr>
            </w:pPr>
            <w:r>
              <w:rPr>
                <w:b/>
              </w:rPr>
              <w:t>$</w:t>
            </w:r>
          </w:p>
        </w:tc>
        <w:tc>
          <w:tcPr>
            <w:tcW w:w="1362" w:type="dxa"/>
            <w:tcBorders/>
            <w:shd w:fill="CCEEFF" w:val="clear"/>
            <w:vAlign w:val="bottom"/>
          </w:tcPr>
          <w:p>
            <w:pPr>
              <w:pStyle w:val="TableContents"/>
              <w:bidi w:val="0"/>
              <w:spacing w:before="0" w:after="283"/>
              <w:jc w:val="right"/>
              <w:rPr>
                <w:b/>
              </w:rPr>
            </w:pPr>
            <w:r>
              <w:rPr>
                <w:b/>
              </w:rPr>
              <w:t>1,214</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b/>
              </w:rPr>
            </w:pPr>
            <w:r>
              <w:rPr>
                <w:b/>
              </w:rPr>
              <w:t>$</w:t>
            </w:r>
          </w:p>
        </w:tc>
        <w:tc>
          <w:tcPr>
            <w:tcW w:w="1179" w:type="dxa"/>
            <w:tcBorders/>
            <w:shd w:fill="CCEEFF" w:val="clear"/>
            <w:vAlign w:val="bottom"/>
          </w:tcPr>
          <w:p>
            <w:pPr>
              <w:pStyle w:val="TableContents"/>
              <w:bidi w:val="0"/>
              <w:spacing w:before="0" w:after="283"/>
              <w:jc w:val="right"/>
              <w:rPr>
                <w:b/>
              </w:rPr>
            </w:pPr>
            <w:r>
              <w:rPr>
                <w:b/>
              </w:rPr>
              <w:t>392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b/>
              </w:rPr>
            </w:pPr>
            <w:r>
              <w:rPr>
                <w:b/>
              </w:rPr>
              <w:t>$</w:t>
            </w:r>
          </w:p>
        </w:tc>
        <w:tc>
          <w:tcPr>
            <w:tcW w:w="780" w:type="dxa"/>
            <w:tcBorders/>
            <w:shd w:fill="CCEEFF" w:val="clear"/>
            <w:vAlign w:val="bottom"/>
          </w:tcPr>
          <w:p>
            <w:pPr>
              <w:pStyle w:val="TableContents"/>
              <w:bidi w:val="0"/>
              <w:spacing w:before="0" w:after="283"/>
              <w:jc w:val="right"/>
              <w:rPr>
                <w:b/>
              </w:rPr>
            </w:pPr>
            <w:r>
              <w:rPr>
                <w:b/>
              </w:rPr>
              <w:t>2,766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b/>
              </w:rPr>
            </w:pPr>
            <w:r>
              <w:rPr>
                <w:b/>
              </w:rPr>
              <w:t>4,374</w:t>
            </w:r>
          </w:p>
        </w:tc>
        <w:tc>
          <w:tcPr>
            <w:tcW w:w="166"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388</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388</w:t>
            </w:r>
          </w:p>
        </w:tc>
        <w:tc>
          <w:tcPr>
            <w:tcW w:w="166"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38</w:t>
            </w:r>
          </w:p>
        </w:tc>
        <w:tc>
          <w:tcPr>
            <w:tcW w:w="166"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Cash dividends declared $0.73 per share and paid to shareholders</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(750</w:t>
            </w:r>
          </w:p>
        </w:tc>
        <w:tc>
          <w:tcPr>
            <w:tcW w:w="166" w:type="dxa"/>
            <w:tcBorders/>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2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2021</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b/>
              </w:rPr>
            </w:pPr>
            <w:r>
              <w:rPr>
                <w:b/>
              </w:rPr>
              <w:t>1,025,234,000</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b/>
              </w:rPr>
            </w:pPr>
            <w:r>
              <w:rPr>
                <w:b/>
              </w:rPr>
              <w:t>1,214</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b/>
              </w:rPr>
            </w:pPr>
            <w:r>
              <w:rPr>
                <w:b/>
              </w:rPr>
              <w:t>430</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b/>
              </w:rPr>
            </w:pPr>
            <w:r>
              <w:rPr>
                <w:b/>
              </w:rPr>
              <w:t>2,404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b/>
              </w:rPr>
            </w:pPr>
            <w:r>
              <w:rPr>
                <w:b/>
              </w:rPr>
              <w:t>4,050</w:t>
            </w:r>
          </w:p>
        </w:tc>
        <w:tc>
          <w:tcPr>
            <w:tcW w:w="166"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549</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549</w:t>
            </w:r>
          </w:p>
        </w:tc>
        <w:tc>
          <w:tcPr>
            <w:tcW w:w="166"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(31</w:t>
            </w:r>
          </w:p>
        </w:tc>
        <w:tc>
          <w:tcPr>
            <w:tcW w:w="166"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to ordinary shareholders related to Treasure Data and Arm China</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(1,020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(1,020</w:t>
            </w:r>
          </w:p>
        </w:tc>
        <w:tc>
          <w:tcPr>
            <w:tcW w:w="166" w:type="dxa"/>
            <w:tcBorders/>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2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2022</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b/>
              </w:rPr>
            </w:pPr>
            <w:r>
              <w:rPr>
                <w:b/>
              </w:rPr>
              <w:t>1,025,234,000</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b/>
              </w:rPr>
            </w:pPr>
            <w:r>
              <w:rPr>
                <w:b/>
              </w:rPr>
              <w:t>1,214</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b/>
              </w:rPr>
            </w:pPr>
            <w:r>
              <w:rPr>
                <w:b/>
              </w:rPr>
              <w:t>399</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b/>
              </w:rPr>
            </w:pPr>
            <w:r>
              <w:rPr>
                <w:b/>
              </w:rPr>
              <w:t>1,933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b/>
              </w:rPr>
            </w:pPr>
            <w:r>
              <w:rPr>
                <w:b/>
              </w:rPr>
              <w:t>3,548</w:t>
            </w:r>
          </w:p>
        </w:tc>
        <w:tc>
          <w:tcPr>
            <w:tcW w:w="166"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524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524</w:t>
            </w:r>
          </w:p>
        </w:tc>
        <w:tc>
          <w:tcPr>
            <w:tcW w:w="166"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fair value of the effective portion of designated cash flow hedges, net of tax</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8</w:t>
            </w:r>
          </w:p>
        </w:tc>
        <w:tc>
          <w:tcPr>
            <w:tcW w:w="166"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(31</w:t>
            </w:r>
          </w:p>
        </w:tc>
        <w:tc>
          <w:tcPr>
            <w:tcW w:w="166"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cost</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w:t>
            </w:r>
          </w:p>
        </w:tc>
        <w:tc>
          <w:tcPr>
            <w:tcW w:w="166" w:type="dxa"/>
            <w:tcBorders/>
            <w:shd w:fill="CCEEFF" w:val="clear"/>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2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2023</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b/>
              </w:rPr>
            </w:pPr>
            <w:r>
              <w:rPr>
                <w:b/>
              </w:rPr>
              <w:t>1,025,234,000</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0" w:type="dxa"/>
            <w:tcBorders/>
            <w:vAlign w:val="bottom"/>
          </w:tcPr>
          <w:p>
            <w:pPr>
              <w:pStyle w:val="TableContents"/>
              <w:bidi w:val="0"/>
              <w:spacing w:before="0" w:after="283"/>
              <w:jc w:val="right"/>
              <w:rPr>
                <w:b/>
              </w:rPr>
            </w:pPr>
            <w:r>
              <w:rPr>
                <w:b/>
              </w:rPr>
              <w:t>2</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b/>
              </w:rPr>
            </w:pPr>
            <w:r>
              <w:rPr>
                <w:b/>
              </w:rPr>
              <w:t>$</w:t>
            </w:r>
          </w:p>
        </w:tc>
        <w:tc>
          <w:tcPr>
            <w:tcW w:w="1362" w:type="dxa"/>
            <w:tcBorders/>
            <w:vAlign w:val="bottom"/>
          </w:tcPr>
          <w:p>
            <w:pPr>
              <w:pStyle w:val="TableContents"/>
              <w:bidi w:val="0"/>
              <w:spacing w:before="0" w:after="283"/>
              <w:jc w:val="right"/>
              <w:rPr>
                <w:b/>
              </w:rPr>
            </w:pPr>
            <w:r>
              <w:rPr>
                <w:b/>
              </w:rPr>
              <w:t>1,216</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b/>
              </w:rPr>
            </w:pPr>
            <w:r>
              <w:rPr>
                <w:b/>
              </w:rPr>
              <w:t>$</w:t>
            </w:r>
          </w:p>
        </w:tc>
        <w:tc>
          <w:tcPr>
            <w:tcW w:w="1179" w:type="dxa"/>
            <w:tcBorders/>
            <w:vAlign w:val="bottom"/>
          </w:tcPr>
          <w:p>
            <w:pPr>
              <w:pStyle w:val="TableContents"/>
              <w:bidi w:val="0"/>
              <w:spacing w:before="0" w:after="283"/>
              <w:jc w:val="right"/>
              <w:rPr>
                <w:b/>
              </w:rPr>
            </w:pPr>
            <w:r>
              <w:rPr>
                <w:b/>
              </w:rPr>
              <w:t>376</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780" w:type="dxa"/>
            <w:tcBorders/>
            <w:vAlign w:val="bottom"/>
          </w:tcPr>
          <w:p>
            <w:pPr>
              <w:pStyle w:val="TableContents"/>
              <w:bidi w:val="0"/>
              <w:spacing w:before="0" w:after="283"/>
              <w:jc w:val="right"/>
              <w:rPr>
                <w:b/>
              </w:rPr>
            </w:pPr>
            <w:r>
              <w:rPr>
                <w:b/>
              </w:rPr>
              <w:t>2,457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4,051</w:t>
            </w:r>
          </w:p>
        </w:tc>
        <w:tc>
          <w:tcPr>
            <w:tcW w:w="166" w:type="dxa"/>
            <w:tcBorders/>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13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400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0" w:name="rider393891_6"/>
      <w:bookmarkEnd w:id="40"/>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30"/>
        <w:gridCol w:w="231"/>
        <w:gridCol w:w="159"/>
        <w:gridCol w:w="728"/>
        <w:gridCol w:w="176"/>
        <w:gridCol w:w="195"/>
        <w:gridCol w:w="159"/>
        <w:gridCol w:w="668"/>
        <w:gridCol w:w="176"/>
        <w:gridCol w:w="195"/>
        <w:gridCol w:w="159"/>
        <w:gridCol w:w="670"/>
        <w:gridCol w:w="159"/>
      </w:tblGrid>
      <w:tr>
        <w:trPr/>
        <w:tc>
          <w:tcPr>
            <w:tcW w:w="653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159"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Cash flows provided by operating activities: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Net income</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524</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549</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388</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Adjustments to reconcile net income to net cash provided by operating activities: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Depreciation and amortization</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170</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185</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201</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Deferred income taxes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(34</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(76</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(33</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Loss (income) from equity investments, net</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45</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(141</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(476</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Impairment losses on long-lived assets and loans receivable</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43</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Share-based compensation cost</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79</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26</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54</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Operating lease expense</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34</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41</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47</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Other non-cash operating activities, net</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(6</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19</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16</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Changes in assets and liabilities: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Accounts receivable, net (including receivables from related parties)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125</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(219</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19</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Contract assets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(158</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Prepaid expenses and other assets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(41</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(53</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Accrued compensation and benefits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(138</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127</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144</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Contract liabilities (including contract liabilities from related parties)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(37</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(51</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950</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Tax liabilities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35</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112</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(50</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Operating lease liabilities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(58</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(59</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Other liabilities (including payables to related parties)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101</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(9</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b/>
                <w:sz w:val="17"/>
              </w:rPr>
            </w:pPr>
            <w:r>
              <w:rPr>
                <w:rFonts w:ascii="Times New Roman" w:hAnsi="Times New Roman"/>
                <w:b/>
                <w:sz w:val="17"/>
              </w:rPr>
              <w:t>Net cash provided by operating activities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739</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458</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1,233</w:t>
            </w:r>
          </w:p>
        </w:tc>
        <w:tc>
          <w:tcPr>
            <w:tcW w:w="159"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Cash flows used for investing activities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Purchase of short-term investments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(1,111</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(750</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(235</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20"/>
              <w:jc w:val="left"/>
              <w:rPr>
                <w:rFonts w:ascii="Times New Roman" w:hAnsi="Times New Roman"/>
                <w:sz w:val="17"/>
              </w:rPr>
            </w:pPr>
            <w:r>
              <w:rPr>
                <w:rFonts w:ascii="Times New Roman" w:hAnsi="Times New Roman"/>
                <w:sz w:val="17"/>
              </w:rPr>
              <w:t>Proceeds from maturity of short-term investments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1,081</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245</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110</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Purchases of equity investments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(15</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(8</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(50</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Purchases of intangible assets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(29</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(41</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(61</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Purchases of property and equipment</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(64</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(34</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(104</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Investments in convertible loans and other</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(31</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b/>
                <w:sz w:val="17"/>
              </w:rPr>
            </w:pPr>
            <w:r>
              <w:rPr>
                <w:rFonts w:ascii="Times New Roman" w:hAnsi="Times New Roman"/>
                <w:b/>
                <w:sz w:val="17"/>
              </w:rPr>
              <w:t>Net cash used for investing activities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(138</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(619</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(340</w:t>
            </w:r>
          </w:p>
        </w:tc>
        <w:tc>
          <w:tcPr>
            <w:tcW w:w="159"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Cash flows used for financing activities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Cash dividends declared and paid to shareholders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(750</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Cash transfers associated with distribution and sale of Treasure Data and IoTP, respectively</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(43</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Payment of intangible asset obligations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(40</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(37</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(38</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Proceeds from short-term debt borrowing</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50</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Other financing activities, net</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(2</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Net cash used for financing activities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(42</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(32</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(789</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Effect of foreign exchange rate changes on cash and cash equivalents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(17</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increase (decrease) in cash and cash equivalents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550</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(210</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105</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Cash and cash equivalents at the beginning of the year</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1,004</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1,214</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1,109</w:t>
            </w:r>
          </w:p>
        </w:tc>
        <w:tc>
          <w:tcPr>
            <w:tcW w:w="159"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Cash and cash equivalents at the end of the year</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1,554</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1,004</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1,214</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Less cash from discontinued operations, end of the year</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(43</w:t>
            </w:r>
          </w:p>
        </w:tc>
        <w:tc>
          <w:tcPr>
            <w:tcW w:w="159"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Cash and cash equivalents from continuing operations, end of the year</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1,554</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1,004</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1,171</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b/>
                <w:sz w:val="17"/>
              </w:rPr>
            </w:pPr>
            <w:r>
              <w:rPr>
                <w:rFonts w:ascii="Times New Roman" w:hAnsi="Times New Roman"/>
                <w:b/>
                <w:sz w:val="17"/>
              </w:rPr>
              <w:t>Supplemental disclosure of cash flow information:</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72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Cash payments for income taxes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(159</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(141</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(174</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Cash refunds from income taxes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2</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52</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31</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Cash payments for interest</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rHeight w:val="120" w:hRule="atLeast"/>
        </w:trPr>
        <w:tc>
          <w:tcPr>
            <w:tcW w:w="6530" w:type="dxa"/>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r>
      <w:tr>
        <w:trPr/>
        <w:tc>
          <w:tcPr>
            <w:tcW w:w="6530" w:type="dxa"/>
            <w:tcBorders/>
          </w:tcPr>
          <w:p>
            <w:pPr>
              <w:pStyle w:val="TableContents"/>
              <w:bidi w:val="0"/>
              <w:spacing w:before="0" w:after="0"/>
              <w:jc w:val="left"/>
              <w:rPr>
                <w:rFonts w:ascii="Times New Roman" w:hAnsi="Times New Roman"/>
                <w:b/>
                <w:sz w:val="17"/>
              </w:rPr>
            </w:pPr>
            <w:r>
              <w:rPr>
                <w:rFonts w:ascii="Times New Roman" w:hAnsi="Times New Roman"/>
                <w:b/>
                <w:sz w:val="17"/>
              </w:rPr>
              <w:t>Non-cash investing and financing activities:</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72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Non-cash distributions associated with Arm China and Treasure Data</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(980</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30" w:type="dxa"/>
            <w:tcBorders/>
          </w:tcPr>
          <w:p>
            <w:pPr>
              <w:pStyle w:val="TableContents"/>
              <w:bidi w:val="0"/>
              <w:spacing w:before="0" w:after="0"/>
              <w:jc w:val="left"/>
              <w:rPr>
                <w:rFonts w:ascii="Times New Roman" w:hAnsi="Times New Roman"/>
                <w:sz w:val="17"/>
              </w:rPr>
            </w:pPr>
            <w:r>
              <w:rPr>
                <w:rFonts w:ascii="Times New Roman" w:hAnsi="Times New Roman"/>
                <w:sz w:val="17"/>
              </w:rPr>
              <w:t>Non-cash changes in property, plant and equipment</w:t>
            </w:r>
          </w:p>
        </w:tc>
        <w:tc>
          <w:tcPr>
            <w:tcW w:w="23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11</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53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Non-cash additions to equity investments from conversion of certain receivables</w:t>
            </w:r>
          </w:p>
        </w:tc>
        <w:tc>
          <w:tcPr>
            <w:tcW w:w="23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18</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60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1" w:name="rider393891_7"/>
      <w:bookmarkEnd w:id="41"/>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and 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Arm Limited (the Company) 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accounting principles generally accepted in the U.S. (GAAP) and pursuant to the rules and regulations of the Securities and Exchange Commission (SEC). The Companys fiscal year ends on March 31st. The accompanying consolidated financial statements include the accounts of the Company and its wholly owned subsidiaries. All intercompany balances and transactions have been eliminated in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are presented in U.S. dollar (USD), which is the Companys functional and reporting currency. For most of the Companys international operations, the local currency has been determined to be the functional currency of the respective entity. </w:t>
      </w:r>
    </w:p>
    <w:p>
      <w:pPr>
        <w:pStyle w:val="TextBody"/>
        <w:bidi w:val="0"/>
        <w:spacing w:before="240" w:after="0"/>
        <w:jc w:val="left"/>
        <w:rPr>
          <w:rFonts w:ascii="Times New Roman" w:hAnsi="Times New Roman"/>
          <w:sz w:val="20"/>
        </w:rPr>
      </w:pPr>
      <w:r>
        <w:rPr>
          <w:rFonts w:ascii="Times New Roman" w:hAnsi="Times New Roman"/>
          <w:sz w:val="20"/>
        </w:rPr>
        <w:t xml:space="preserve">For transactions entered into in a currency other than its functional currency, monetary assets and liabilities are remeasured into the functional currency at end-of-period exchange rates. Non-monetary assets and liabilities, along with equity are remeasured at historical exchange rates. Income and expenses are remeasured at exchange rates in effect during each period, except for those expenses related to non-monetary balance sheet amounts, which are remeasured at historical exchange rates. Gains or losses from foreign currency remeasurement are included in other non-operating income (loss), net on the Consolidated Income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translates functional currency assets and liabilities to their USD equivalents at exchange rates in effect as of the balance sheet date and income and expense amounts at average exchange rates for the period. The USD effects that arise from changing translation rates are recorded in foreign currency translation adjustments on the Consolidated Statements of Comprehensive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revenues and expenses during the reporting periods. Significant items subject to such estimates include, but are not limited to, revenue recognition, allowance for doubtful accounts,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Inputs used in judgments and estimates consider the economic implications of COVID-19. The impact of COVID-19 related estimates were not material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is the risk of an unexpected loss if a customer or third-party to a financial instrument fails to meet its contractual obligations. Financial instruments that potentially subject the Company to concentrations of credit risk consist principally of cash and cash equivalents, bank deposits, short-term investments, derivative financial instruments and accounts receivable. The Companys maximum exposure to credit risk is limited to the carrying amount of these assets. The credit risk on liquid funds and derivative financial instruments is limited because the counterparties are banks with high credit ratings assigned by international credit rating agencies. The Company further manages its credit risk on liquid funds and derivative financial instruments through diversification of investment type and credit exposures. For accounts receivable, the credit risk is managed through the use of mitigating controls, including the use of credit checks and credit limits on customers. For financial assets (other than accounts receivable), the Company holds positions with an approved list of investment-grade rated counterparties and monitors the exposures and counterparty credit risk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March 2022, the Company entered into a Guarantee (as defined below) as discussed more fully in Note 19, </w:t>
      </w:r>
      <w:r>
        <w:rPr>
          <w:rFonts w:ascii="Times New Roman" w:hAnsi="Times New Roman"/>
          <w:i/>
          <w:sz w:val="20"/>
        </w:rPr>
        <w:t>Commitments and Contingencies,</w:t>
      </w:r>
      <w:r>
        <w:rPr>
          <w:rFonts w:ascii="Times New Roman" w:hAnsi="Times New Roman"/>
          <w:sz w:val="20"/>
        </w:rPr>
        <w:t xml:space="preserve"> relating to the payment obligations under the Facility Agreement owed by Kronos (as defined below), an entity under common control of SoftBank Group Corp. (SoftBank Group). Under the terms of the arrangements, a subsidiary of Kronos secured the obligations under the Facility Agreement (as defined below) by pledging its 75.01% interest in the Company and upon an Arm Guarantee Trigger Event (as defined below) as discussed in Note 19, </w:t>
      </w:r>
      <w:r>
        <w:rPr>
          <w:rFonts w:ascii="Times New Roman" w:hAnsi="Times New Roman"/>
          <w:i/>
          <w:sz w:val="20"/>
        </w:rPr>
        <w:t>Commitments and Contingencies</w:t>
      </w:r>
      <w:r>
        <w:rPr>
          <w:rFonts w:ascii="Times New Roman" w:hAnsi="Times New Roman"/>
          <w:sz w:val="20"/>
        </w:rPr>
        <w:t xml:space="preserve">, the Company may become exposed to the credit risk of Kronos failing to pay its obligations, monetize the share collateral to settle the obligations directly, or otherwise restructure the Facility Agreement before obligations are due. Upon default, the lenders can satisfy their claim either through foreclosing on the pledged 75.01% interest in the Company or through enforcing the Companys obligations pursuant to the Guarantee.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include cash on hand, short-term deposits and money market funds with original maturities of three months or less that are readily convertible into known amounts of cash and are subject to insignificant risk of changes in value. Cash and cash equivalents are stated at cost, which approximates fair value because the short-term maturity of those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Short-term investments represent term deposits with banks with a maturity between three and 12 months. These investments are classified as held-to-maturity as the Company has the intent and ability to hold the investments to maturity. These investments are recorded at amortized cost, net of expected credit losses. Amortization of premiums or accretion of discounts are included in interest income (expense), net on the Consolidated Income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regularly invests in equity securities of public and private companies to promote business and strategic objectives. Equity investments are measured and recorded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Marketable equity securities are equity securities with readily determinable fair values that are measured and recorded at fair value on a recurring basis with changes in fair value, whether realized or unrealized, recorded on the income statement. Fair value is determined based on quoted market rates when observable or by utilizing data points that are observable, such as quoted prices, interest rates or yield curves. During the fiscal year ended March 31, 2021, the Company disposed of its only marketable security. Accordingly, the Company did not have any marketable equity securities as of March 31, 2023 and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Non-marketable equity securities are equity securities without readily determinable fair values and for which the Company does not have the ability to exercise significant influence. Non-marketable equity securities are recorded on the income statement either at fair value on a recurring basis with changes in fair value, whether realized or unrealized; or by election, measured and recorded using a measurement alternative that measures the securities at cost minus impairment, if any, plus or minus changes resulting from qualifying observable price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method investments are equity securities in investees in which the Company does not control but has the ability to exercise significant influence. Investments in limited partnerships or certain limited liability companies that maintain a specific ownership account for each investor are accounted for using the equity method when the Company has more than virtually no influence (i.e., at least 3% to 5% ownership). The Company has elected to account for certain equity method investments under the fair value option. These investments are recorded at fair value with changes in fair value recorded on the income statement. Where the Company has not elected the fair value option, equity method investments are recorded at cost minus impairment, if any, plus or minus the Companys share of the equity method investees income or loss recorded on the income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certain non-marketable equity securities and equity method investments, the Company has elected to apply the net asset value (NAV) practical expedient, where NAV is the estimated fair value of the investments. For these securities estimated fair values are determined based on the indicated market values of the underlying assets or investment portfolios. Income statement activity for all equity investments is recorded in income from equity investments, net on the Consolidated Income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values of non-marketable equity securities under the measurement alternative are adjusted for qualifying observable price changes resulting from the issuance of similar or identical securities in an orderly transaction by the same issuer. Determining whether an observed transaction is similar to a security within the Companys portfolio requires judgment based on the rights and preferences of the securities. Recording upward and downward adjustments to the carrying values of equity securities as a result of observable price changes requires quantitative assessments of the fair values of the Companys equity securities using various valuation methodologies and involves the use of estimates. </w:t>
      </w:r>
    </w:p>
    <w:p>
      <w:pPr>
        <w:pStyle w:val="TextBody"/>
        <w:bidi w:val="0"/>
        <w:spacing w:before="240" w:after="0"/>
        <w:jc w:val="left"/>
        <w:rPr>
          <w:rFonts w:ascii="Times New Roman" w:hAnsi="Times New Roman"/>
          <w:sz w:val="20"/>
        </w:rPr>
      </w:pPr>
      <w:r>
        <w:rPr>
          <w:rFonts w:ascii="Times New Roman" w:hAnsi="Times New Roman"/>
          <w:sz w:val="20"/>
        </w:rPr>
        <w:t xml:space="preserve">Non-marketable equity securities under the measurement alternative and equity method investments not measured under the fair value option (collectively referred to as non-marketable equity securities) are also subject to periodic impairment analysis. The quarterly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the Company prepares quantitative assessments of the fair value of the non-marketable equity securities using both the market and income approaches, which require judgment and the use of estimates, including discount rates, investee revenue and costs, and comparable market data of private and public companies, among others. </w:t>
      </w:r>
    </w:p>
    <w:p>
      <w:pPr>
        <w:pStyle w:val="TextBody"/>
        <w:bidi w:val="0"/>
        <w:spacing w:before="240" w:after="0"/>
        <w:jc w:val="left"/>
        <w:rPr>
          <w:rFonts w:ascii="Times New Roman" w:hAnsi="Times New Roman"/>
          <w:sz w:val="20"/>
        </w:rPr>
      </w:pPr>
      <w:r>
        <w:rPr>
          <w:rFonts w:ascii="Times New Roman" w:hAnsi="Times New Roman"/>
          <w:sz w:val="20"/>
        </w:rPr>
        <w:t xml:space="preserve">Non-marketable equity securities under the measurement alternative are tested for impairment using a qualitative model similar to the model used to test goodwill and other long-lived assets for impairment. Upon determining an impairment may exist, the securitys fair value is calculated and compared to its carrying value and an impairment is recognized immediately if the carrying value exceeds fair value. </w:t>
      </w:r>
    </w:p>
    <w:p>
      <w:pPr>
        <w:pStyle w:val="TextBody"/>
        <w:bidi w:val="0"/>
        <w:spacing w:before="240" w:after="0"/>
        <w:jc w:val="left"/>
        <w:rPr>
          <w:rFonts w:ascii="Times New Roman" w:hAnsi="Times New Roman"/>
          <w:sz w:val="20"/>
        </w:rPr>
      </w:pPr>
      <w:r>
        <w:rPr>
          <w:rFonts w:ascii="Times New Roman" w:hAnsi="Times New Roman"/>
          <w:sz w:val="20"/>
        </w:rPr>
        <w:t xml:space="preserve">Equity method investments not measured under the fair value option are subject to periodic impairment reviews using the other-than-temporary impairment model, which considers the severity and duration of a decline in fair value below cost and the Companys ability and intent to hold the investment for a sufficient period of time to allow for recovery.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Loans Receivable </w:t>
      </w:r>
    </w:p>
    <w:p>
      <w:pPr>
        <w:pStyle w:val="TextBody"/>
        <w:bidi w:val="0"/>
        <w:spacing w:before="120" w:after="0"/>
        <w:jc w:val="left"/>
        <w:rPr>
          <w:rFonts w:ascii="Times New Roman" w:hAnsi="Times New Roman"/>
          <w:sz w:val="20"/>
        </w:rPr>
      </w:pPr>
      <w:r>
        <w:rPr>
          <w:rFonts w:ascii="Times New Roman" w:hAnsi="Times New Roman"/>
          <w:sz w:val="20"/>
        </w:rPr>
        <w:t xml:space="preserve">Loans receivable consist of term loans to a related party and other entities. The term loans are recorded at amortized cost, net of allowances for loan losses. The Company maintains an allowance for current expected credit losses to reserve for potentially uncollectible loans receivable. The Company measures interest income for all loans receivable using the interest method, which is based on the effective yield of the loans rather than the stated coupon rate. The Company classifies loans receivable in other non-currents assets on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Loans Receivable </w:t>
      </w:r>
    </w:p>
    <w:p>
      <w:pPr>
        <w:pStyle w:val="TextBody"/>
        <w:bidi w:val="0"/>
        <w:spacing w:before="120" w:after="0"/>
        <w:jc w:val="left"/>
        <w:rPr>
          <w:rFonts w:ascii="Times New Roman" w:hAnsi="Times New Roman"/>
          <w:sz w:val="20"/>
        </w:rPr>
      </w:pPr>
      <w:r>
        <w:rPr>
          <w:rFonts w:ascii="Times New Roman" w:hAnsi="Times New Roman"/>
          <w:sz w:val="20"/>
        </w:rPr>
        <w:t xml:space="preserve">Convertible loans receivable consist of convertible loans to certain entities. The Company has elected to apply the fair value option to account for such convertible loans receivable. Under the fair value option, such convertible loans receivable are measured initially and subsequently at fair value with changes in fair value recorded in other non-operating income (loss), net on the Consolidated Income Statements. Convertible loans receivable are included in other non-current assets on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certain assets and liabilities at fair value, either upon initial recognition or for subsequent accounting or reporting. Fair value is defined as the price that would be received to sell an asset or be paid to transfer a liability in an orderly transaction between market participants at the measurement date (exit price). When determining fair value, the Company considers the principal or most advantageous market in which the Company would transact, as well as assumptions that market participants would use when pricing the asset or liability. When estimating fair value, depending on the nature and complexity of the asset or liability, the Company may use one or all of the following techniques: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approach, which is based on the present value of a future stream of net cash 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approach, which is based on market prices and other information from market transactions involving identical or comparable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approach, which is based on the cost to acquire or construct comparable assets, less an allowance for functional and/or economic obsolescence.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Fair value disclosures are classified based on the fair value hierarchy, which prioritizes the inputs used in the valuation methodologies in measuring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Unadjusted quoted prices in active markets that are accessible at the measurement date for identical, unrestricted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Prices or valuation techniques requiring inputs that are both significant to the fair value measurement and unobservable.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refer to Note 13, </w:t>
      </w:r>
      <w:r>
        <w:rPr>
          <w:rFonts w:ascii="Times New Roman" w:hAnsi="Times New Roman"/>
          <w:i/>
          <w:sz w:val="20"/>
        </w:rPr>
        <w:t>Fair Value</w:t>
      </w:r>
      <w:r>
        <w:rPr>
          <w:rFonts w:ascii="Times New Roman" w:hAnsi="Times New Roman"/>
          <w:sz w:val="20"/>
        </w:rPr>
        <w:t xml:space="preserve">, for further discussion on the Companys fair value measurements.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the acquisition method of accounting for business combinations, which requires separate recognition of assets acquired and liabilities assumed from goodwill, based on their estimated fair values at the time of acquisition. Goodwill as of the acquisition date is measured as the excess of consideration transferred and the fair value of any non-controlling interests in the acquiree over the net of the estimated acquisition date fair values of the assets acquired and liabilities assumed. The estimates and assumptions used in valuing intangible assets include, but are not limited to, the amount and timing of projected future cash flows, discount rate used to determine the present value of these cash flows and the useful lives of the assets. Although the Companys fair value estimates are based upon assumptions believed to be reasonable, these estimates and assumptions are inherently uncertain and subject to refinement.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during the measurement period up to one year from the acquisition date, the Company may record adjustments to the assets acquired and liabilities assumed with the corresponding offset to goodwill. Upon conclusion of the measurement period or final determination of fair values of the purchase price of an acquisition, whichever comes first, any subsequent adjustments are recorded in earnings on the Consolidated Income Statements. Acquisition-related expenses are recognized separately from the business combination and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cost over the fair value of net assets acquired in a business combination. Goodwill is tested for impairment annually during the fourth fiscal quarter or during interim periods whenever events and circumstances indicate an impairment may have occurred. The identification and measurement of goodwill impairment involves the estimation of fair value at the Companys reporting unit level, which is the same or one level below the operating segment level. The Company determined it has one reporting unit.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option to assess qualitative factors first to determine whether it is necessary to perform the two-step test. If the Company believes, as a result of the qualitative assessment, that it is more-likely-than-not that the fair value of the reporting unit is less than its carrying amount, the two-step quantitative impairment test is required. Otherwise, no further testing is required. In the qualitative assessment, the Company considers primary factors such as industry and market considerations, overall financial performance of the reporting unit, and other specific information related to the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completed its annual goodwill impairment test in the fourth fiscal quarter of the fiscal year ended March 31, 2023. It was determined, after performing a qualitative review, it was not more-likely-than-not that the fair value of the Companys single reporting unit was less than its carrying amount. Accordingly, there was no indication of impairment.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Intangible Assets, Net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primarily represent acquired intangible assets including those acquired separately, such as computer software and purchased patents and licenses to use technology, as well as those acquired through business combination such as in-process research and development (IPR&amp;D), developed technology, and customer relationship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records intangible assets acquired in a business combination at their estimated fair value. Intangible assets are reported net of accumulated amortization and are amortized over their estimated useful lives at amortization rates that are proportionate to each assets estimated economic benefit. The Company initially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capitalizes the fair value of IPR&amp;D as an intangible asset with an indefinite life. When IPR&amp;D projects are ready for use, they are treated as an amortizable intangible asset and amortized over the assets estimated useful life, which is usually between one and five years. </w:t>
      </w:r>
    </w:p>
    <w:p>
      <w:pPr>
        <w:pStyle w:val="TextBody"/>
        <w:bidi w:val="0"/>
        <w:spacing w:before="240" w:after="0"/>
        <w:jc w:val="left"/>
        <w:rPr>
          <w:rFonts w:ascii="Times New Roman" w:hAnsi="Times New Roman"/>
          <w:sz w:val="20"/>
        </w:rPr>
      </w:pPr>
      <w:r>
        <w:rPr>
          <w:rFonts w:ascii="Times New Roman" w:hAnsi="Times New Roman"/>
          <w:sz w:val="20"/>
        </w:rPr>
        <w:t xml:space="preserve">Amortization of intangible assets is recorded in either cost of sales, research &amp; development or selling, general and administrative expenses on the Consolidated Income Statements depending on the nature of the underlying asset and uses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cost of intangible assets is amortized and recorded on the income statement on a straight-line basis over the estimated useful lives of the underlying assets. Useful lives are reviewed each year and adjustments are made, where applicable, on a prospective basis. The estimated useful lives of the Companys intangible assets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79"/>
        <w:gridCol w:w="282"/>
        <w:gridCol w:w="5727"/>
      </w:tblGrid>
      <w:tr>
        <w:trPr/>
        <w:tc>
          <w:tcPr>
            <w:tcW w:w="337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5727" w:type="dxa"/>
            <w:tcBorders/>
            <w:vAlign w:val="center"/>
          </w:tcPr>
          <w:p>
            <w:pPr>
              <w:pStyle w:val="TableContents"/>
              <w:bidi w:val="0"/>
              <w:spacing w:before="0" w:after="283"/>
              <w:jc w:val="left"/>
              <w:rPr>
                <w:sz w:val="4"/>
                <w:szCs w:val="4"/>
              </w:rPr>
            </w:pPr>
            <w:r>
              <w:rPr>
                <w:sz w:val="4"/>
                <w:szCs w:val="4"/>
              </w:rPr>
            </w:r>
          </w:p>
        </w:tc>
      </w:tr>
      <w:tr>
        <w:trPr/>
        <w:tc>
          <w:tcPr>
            <w:tcW w:w="3379" w:type="dxa"/>
            <w:tcBorders/>
          </w:tcPr>
          <w:p>
            <w:pPr>
              <w:pStyle w:val="TableContents"/>
              <w:bidi w:val="0"/>
              <w:spacing w:before="0" w:after="283"/>
              <w:jc w:val="left"/>
              <w:rPr/>
            </w:pPr>
            <w:r>
              <w:rPr/>
              <w:t>Patents and licenses</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3  11 years</w:t>
            </w:r>
          </w:p>
        </w:tc>
      </w:tr>
      <w:tr>
        <w:trPr/>
        <w:tc>
          <w:tcPr>
            <w:tcW w:w="3379" w:type="dxa"/>
            <w:tcBorders/>
          </w:tcPr>
          <w:p>
            <w:pPr>
              <w:pStyle w:val="TableContents"/>
              <w:bidi w:val="0"/>
              <w:spacing w:before="0" w:after="283"/>
              <w:jc w:val="left"/>
              <w:rPr/>
            </w:pPr>
            <w:r>
              <w:rPr/>
              <w:t>Computer software</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3  5 years</w:t>
            </w:r>
          </w:p>
        </w:tc>
      </w:tr>
      <w:tr>
        <w:trPr/>
        <w:tc>
          <w:tcPr>
            <w:tcW w:w="3379" w:type="dxa"/>
            <w:tcBorders/>
          </w:tcPr>
          <w:p>
            <w:pPr>
              <w:pStyle w:val="TableContents"/>
              <w:bidi w:val="0"/>
              <w:spacing w:before="0" w:after="283"/>
              <w:jc w:val="left"/>
              <w:rPr/>
            </w:pPr>
            <w:r>
              <w:rPr/>
              <w:t>Developed technology</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1  8 years</w:t>
            </w:r>
          </w:p>
        </w:tc>
      </w:tr>
      <w:tr>
        <w:trPr/>
        <w:tc>
          <w:tcPr>
            <w:tcW w:w="3379" w:type="dxa"/>
            <w:tcBorders/>
          </w:tcPr>
          <w:p>
            <w:pPr>
              <w:pStyle w:val="TableContents"/>
              <w:bidi w:val="0"/>
              <w:spacing w:before="0" w:after="283"/>
              <w:jc w:val="left"/>
              <w:rPr/>
            </w:pPr>
            <w:r>
              <w:rPr/>
              <w:t>Customer relationships</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1  6 years</w:t>
            </w:r>
          </w:p>
        </w:tc>
      </w:tr>
      <w:tr>
        <w:trPr/>
        <w:tc>
          <w:tcPr>
            <w:tcW w:w="3379" w:type="dxa"/>
            <w:tcBorders/>
          </w:tcPr>
          <w:p>
            <w:pPr>
              <w:pStyle w:val="TableContents"/>
              <w:bidi w:val="0"/>
              <w:spacing w:before="0" w:after="283"/>
              <w:jc w:val="left"/>
              <w:rPr/>
            </w:pPr>
            <w:r>
              <w:rPr/>
              <w:t>Trade names</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4 years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Software Development Costs and Acquired Intangible Software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not historically capitalized software development costs for software to be sold, leased or otherwise marketed as the time and cost incurred between technological feasibility and product release has been determined to be immaterial. As such, these development costs are generally recognized as incurred in research and development expenses on the Consolidated Income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capitalizes certain development costs related to software acquired, developed or modified for internal use, along with certain costs incurred in connection with the implementation of internal use software. Costs related to certain application development activities are subject to capitalization. Costs related to preliminary project and post implementation activities are expensed as incurred. Amortization begins once the software is ready for its intended use, and amortization expense is generally recognized on a straight-line basis over the softwares estimated useful life between three and five years. </w:t>
      </w:r>
    </w:p>
    <w:p>
      <w:pPr>
        <w:pStyle w:val="TextBody"/>
        <w:bidi w:val="0"/>
        <w:spacing w:before="240" w:after="0"/>
        <w:jc w:val="left"/>
        <w:rPr>
          <w:rFonts w:ascii="Times New Roman" w:hAnsi="Times New Roman"/>
          <w:sz w:val="20"/>
        </w:rPr>
      </w:pPr>
      <w:r>
        <w:rPr>
          <w:rFonts w:ascii="Times New Roman" w:hAnsi="Times New Roman"/>
          <w:sz w:val="20"/>
        </w:rPr>
        <w:t xml:space="preserve">Capitalized costs related to internal use software, net of accumulated amortization, are included in intangible assets, net on the Consolidated Balance Sheets and amortization expense is recognized in selling, general &amp; administrative expenses on the Consolidated Income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net of accumulated depreciation and impairment losses. Cost comprises expenditures directly attributable to the purchase of the asset. Assets are depreciated to their estimated residual value, on a straight-line basis, over the estimated useful life of the underlying asset. Estimated useful lives and residual values are reviewed at each reporting date. Depreciation on property and equipment is recorded in cost of sales, research and development or selling, general &amp; administrative expenses on the Consolidated Income Statements depending on the nature of the underlying asset and uses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Estimated useful lives of the Companys property and equipment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79"/>
        <w:gridCol w:w="282"/>
        <w:gridCol w:w="5727"/>
      </w:tblGrid>
      <w:tr>
        <w:trPr/>
        <w:tc>
          <w:tcPr>
            <w:tcW w:w="337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5727" w:type="dxa"/>
            <w:tcBorders/>
            <w:vAlign w:val="center"/>
          </w:tcPr>
          <w:p>
            <w:pPr>
              <w:pStyle w:val="TableContents"/>
              <w:bidi w:val="0"/>
              <w:spacing w:before="0" w:after="283"/>
              <w:jc w:val="left"/>
              <w:rPr>
                <w:sz w:val="4"/>
                <w:szCs w:val="4"/>
              </w:rPr>
            </w:pPr>
            <w:r>
              <w:rPr>
                <w:sz w:val="4"/>
                <w:szCs w:val="4"/>
              </w:rPr>
            </w:r>
          </w:p>
        </w:tc>
      </w:tr>
      <w:tr>
        <w:trPr/>
        <w:tc>
          <w:tcPr>
            <w:tcW w:w="3379" w:type="dxa"/>
            <w:tcBorders/>
          </w:tcPr>
          <w:p>
            <w:pPr>
              <w:pStyle w:val="TableContents"/>
              <w:bidi w:val="0"/>
              <w:spacing w:before="0" w:after="283"/>
              <w:jc w:val="left"/>
              <w:rPr/>
            </w:pPr>
            <w:r>
              <w:rPr/>
              <w:t>Buildings</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25 years</w:t>
            </w:r>
          </w:p>
        </w:tc>
      </w:tr>
      <w:tr>
        <w:trPr/>
        <w:tc>
          <w:tcPr>
            <w:tcW w:w="3379" w:type="dxa"/>
            <w:tcBorders/>
          </w:tcPr>
          <w:p>
            <w:pPr>
              <w:pStyle w:val="TableContents"/>
              <w:bidi w:val="0"/>
              <w:spacing w:before="0" w:after="283"/>
              <w:jc w:val="left"/>
              <w:rPr/>
            </w:pPr>
            <w:r>
              <w:rPr/>
              <w:t>Leasehold improvements</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Shorter of 5  10 years or the remaining lease term</w:t>
            </w:r>
          </w:p>
        </w:tc>
      </w:tr>
      <w:tr>
        <w:trPr/>
        <w:tc>
          <w:tcPr>
            <w:tcW w:w="3379" w:type="dxa"/>
            <w:tcBorders/>
          </w:tcPr>
          <w:p>
            <w:pPr>
              <w:pStyle w:val="TableContents"/>
              <w:bidi w:val="0"/>
              <w:spacing w:before="0" w:after="283"/>
              <w:jc w:val="left"/>
              <w:rPr/>
            </w:pPr>
            <w:r>
              <w:rPr/>
              <w:t>Equipment</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3  5 years</w:t>
            </w:r>
          </w:p>
        </w:tc>
      </w:tr>
      <w:tr>
        <w:trPr/>
        <w:tc>
          <w:tcPr>
            <w:tcW w:w="3379" w:type="dxa"/>
            <w:tcBorders/>
          </w:tcPr>
          <w:p>
            <w:pPr>
              <w:pStyle w:val="TableContents"/>
              <w:bidi w:val="0"/>
              <w:spacing w:before="0" w:after="283"/>
              <w:jc w:val="left"/>
              <w:rPr/>
            </w:pPr>
            <w:r>
              <w:rPr/>
              <w:t>Fixtures and motor vehicles</w:t>
            </w:r>
          </w:p>
        </w:tc>
        <w:tc>
          <w:tcPr>
            <w:tcW w:w="282"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3  5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item of property or equipment is written off either upon disposal or when there is no expected future economic benefit from its continued use. Gain or loss on derecognition of the asset (calculated as the difference between the net disposal proceeds and the carrying value of the asset) is included in the income statement in the year the asset is derecognized.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Other than Goodwill </w:t>
      </w:r>
    </w:p>
    <w:p>
      <w:pPr>
        <w:pStyle w:val="TextBody"/>
        <w:bidi w:val="0"/>
        <w:spacing w:before="120" w:after="0"/>
        <w:jc w:val="left"/>
        <w:rPr>
          <w:rFonts w:ascii="Times New Roman" w:hAnsi="Times New Roman"/>
          <w:sz w:val="20"/>
        </w:rPr>
      </w:pPr>
      <w:r>
        <w:rPr>
          <w:rFonts w:ascii="Times New Roman" w:hAnsi="Times New Roman"/>
          <w:sz w:val="20"/>
        </w:rPr>
        <w:t xml:space="preserve">The Company reviews long-lived assets other than goodwill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 is determined based on quoted market values, discounted cash flows, or external appraisals, as applicable. Impairment losses are recorded in impairment of long-lived assets on the Consolidated Income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 The Company recognizes right-of-use assets and operating lease liabilities for lessee operating leases other than those with a term of 12 months or less as the Company has elected to apply the short-term lease recognition exemption. Right-of-use assets represent the right to use an underlying asset for the lease term and lease liabilities represent an obligation to make lease payments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right-of-use assets and lease liabilities are measured at the lease commencement date based on the present value of the remaining lease payments over the lease term, discounted using the Companys incremental borrowing rate, which approximates the interest rate at which the Company could borrow on a collateralized basis with similar terms and payments and in similar economic environments. Operating lease right-of-use assets also include initial direct costs incurred and prepaid lease payments, minus any lease incentives. Lease terms include options to extend or terminate the lease when it is reasonably certain that the option will be exercised. All lease and non-lease components, principally common area maintenance costs, are combined in determining operating lease right-of-use assets and lease liabilities. For operating leases, lease expense is recognized on a straight-line basis over the lease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Retirement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An asset retirement obligation (ARO) is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cash flows underlying the obligation, if any. Over time, the liability is accreted to its present value and the capitalized cost is depreciated over the estimated useful life of the asset. The Company has recognized AROs for contractually mandated removal of leasehold improvements.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Derivative Financial Instruments and Hedge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derivative financial instruments, specifically foreign currency forward contracts, to mitigate exposure from certain foreign currency risk. Certain forecasted transactions, specifically British pound sterling (GBP) denominated cash flows in the form of payroll and selling, general and administrative expenses are exposed to foreign currency risk. The Company monitors foreign currency exposures on a monthly basis to maximize the economic effectiveness of foreign currency hedge positions. </w:t>
      </w:r>
    </w:p>
    <w:p>
      <w:pPr>
        <w:pStyle w:val="TextBody"/>
        <w:bidi w:val="0"/>
        <w:spacing w:before="240" w:after="0"/>
        <w:jc w:val="left"/>
        <w:rPr>
          <w:rFonts w:ascii="Times New Roman" w:hAnsi="Times New Roman"/>
          <w:sz w:val="20"/>
        </w:rPr>
      </w:pPr>
      <w:r>
        <w:rPr>
          <w:rFonts w:ascii="Times New Roman" w:hAnsi="Times New Roman"/>
          <w:sz w:val="20"/>
        </w:rPr>
        <w:t xml:space="preserve">No derivatives were designated hedges prior to July 2022. All derivatives are recorded at fair value as either an asset or liability. For derivatives not designated as hedges, adjustments to reflect changes in the fair value of the derivatives are included in earnings in other non-operating income (loss), net on the Consolidated Income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July 2022, all foreign currency forward contracts were designated as cash flow hedges in designated hedging relationships with the forecasted foreign denominated cash flows as the hedged transactions. The maximum length of time over which the Company is hedging its exposure to the variability in future foreign denominated cash flows is one year. For cash flow hedges that qualify and are designated for hedge accounting, the change in fair value of the derivative is recorded in the net change in fair value of the effective portion of designated cash flow hedges on the Consolidated Statements of Comprehensive Income, and subsequently recognized in research and development and selling, general and administrative expenses on the Consolidated Income Statements when the hedged transaction affects earnings.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all derivative assets and liabilities for designated and non-designated derivatives in prepaid expenses and other current assets and other current liabilities on the Consolidated Balance Sheets. The Company classifies cash flows from the settlement of effective cash flow hedges for designated and non-designated derivatives in the same category as the cash flows from the related hedged items in operating activities on the Consolidated Statements of Cash Flows. The foreign currency forward contracts are classified under Level 2 of the fair value hierarchy. See Note 13, </w:t>
      </w:r>
      <w:r>
        <w:rPr>
          <w:rFonts w:ascii="Times New Roman" w:hAnsi="Times New Roman"/>
          <w:i/>
          <w:sz w:val="20"/>
        </w:rPr>
        <w:t>Fair Value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revenues for the transfer of products or services to customers in an amount that reflects the consideration to which the Company expects to be entitled in exchange for those products or services. The principle is achieved through the following five-step approach: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of the contract with the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of the performance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Determination of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Allocation of the transaction price to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Recognition of revenue when, or as, the Company satisfies a performance obligation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Revenue for the Companys major product offerings consists of the following: </w:t>
      </w:r>
    </w:p>
    <w:p>
      <w:pPr>
        <w:pStyle w:val="TextBody"/>
        <w:bidi w:val="0"/>
        <w:spacing w:before="360" w:after="0"/>
        <w:jc w:val="left"/>
        <w:rPr>
          <w:rFonts w:ascii="Times New Roman" w:hAnsi="Times New Roman"/>
          <w:i/>
          <w:sz w:val="20"/>
        </w:rPr>
      </w:pPr>
      <w:r>
        <w:rPr>
          <w:rFonts w:ascii="Times New Roman" w:hAnsi="Times New Roman"/>
          <w:i/>
          <w:sz w:val="20"/>
        </w:rPr>
        <w:t xml:space="preserve">License and Other 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Intellectual property license</w:t>
            </w:r>
            <w:r>
              <w:rPr>
                <w:rFonts w:ascii="Times New Roman" w:hAnsi="Times New Roman"/>
                <w:sz w:val="20"/>
              </w:rPr>
              <w:t xml:space="preserve">  The Company generally licenses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support term, are recognized at a point in time upon the delivery or beginning of license term, whichever is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Software sales, including development systems</w:t>
            </w:r>
            <w:r>
              <w:rPr>
                <w:rFonts w:ascii="Times New Roman" w:hAnsi="Times New Roman"/>
                <w:sz w:val="20"/>
              </w:rPr>
              <w:t xml:space="preserve">  Sales of software, including development systems, which are not specifically designed for a given license (such as off-the-shelf software), are recognized upon delivery when control has been transferred and customer can begin to use and benefit from the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Professional services </w:t>
            </w:r>
            <w:r>
              <w:rPr>
                <w:rFonts w:ascii="Times New Roman" w:hAnsi="Times New Roman"/>
                <w:sz w:val="20"/>
              </w:rPr>
              <w:t xml:space="preserve"> Services (such as training and professional and design services) that the Company provides, which are not 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Support and maintenance </w:t>
            </w:r>
            <w:r>
              <w:rPr>
                <w:rFonts w:ascii="Times New Roman" w:hAnsi="Times New Roman"/>
                <w:sz w:val="20"/>
              </w:rPr>
              <w:t xml:space="preserve"> Support and maintenance is a stand-ready obligation to the customer that is both provided and consumed simultaneously. Revenue is recognized on a straight-line basis over the period for which support and maintenance is contractually agreed pursuant to the license.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Royalty Revenue </w:t>
      </w:r>
    </w:p>
    <w:p>
      <w:pPr>
        <w:pStyle w:val="TextBody"/>
        <w:bidi w:val="0"/>
        <w:spacing w:before="120" w:after="0"/>
        <w:jc w:val="left"/>
        <w:rPr>
          <w:rFonts w:ascii="Times New Roman" w:hAnsi="Times New Roman"/>
          <w:sz w:val="20"/>
        </w:rPr>
      </w:pPr>
      <w:r>
        <w:rPr>
          <w:rFonts w:ascii="Times New Roman" w:hAnsi="Times New Roman"/>
          <w:sz w:val="20"/>
        </w:rPr>
        <w:t xml:space="preserve">For certain IP license agreements, royalties are collected on products that incorporate the Companys IP. Royalties are recognized on an accrual basis in the quarter in which the customer ships their products, based on the Companys technology that it contains. The accrual is estimated using trend analysis based on market and sales data as well as customer specific financial information. As a result of estimating the amount of royalty revenue accrual in the period in which the customer sales occur using estimates based on sales trends and judgment for several key attributes, including industry estimates of expected shipments, the percentage of markets using our products, and average selling price. Adjustments to revenues are required in subsequent periods to reflect changes in estimates as new information becomes available, primarily resulting from actual amounts subsequently reported by the licensees. </w:t>
      </w:r>
    </w:p>
    <w:p>
      <w:pPr>
        <w:pStyle w:val="TextBody"/>
        <w:bidi w:val="0"/>
        <w:spacing w:before="360" w:after="0"/>
        <w:jc w:val="left"/>
        <w:rPr>
          <w:rFonts w:ascii="Times New Roman" w:hAnsi="Times New Roman"/>
          <w:i/>
          <w:sz w:val="20"/>
        </w:rPr>
      </w:pPr>
      <w:r>
        <w:rPr>
          <w:rFonts w:ascii="Times New Roman" w:hAnsi="Times New Roman"/>
          <w:i/>
          <w:sz w:val="20"/>
        </w:rPr>
        <w:t xml:space="preserve">Significant Judgments </w:t>
      </w:r>
    </w:p>
    <w:p>
      <w:pPr>
        <w:pStyle w:val="TextBody"/>
        <w:bidi w:val="0"/>
        <w:spacing w:before="120" w:after="0"/>
        <w:jc w:val="left"/>
        <w:rPr>
          <w:rFonts w:ascii="Times New Roman" w:hAnsi="Times New Roman"/>
          <w:i/>
          <w:sz w:val="20"/>
        </w:rPr>
      </w:pPr>
      <w:r>
        <w:rPr>
          <w:rFonts w:ascii="Times New Roman" w:hAnsi="Times New Roman"/>
          <w:i/>
          <w:sz w:val="20"/>
        </w:rPr>
        <w:t xml:space="preserve">Identification of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a contract as a revenue contract when all of the following criteria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 has been approved (either in writing, orally or in accordance with other customary business practices) by the parties to the contract, and the parties are committed to perform their respective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can identify each partys rights regarding goods or services to be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can identify the payment terms for the goods or services to be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Contracts have commercial substance;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probable that the Company will collect the consideration to which it will be entitled to, in exchange for the goods or services to be transferred to the customer.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sometimes enters into multiple contracts with the same customer that are treated, for accounting purposes, as one contract if the contracts are entered into at, or near, the same time and are interrelated. Judgment is required in evaluating whether various contracts are interrelated, which includes considerations as to whether they were negotiated as a package with a single commercial objective, whether the amount of consideration on one contract is dependent on the performance of the other contract, or if some, or all, obligations in the contracts constitute a single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New arrangements with existing customers can be based on either a new contract or the modification of prior contracts. The Companys judgment in making this determination considers whether there is a connection between the new arrangement and the pre-existing contracts, whether the services under the new arrangement are highly interrelated with the products and services provided under prior contracts, and how the products and services under the new arrangement are priced. </w:t>
      </w:r>
    </w:p>
    <w:p>
      <w:pPr>
        <w:pStyle w:val="TextBody"/>
        <w:bidi w:val="0"/>
        <w:spacing w:before="240" w:after="0"/>
        <w:jc w:val="left"/>
        <w:rPr>
          <w:rFonts w:ascii="Times New Roman" w:hAnsi="Times New Roman"/>
          <w:sz w:val="20"/>
        </w:rPr>
      </w:pPr>
      <w:r>
        <w:rPr>
          <w:rFonts w:ascii="Times New Roman" w:hAnsi="Times New Roman"/>
          <w:sz w:val="20"/>
        </w:rPr>
        <w:t xml:space="preserve">The Company sometimes enters into non-cancellable and non-refundable committed funds arrangement from customers, where the parties have ongoing negotiations. Judgment is required in evaluating whether all rights and obligations of the arrangement are determined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Judgment is also required in determining whether collectability of substantially all of the consideration is probable. The Company assesses this through credit checks, past payment history or based on upfront payment prior to performance of the obligation(s). </w:t>
      </w:r>
    </w:p>
    <w:p>
      <w:pPr>
        <w:pStyle w:val="TextBody"/>
        <w:bidi w:val="0"/>
        <w:spacing w:before="360" w:after="0"/>
        <w:jc w:val="left"/>
        <w:rPr>
          <w:rFonts w:ascii="Times New Roman" w:hAnsi="Times New Roman"/>
          <w:i/>
          <w:sz w:val="20"/>
        </w:rPr>
      </w:pPr>
      <w:r>
        <w:rPr>
          <w:rFonts w:ascii="Times New Roman" w:hAnsi="Times New Roman"/>
          <w:i/>
          <w:sz w:val="20"/>
        </w:rPr>
        <w:t xml:space="preserve">Identification of the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Customer contracts often include various products and services as outlined in the summary of major product groups above. Typically, these products and services qualify as separate performance obligations, and a portion of the contractual value is allocated to them. Judgment is required, however, in determining whether a good or service is considered a separate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When selling licenses or services, the Company frequently grants customers the choice to acquire additional rights, goods or services (for example, renewals of offerings, version extensions through term renewals, additional future products, or additional volumes of purchased license). The Company also utilizes forward looking information such as product roadmaps and other marketing materials in identifying performance obligations for Ips or version extensions of architecture IP under development or future products, and in determining if implicit promises or material right exist in certain long-term contracts. </w:t>
      </w:r>
    </w:p>
    <w:p>
      <w:pPr>
        <w:pStyle w:val="TextBody"/>
        <w:bidi w:val="0"/>
        <w:spacing w:before="240" w:after="0"/>
        <w:jc w:val="left"/>
        <w:rPr>
          <w:rFonts w:ascii="Times New Roman" w:hAnsi="Times New Roman"/>
          <w:sz w:val="20"/>
        </w:rPr>
      </w:pPr>
      <w:r>
        <w:rPr>
          <w:rFonts w:ascii="Times New Roman" w:hAnsi="Times New Roman"/>
          <w:sz w:val="20"/>
        </w:rPr>
        <w:t xml:space="preserve">In a typical licensing arrangement involving architecture license, the Company licenses the available architecture </w:t>
      </w:r>
    </w:p>
    <w:p>
      <w:pPr>
        <w:pStyle w:val="TextBody"/>
        <w:bidi w:val="0"/>
        <w:spacing w:before="0" w:after="0"/>
        <w:jc w:val="left"/>
        <w:rPr>
          <w:rFonts w:ascii="Times New Roman" w:hAnsi="Times New Roman"/>
          <w:sz w:val="20"/>
        </w:rPr>
      </w:pPr>
      <w:r>
        <w:rPr>
          <w:rFonts w:ascii="Times New Roman" w:hAnsi="Times New Roman"/>
          <w:sz w:val="20"/>
        </w:rPr>
        <w:t xml:space="preserve">license and promises to provide the future version extensions of the architecture license, over the license term. A long-term architecture licensing arrangement could range from 3 years to 15 years. These version extensions typically have both specified upgrade rights and implicit rights to extensions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upgrade rights to version extensions that are expected to be released over 2-3 years are typically covered in the Companys product roadmaps.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Implicit rights to version extensions that extend beyond the roadmap period are promised by the Company, as and when they are released.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version extensions represent promises to deliver distinct products with a discernable release pattern at specific points in time every year over the license term. When version extensions of architecture licenses are promised along with available licenses, a portion of the overall license consideration is allocated to the available architecture licenses, and the remaining portion relating to future extensions is deferred until the time those are delivered and become available for use. </w:t>
      </w:r>
    </w:p>
    <w:p>
      <w:pPr>
        <w:pStyle w:val="TextBody"/>
        <w:bidi w:val="0"/>
        <w:spacing w:before="240" w:after="0"/>
        <w:jc w:val="left"/>
        <w:rPr>
          <w:rFonts w:ascii="Times New Roman" w:hAnsi="Times New Roman"/>
          <w:sz w:val="20"/>
        </w:rPr>
      </w:pPr>
      <w:r>
        <w:rPr>
          <w:rFonts w:ascii="Times New Roman" w:hAnsi="Times New Roman"/>
          <w:sz w:val="20"/>
        </w:rPr>
        <w:t xml:space="preserve">In some licensing arrangements involving an implementation license, the customer licenses a right to use an available implementation license and also licenses the right to use next generation products to be developed over the license term which are released to the customers as soon as they are commercially available. The next generation products are considered distinct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Revenue allocated to the IP license including version extensions of an architecture license or releases of an implementation license are each recognized at a point in time upon the delivery or beginning of license term, whichever is later.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judgment when determining the amount of consideration, it expects to be entitled to in exchange for transferring promised goods or services to a customer. This includes estimates as to whether, and to what extent, subsequent concessions or payments may be granted to customers, which release customers from their obligations to pay contractual fees. In this judgment, historical trends are considered with respect to both the specific customer and broader Company trends. The Company estimates the transaction price based on the amount expected to be received for transferring the promised goods or services in the contract. Consideration payable to a customer is accounted for as a reduction of the transaction price and, therefore, of revenue unless the payment to the customer is in exchange for a distinct good or service that the customer transfers to the Company. The transaction price also excludes amounts collected on behalf of third parties such as sales taxes. The Companys revenue arrangements may include variable consideration, including royalties. Where minimum royalties are agreed with customers and there is no uncertainty of their receipt, the amount is allocated to performance obligations as a part of the transaction price.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considers relevant facts and circumstances in assessing whether a contract contains a significant financing component. The Company has not identified significant financing components in its material revenue arrangements executed during the financial year. </w:t>
      </w:r>
    </w:p>
    <w:p>
      <w:pPr>
        <w:pStyle w:val="TextBody"/>
        <w:bidi w:val="0"/>
        <w:spacing w:before="360" w:after="0"/>
        <w:jc w:val="left"/>
        <w:rPr>
          <w:rFonts w:ascii="Times New Roman" w:hAnsi="Times New Roman"/>
          <w:i/>
          <w:sz w:val="20"/>
        </w:rPr>
      </w:pPr>
      <w:r>
        <w:rPr>
          <w:rFonts w:ascii="Times New Roman" w:hAnsi="Times New Roman"/>
          <w:i/>
          <w:sz w:val="20"/>
        </w:rPr>
        <w:t xml:space="preserve">Allocation of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Judgment is required when estimating standalone selling prices (SSPs). There is also judgment involved in determining whether the pricing of certain performance obligations is highly variable or uncertain. </w:t>
      </w:r>
    </w:p>
    <w:p>
      <w:pPr>
        <w:pStyle w:val="TextBody"/>
        <w:bidi w:val="0"/>
        <w:spacing w:before="240" w:after="0"/>
        <w:jc w:val="left"/>
        <w:rPr>
          <w:rFonts w:ascii="Times New Roman" w:hAnsi="Times New Roman"/>
          <w:sz w:val="20"/>
        </w:rPr>
      </w:pPr>
      <w:r>
        <w:rPr>
          <w:rFonts w:ascii="Times New Roman" w:hAnsi="Times New Roman"/>
          <w:sz w:val="20"/>
        </w:rPr>
        <w:t xml:space="preserve">Other than support and maintenance, SSPs are usually not directly observable for the Companys products and services because the Company generally does not sell its products or services on a standalone basis. The Company estimates the SSPs so that the Company allocates the transaction price to each performance obligation in an amount that depicts the amount of consideration to which the Company expects to be entitled in exchange for transferring the promised goods or services to the customer. The Company allocates royalties entirely to the licenses that give rise to them. When estimating a SSP, the Company considers available information and maximizes the use of observable inputs such as renewal pricing history for the Companys standardized support and professional service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offerings that have highly variable or uncertain pricing and lack substantial direct costs to estimate based on a cost-plus margin approach, the transaction price is allocated by applying a residual approach. This is on the basis that the Company has identified SSP for other performance obligations in the same arrangement. If two or more goods or services in a contract have highly variable or uncertain pricing, then the Company applies a combination of methods to allocate transaction price, including utilizing list prices, contract prices, and effort estimates of future IPs, for initial allocation of residual amount of transaction price within such products. </w:t>
      </w:r>
    </w:p>
    <w:p>
      <w:pPr>
        <w:pStyle w:val="TextBody"/>
        <w:bidi w:val="0"/>
        <w:spacing w:before="240" w:after="0"/>
        <w:jc w:val="left"/>
        <w:rPr>
          <w:rFonts w:ascii="Times New Roman" w:hAnsi="Times New Roman"/>
          <w:sz w:val="20"/>
        </w:rPr>
      </w:pPr>
      <w:r>
        <w:rPr>
          <w:rFonts w:ascii="Times New Roman" w:hAnsi="Times New Roman"/>
          <w:sz w:val="20"/>
        </w:rPr>
        <w:t xml:space="preserve">For customer agreements related to long-term licensing of architecture IP, the Company allocates the contract value to each of the performance obligations based on an estimate of the engineering efforts required to deliver the initial version of the IP as well as related future versions, including enhancements and upgrades. </w:t>
      </w:r>
    </w:p>
    <w:p>
      <w:pPr>
        <w:pStyle w:val="TextBody"/>
        <w:bidi w:val="0"/>
        <w:spacing w:before="240" w:after="0"/>
        <w:jc w:val="left"/>
        <w:rPr>
          <w:rFonts w:ascii="Times New Roman" w:hAnsi="Times New Roman"/>
          <w:sz w:val="20"/>
        </w:rPr>
      </w:pPr>
      <w:r>
        <w:rPr>
          <w:rFonts w:ascii="Times New Roman" w:hAnsi="Times New Roman"/>
          <w:sz w:val="20"/>
        </w:rPr>
        <w:t xml:space="preserve">The SSPs of material rights depends on the probability of option exercise. In estimating these probabilities, judgment is utilized when considering historical exercise patterns. The SSPs are reviewed periodically or whenever facts and circumstances significantly change. These changes are applied prospectively.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Revenue from Arm China </w:t>
      </w:r>
    </w:p>
    <w:p>
      <w:pPr>
        <w:pStyle w:val="TextBody"/>
        <w:bidi w:val="0"/>
        <w:spacing w:before="120" w:after="0"/>
        <w:jc w:val="left"/>
        <w:rPr>
          <w:rFonts w:ascii="Times New Roman" w:hAnsi="Times New Roman"/>
          <w:sz w:val="20"/>
        </w:rPr>
      </w:pPr>
      <w:r>
        <w:rPr>
          <w:rFonts w:ascii="Times New Roman" w:hAnsi="Times New Roman"/>
          <w:sz w:val="20"/>
        </w:rPr>
        <w:t xml:space="preserve">Arm Technology (China) Co. Limited (Arm China) acts as the Companys exclusive IP distributor in the Peoples Republic of China, which, or the purposes of these financial statements, includes the Hong Kong Special Administrative Region and the Macau Special Administrative Region, but excludes Taiwan (collectively referred to as the PRC), under the intellectual property licensing arrangement (IPLA). Arm China directly contracts with end customers with discretion in establishing pricing to sublicense specified IP. The Companys responsibility under the IPLA is to facilitate delivery of a good or service to the end customer in accordance with detailed instructions and other specifications from Arm China. In these cases, Arm China is the customer for the Company. As such, revenue presented by the Company is the net amount calculated as a percentage of license and royalty fees earned by Arm China from sub-license arrangements entered into with end customers. The Company applies the royalty exception, under which revenue is recognized when the subsequent sale or usage occurs, assuming control of the license to which the royalty relates has transferred to the customer. Where the revenue is derived as a percentage of the license fee of Arm China, the Company categorizes that portion as license revenue while the other portion, which represents the Companys share of Arm Chinas royalties, is categorized as royalties. </w:t>
      </w:r>
    </w:p>
    <w:p>
      <w:pPr>
        <w:pStyle w:val="TextBody"/>
        <w:bidi w:val="0"/>
        <w:spacing w:before="360" w:after="0"/>
        <w:jc w:val="left"/>
        <w:rPr>
          <w:rFonts w:ascii="Times New Roman" w:hAnsi="Times New Roman"/>
          <w:i/>
          <w:sz w:val="20"/>
        </w:rPr>
      </w:pPr>
      <w:r>
        <w:rPr>
          <w:rFonts w:ascii="Times New Roman" w:hAnsi="Times New Roman"/>
          <w:i/>
          <w:sz w:val="20"/>
        </w:rPr>
        <w:t xml:space="preserve">Contract Balances and Receivables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accounts receivable in full when it has the contractual right to invoice the customer and begins satisfying the performance obligation over the term of the contract. Judgment is required to determine whether a right to consideration is unconditional and thus qualifies as a receivable. Contract assets are recognized as the performance obligations are satisfied and the Company does not have the contractual right to invoice. Accrued royalties are presented as accrued income in accounts receivable, net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primarily reflect invoices due, or payments received in advance of revenue recognition. Typically, the Company invoices either all or a substantial portion of the fees for IP licenses upfront on the effective date of the contract. Periodic fixed fees for software support services, and other multi-period agreements are typically invoiced in advance. </w:t>
      </w:r>
    </w:p>
    <w:p>
      <w:pPr>
        <w:pStyle w:val="TextBody"/>
        <w:bidi w:val="0"/>
        <w:spacing w:before="240" w:after="0"/>
        <w:jc w:val="left"/>
        <w:rPr>
          <w:rFonts w:ascii="Times New Roman" w:hAnsi="Times New Roman"/>
          <w:sz w:val="20"/>
        </w:rPr>
      </w:pPr>
      <w:r>
        <w:rPr>
          <w:rFonts w:ascii="Times New Roman" w:hAnsi="Times New Roman"/>
          <w:sz w:val="20"/>
        </w:rPr>
        <w:t xml:space="preserve">Customer deposits primarily relate to payments received from customers which could be refundable pursuant to the terms of the contract and are in other current liabilities on the Consolidated Balance Sheets.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Payment terms and conditions vary by contract type, although terms generally include a requirement of payment within 60 days. In instances where the timing of revenue recognition differs from the timing of invoicing, the Company has determined that its contracts generally do not include a significant financing component. The primary purpose of the Companys invoicing terms is to provide customers with simplified and predictable ways of purchasing products and services, such as invoicing at the beginning of a license term with revenue recognized over the contract period, and not to receive financing from customers. Any potential financing fees are considered insignificant in the context of the Companys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Allowance for Current Expected Credit Losses </w:t>
      </w:r>
    </w:p>
    <w:p>
      <w:pPr>
        <w:pStyle w:val="TextBody"/>
        <w:bidi w:val="0"/>
        <w:spacing w:before="120" w:after="0"/>
        <w:jc w:val="left"/>
        <w:rPr>
          <w:rFonts w:ascii="Times New Roman" w:hAnsi="Times New Roman"/>
          <w:sz w:val="20"/>
        </w:rPr>
      </w:pPr>
      <w:r>
        <w:rPr>
          <w:rFonts w:ascii="Times New Roman" w:hAnsi="Times New Roman"/>
          <w:sz w:val="20"/>
        </w:rPr>
        <w:t xml:space="preserve">Trade receivables are stated at their net realizable value. The allowance for credit losses reflects the Companys best estimate of expected credit losses of the receivable portfolio determined on the basis of historical experience, current information, and forecasts of future economic conditions. In developing the estimate for expected credit losses, accounts receivable is segmented into pools of assets depending on market (China versus international) and delinquency status, and fixed reserve percentages are established for each pool of accounts receivables. To determine the reserve percentages for each pool of accounts receivables, the Company considers its historical experience with certain customers and customer types, regulatory and legal environments, country and political risk, and other relevant current and future forecasted macroeconomic factors. These credit risk indicators are monitored on a quarterly basis to determine whether there are any changes in the economic environment that would indicate the established reserve percentages should be adjusted and are considered on a regional basis to reflect more geographic-specific metrics. Please refer to Note 3, </w:t>
      </w:r>
      <w:r>
        <w:rPr>
          <w:rFonts w:ascii="Times New Roman" w:hAnsi="Times New Roman"/>
          <w:i/>
          <w:sz w:val="20"/>
        </w:rPr>
        <w:t>Revenue</w:t>
      </w:r>
      <w:r>
        <w:rPr>
          <w:rFonts w:ascii="Times New Roman" w:hAnsi="Times New Roman"/>
          <w:sz w:val="20"/>
        </w:rPr>
        <w:t xml:space="preserve">, for the summary of the movement in the allowance for current expected credit losses.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write-offs and recoveries of customer receivables are tracked against collections on a quarterly basis to determine whether the reserve percentages remain appropriate. When management becomes aware of certain customer-specific factors that impact credit risk, specific allowances for these known troubled accounts are recorded. Accounts receivables are written off after all reasonable means to collect the full amount (including litigation, where appropriate) are exhausted. For the years ended March 31, 2023, 2022 and 2021, write-offs and recoveries of customer receivables were immaterial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an allowance for losses on contract assets based on a similar approach used for receivables under the current expected credit loss model. As of March 31, 2023 and 2022, the loss allowance for contract assets was immaterial.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Restricted share units (RSU) were granted to employees, certain of our executive officers, and non-executive directors of the Company and require continuous service through the vesting date. Phantom shares (Phantom Shares) were only granted to certain of our executive officers. Majority of RSUs are granted by tranches either with a fixed number of awards or with fixed monetary amounts known at inception. Depending on the type of award, RSUs may require the achievement of certain performance conditions, market-conditions and for certain awards, vesting occurs on the earliest of the following: (1) the occurrence of one of various events comprising a change in control of the Company, (2) an initial public offering of the Companys ordinary shares, and (3) the passage of time. The number of RSUs that vest is determined by the achievement of market, performance and service conditions. The market condition target is tied to the valuation of the Company upon vesting. At the discretion of the Companys remuneration committee, each RSU is settled in cash or converts into ordinary shares on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expenses share-based compensation over the requisite service period of the awards, which is generally equivalent to the vesting term. Compensation cost is recorded only for those awards expected to vest.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fair value of RSUs is determined on the date of grant for equity-classified awards, and at the end of each reporting period for liability-classified awards, using Monte Carlo simulations or the discounted cash flow approach. The fair value of Phantom Shares is determined on the date of grant and at the end of each reporting period based on the share price of the Companys ultimate parent, SoftBank Group.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those awards in which the Company has the option, pursuant to the plan terms, and intends to settle in cash or equity, as liability-classified or equity-classified awards, respectively. Phantom Shares and certain RSUs are liability-classified and are remeasured at the end of each reporting period through the date of settlement so that the expense recognized for each award is equivalent to the amount to be paid in cash. Changes in the fair value of liability-classified RSUs are recorded in the income statement over the vesting period of the award. Equity-classified RSUs are recognized using the straight-line method over the service period adjusted for estimated forfeitures. </w:t>
      </w:r>
    </w:p>
    <w:p>
      <w:pPr>
        <w:pStyle w:val="TextBody"/>
        <w:bidi w:val="0"/>
        <w:spacing w:before="240" w:after="0"/>
        <w:jc w:val="left"/>
        <w:rPr>
          <w:rFonts w:ascii="Times New Roman" w:hAnsi="Times New Roman"/>
          <w:sz w:val="20"/>
        </w:rPr>
      </w:pPr>
      <w:r>
        <w:rPr>
          <w:rFonts w:ascii="Times New Roman" w:hAnsi="Times New Roman"/>
          <w:sz w:val="20"/>
        </w:rPr>
        <w:t xml:space="preserve">A change in control or an initial public offering is generally not considered probable until it has occurred. Accordingly, as of the balance sheet date, those RSUs that are subject to vesting on the earliest of (1) change of control, (2) initial public offering, or (3) passage of time, are expected to vest and be settled in cash upon the passage of time. For liability-classified awards, the weighted average fair value of the RSUs was measured at each reporting date using the Monte Carlo simulation model or a discounted cash flow approach. Similarly, the fair value for equity-classified awards was measured at the grant date using the discounted cash flow approach.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2021, the Company used the discounted cash flow approach based on the expected value of the Company as a result of a business combination which was considered likely. For fiscal years ended March 31, 2023 and 2022, the Company used the Monte Carlo simulation model, the income approach and/or market-calibration approach based on comparable publicly traded companies in similar lines of businesses to measure the RSUs. The Monte Carlo simulation model simulates the Companys equity value at an assumed listing exit event in order to determine the RSU vesting percentage. The model simulates the RSU vesting percentage over numerous iterations, and the average of all iterations is determined to be the fair value of an RSU. The model then discounts the future value of the RSU at the assumed listing exit event date back to the valuation date based on the relevant risk-free interest rate. The Monte Carlo simulation model incorporates various assumptions such as expected stock price volatility until a liquidity event, expected dividend yield, risk-free interest rate, and expected time to complete an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Phantom Shares and executive RSUs to certain of our executive officers and are subject to continuous service and vest upon meeting certain strategic performance conditions of the Company. Phantom Shares and executive RSUs are liability-classified and are expensed when the performance targets are considered probable of being achieved. Executive RSUs primarily are based on fixed monetary amounts that could be converted into a variable number of shares based on the closing share price of the Company upon an initial public offering. Any obligations that are based predominantly on fixed monetary amounts that are known at inception and are to be settled with a variable number of the Companys shares, are liability-classified with compensation cost recognized ratably over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At the grant date of the RSUs, the Company was private and its ordinary shares were not listed on a public stock exchange. Therefore, the Companys Board of Directors exercised its reasonable judgment and considered numerous objective and subjective factors to determine the best estimate of fair value of the Companys ordinary shares underlying share-based compensation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contemporaneous independent third-party valuations of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results of operations, and capital resources;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and timing of achieving a liquidity event, such as an initial public offering or sale of the company, given prevailing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marketability of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future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performance and valuations of comparable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or loss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status of the Companys development, product introduction, and sales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outlook and other information, such as market growth and volume and macro-economic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objective and subjective factors relating to the Companys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determine the fair value of ordinary shares, the Company first estimated the enterprise value and then </w:t>
      </w:r>
    </w:p>
    <w:p>
      <w:pPr>
        <w:pStyle w:val="TextBody"/>
        <w:bidi w:val="0"/>
        <w:spacing w:before="0" w:after="0"/>
        <w:jc w:val="left"/>
        <w:rPr>
          <w:rFonts w:ascii="Times New Roman" w:hAnsi="Times New Roman"/>
          <w:sz w:val="20"/>
        </w:rPr>
      </w:pPr>
      <w:r>
        <w:rPr>
          <w:rFonts w:ascii="Times New Roman" w:hAnsi="Times New Roman"/>
          <w:sz w:val="20"/>
        </w:rPr>
        <w:t xml:space="preserve">allocated that enterprise value to ordinary shares and ordinary share equivalents. The Companys enterprise value </w:t>
      </w:r>
    </w:p>
    <w:p>
      <w:pPr>
        <w:pStyle w:val="TextBody"/>
        <w:bidi w:val="0"/>
        <w:spacing w:before="0" w:after="0"/>
        <w:jc w:val="left"/>
        <w:rPr>
          <w:rFonts w:ascii="Times New Roman" w:hAnsi="Times New Roman"/>
          <w:sz w:val="20"/>
        </w:rPr>
      </w:pPr>
      <w:r>
        <w:rPr>
          <w:rFonts w:ascii="Times New Roman" w:hAnsi="Times New Roman"/>
          <w:sz w:val="20"/>
        </w:rPr>
        <w:t xml:space="preserve">was estimated using the income and market-calibration approaches. </w:t>
      </w:r>
    </w:p>
    <w:p>
      <w:pPr>
        <w:pStyle w:val="TextBody"/>
        <w:bidi w:val="0"/>
        <w:spacing w:before="240" w:after="0"/>
        <w:jc w:val="left"/>
        <w:rPr>
          <w:rFonts w:ascii="Times New Roman" w:hAnsi="Times New Roman"/>
          <w:sz w:val="20"/>
        </w:rPr>
      </w:pPr>
      <w:r>
        <w:rPr>
          <w:rFonts w:ascii="Times New Roman" w:hAnsi="Times New Roman"/>
          <w:sz w:val="20"/>
        </w:rPr>
        <w:t xml:space="preserve">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the Company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 </w:t>
      </w:r>
    </w:p>
    <w:p>
      <w:pPr>
        <w:pStyle w:val="TextBody"/>
        <w:bidi w:val="0"/>
        <w:spacing w:before="240" w:after="0"/>
        <w:jc w:val="left"/>
        <w:rPr>
          <w:rFonts w:ascii="Times New Roman" w:hAnsi="Times New Roman"/>
          <w:sz w:val="20"/>
        </w:rPr>
      </w:pPr>
      <w:r>
        <w:rPr>
          <w:rFonts w:ascii="Times New Roman" w:hAnsi="Times New Roman"/>
          <w:sz w:val="20"/>
        </w:rPr>
        <w:t xml:space="preserve">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 </w:t>
      </w:r>
    </w:p>
    <w:p>
      <w:pPr>
        <w:pStyle w:val="TextBody"/>
        <w:bidi w:val="0"/>
        <w:spacing w:before="240" w:after="0"/>
        <w:jc w:val="left"/>
        <w:rPr>
          <w:rFonts w:ascii="Times New Roman" w:hAnsi="Times New Roman"/>
          <w:sz w:val="20"/>
        </w:rPr>
      </w:pPr>
      <w:r>
        <w:rPr>
          <w:rFonts w:ascii="Times New Roman" w:hAnsi="Times New Roman"/>
          <w:sz w:val="20"/>
        </w:rPr>
        <w:t xml:space="preserve">Monte Carlo simulations incorporate highly subjective assumptions, such as stock price volatility and expected volatility until a liquidity event. Changes in highly subjective assumptions could significantly impact share-based compensation cost. Since the Companys ordinary shares were not publicly traded, the computation of expected volatility was based on the average of historical and implied volatilities over the expected term of the awards of a representative peer group of publicly traded entities. Other assumptions included expected term, risk-free interest rate and dividend yield. The risk-free interest rate was based on zero-coupon U.S. Treasury bond rates corresponding to the expected term of the awards. Dividend assumptions were based on historical experience.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forfeitures based on employee level, economic conditions, time remaining to vest and historical forfeiture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Cost of Sales </w:t>
      </w:r>
    </w:p>
    <w:p>
      <w:pPr>
        <w:pStyle w:val="TextBody"/>
        <w:bidi w:val="0"/>
        <w:spacing w:before="120" w:after="0"/>
        <w:jc w:val="left"/>
        <w:rPr>
          <w:rFonts w:ascii="Times New Roman" w:hAnsi="Times New Roman"/>
          <w:sz w:val="20"/>
        </w:rPr>
      </w:pPr>
      <w:r>
        <w:rPr>
          <w:rFonts w:ascii="Times New Roman" w:hAnsi="Times New Roman"/>
          <w:sz w:val="20"/>
        </w:rPr>
        <w:t xml:space="preserve">Cost of sales expenses consist primarily of employee-related expenses and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and other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and other corporate-related expenses.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Disposal, Restructuring and Other Operating Expenses, Net </w:t>
      </w:r>
    </w:p>
    <w:p>
      <w:pPr>
        <w:pStyle w:val="TextBody"/>
        <w:bidi w:val="0"/>
        <w:spacing w:before="120" w:after="0"/>
        <w:jc w:val="left"/>
        <w:rPr>
          <w:rFonts w:ascii="Times New Roman" w:hAnsi="Times New Roman"/>
          <w:sz w:val="20"/>
        </w:rPr>
      </w:pPr>
      <w:r>
        <w:rPr>
          <w:rFonts w:ascii="Times New Roman" w:hAnsi="Times New Roman"/>
          <w:sz w:val="20"/>
        </w:rPr>
        <w:t xml:space="preserve">Disposal expenses consist primarily of transaction costs, such as legal and professional fees, relating to various disposal activities.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Grants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receives government grants to compensate for its research activities. GAAP does not contain authoritative guidance for incentives and grants provided by governmental entities to a for-profit entity. Absent authoritative guidance, interpretative guidance issued and commonly applied by financial statement preparers allows for the selection of accounting policies amongst acceptable alternatives. Based on facts and circumstances, the Company determined it most appropriate to account for the government grants received by analogy to International Accounting Standards 20, </w:t>
      </w:r>
      <w:r>
        <w:rPr>
          <w:rFonts w:ascii="Times New Roman" w:hAnsi="Times New Roman"/>
          <w:i/>
          <w:sz w:val="20"/>
        </w:rPr>
        <w:t>Accounting for Government Grants and Disclosure of Government Assistance</w:t>
      </w:r>
      <w:r>
        <w:rPr>
          <w:rFonts w:ascii="Times New Roman" w:hAnsi="Times New Roman"/>
          <w:sz w:val="20"/>
        </w:rPr>
        <w:t xml:space="preserve"> (IAS 20). </w:t>
      </w:r>
    </w:p>
    <w:p>
      <w:pPr>
        <w:pStyle w:val="TextBody"/>
        <w:bidi w:val="0"/>
        <w:spacing w:before="240" w:after="0"/>
        <w:jc w:val="left"/>
        <w:rPr>
          <w:rFonts w:ascii="Times New Roman" w:hAnsi="Times New Roman"/>
          <w:sz w:val="20"/>
        </w:rPr>
      </w:pPr>
      <w:r>
        <w:rPr>
          <w:rFonts w:ascii="Times New Roman" w:hAnsi="Times New Roman"/>
          <w:sz w:val="20"/>
        </w:rPr>
        <w:t xml:space="preserve">Under the provisions of IAS 20, a government grant is recognized when there is reasonable assurance the Company will meet the terms for receiving and realizing the benefit of the grant. IAS 20 does not define reasonable assurance, however, based on certain interpretations, it is analogous to probable as defined under GAAP, which is the definition the Company has applied to its government grants received. Under IAS 20, government grants are recognized in earnings on a systematic basis over the periods in which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recognizes costs for which the grant is intended to compensate (i.e. qualified expenses). Further, IAS 20 permits for the recognition in earnings either separately under a general heading such as other income, or as a reduction of the related expenses. The Company has elected to recognize the benefit as a reduction of the related expenses included in either research and development expenses or income tax expense on the Consolidated Income Statements. For the fiscal years ended March 31, 2023, 2022 and 2021, the government grant benefit recognized was $83.0 million, $84.3 million and $94.4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government grant benefit received includes a grant from Innovate U.K. for work connected to the creation of a new centrally secured technology platform prototype. For the years ended March 31, 2023, 2022 and 2021, the Company recorded a reduction to research and development expenses from this grant of $2.6 million, $15.3 million and $23.8 million, respectively. The maximum total value of the Innovate U.K. contract is $44.9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benefits in the U.K. from His Majestys Revenue &amp; Customs (HMRC) research and development expenditure (RDEC), which provides relief against U.K. corporation tax. Based on criteria established by HMRC a portion of the Companys expenditures incurred on research and development activities are eligible for RDEC relief. For the years ended March 31, 2023, 2022 and 2021 the Company recorded a relief of $64.0 million, $54.4 million and $54.6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computes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currently enacted tax rates that apply to taxable income in effect for the years in which those tax assets are expected to be realized or settled.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determines it is more likely than not that it will not generate sufficient taxable income to realize the value of some or all deferred tax assets (net of deferred tax liabilities), the Company will establish a valuation allowance offsetting the amount it does not expect to realize. The Company performs this analysis each reporting period and reduces the measurement of deferred taxes if the likelihood the Company will realize them becomes uncertain.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the Company records each period depend primarily on the ability to generate future taxable income. Each period, the Company evaluates the need for a valuation allowance against the deferred tax assets and, if necessary, adjusts the valuation allowance so that net deferred tax assets are recorded only to the extent the Company concludes it is more likely than not that these deferred tax assets will be realized. If the outlook for future taxable income changes significantly, the Companys assessment of the need for, and the amount of, a valuation allowance may also 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also required to evaluate and quantify other sources of taxable income, such as the possible reversal of future deferred tax liabilities and the implementation of tax planning strategies. Evaluating and quantifying these amounts is difficult and involves significant judgment, based on all of the available evidence and assumptions about future activities. </w:t>
      </w:r>
    </w:p>
    <w:p>
      <w:pPr>
        <w:pStyle w:val="TextBody"/>
        <w:bidi w:val="0"/>
        <w:spacing w:before="240" w:after="0"/>
        <w:jc w:val="left"/>
        <w:rPr>
          <w:rFonts w:ascii="Times New Roman" w:hAnsi="Times New Roman"/>
          <w:sz w:val="20"/>
        </w:rPr>
      </w:pPr>
      <w:r>
        <w:rPr>
          <w:rFonts w:ascii="Times New Roman" w:hAnsi="Times New Roman"/>
          <w:sz w:val="20"/>
        </w:rPr>
        <w:t xml:space="preserve">Tax benefits from uncertain tax positions are recognized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Interest and penalties related to unrecognized tax benefits are recognized within income tax (expense) benefit on the Consolidated Income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Net Income (Loss) Per Share Attributable to Ordinary Shareholders </w:t>
      </w:r>
    </w:p>
    <w:p>
      <w:pPr>
        <w:pStyle w:val="TextBody"/>
        <w:bidi w:val="0"/>
        <w:spacing w:before="120" w:after="0"/>
        <w:jc w:val="left"/>
        <w:rPr>
          <w:rFonts w:ascii="Times New Roman" w:hAnsi="Times New Roman"/>
          <w:sz w:val="20"/>
        </w:rPr>
      </w:pPr>
      <w:r>
        <w:rPr>
          <w:rFonts w:ascii="Times New Roman" w:hAnsi="Times New Roman"/>
          <w:sz w:val="20"/>
        </w:rPr>
        <w:t xml:space="preserve">Basic income (loss) per ordinary share is computed by dividing net income attributable to ordinary shareholders by the weighted average number of ordinary shares outstanding during the period. Diluted earnings per share is computed by dividing net income (loss) attributable to ordinary shareholders by the weighted average number of ordinary shares and potentially dilutive ordinary shares outstanding during the period. Potentially dilutive ordinary shares whose effect would have been antidilutive are excluded from the computation of diluted earnings per ordinary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such as a distribution to shareholders of the Company, results of operations of a business would not be recorded as a discontinued operation until the period in which the business is actually disposed of other than by sale. </w:t>
      </w:r>
    </w:p>
    <w:p>
      <w:pPr>
        <w:pStyle w:val="TextBody"/>
        <w:bidi w:val="0"/>
        <w:spacing w:before="240" w:after="0"/>
        <w:jc w:val="left"/>
        <w:rPr>
          <w:rFonts w:ascii="Times New Roman" w:hAnsi="Times New Roman"/>
          <w:sz w:val="20"/>
        </w:rPr>
      </w:pPr>
      <w:r>
        <w:rPr>
          <w:rFonts w:ascii="Times New Roman" w:hAnsi="Times New Roman"/>
          <w:sz w:val="20"/>
        </w:rPr>
        <w:t xml:space="preserve">Following a strategic decision to place greater focus on the Companys core technology licensing business, a decision was made to distribute or sell certain components of the Companys Internet of Things business. As a result, in June 2021, the Company completed a pro rata distribution of its controlling stake in Treasure Data, Inc. and its subsidiaries (Treasure Data) to the immediate shareholders of the Company. In November 2021, the Company sold 100% of its ownership in Pelion IOT Limited and its subsidiaries (IoTP) to SoftBank Group Capital Limited in exchange for $12.0 million in cash consideration. The distribution of Treasure Data and sale of IoTP were accounted for as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Revenue from IoTP and Treasure Data reported in loss on discontinued operations before income taxes on the Consolidated Income Statements relates to certain IP available through cloud-based infrastructure where the customer does not have the right to terminate the hosting contract. Under such arrangements, customers do not have the right to take possession of the software to run on their own IT infrastructure, nor do they have the right to engage a third-party provider to host and manage the software. Revenue for these arrangements is recognized over time as the services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Unless specified otherwise, the accompanying notes to the consolidated financial statements exclude financial results of discontinued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Revision to Previously Issued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identified certain immaterial errors in the consolidated statements of cash flows and a footnote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corrections to the consolidated statements of cash flows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presentation of cash flows for the purchase and the proceeds from maturity of short-term investments should be presented on a gross basis rather than the net basis in investing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presentation of cash flows for a portion of the payments to purchase intangible assets was determined to be presented as financing cash outflow rather than investing activities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impact of the corrections to the consolidated statements of cash flows for the fiscal years ended March 31, 2022 and 2021: </w:t>
      </w:r>
    </w:p>
    <w:p>
      <w:pPr>
        <w:pStyle w:val="TextBody"/>
        <w:bidi w:val="0"/>
        <w:spacing w:before="0" w:after="0"/>
        <w:jc w:val="left"/>
        <w:rPr/>
      </w:pPr>
      <w:r>
        <w:rPr/>
        <w:t> </w:t>
      </w:r>
    </w:p>
    <w:tbl>
      <w:tblPr>
        <w:tblW w:w="11315" w:type="dxa"/>
        <w:jc w:val="center"/>
        <w:tblInd w:w="0" w:type="dxa"/>
        <w:tblLayout w:type="fixed"/>
        <w:tblCellMar>
          <w:top w:w="0" w:type="dxa"/>
          <w:left w:w="0" w:type="dxa"/>
          <w:bottom w:w="0" w:type="dxa"/>
          <w:right w:w="0" w:type="dxa"/>
        </w:tblCellMar>
      </w:tblPr>
      <w:tblGrid>
        <w:gridCol w:w="2915"/>
        <w:gridCol w:w="120"/>
        <w:gridCol w:w="290"/>
        <w:gridCol w:w="945"/>
        <w:gridCol w:w="155"/>
        <w:gridCol w:w="60"/>
        <w:gridCol w:w="287"/>
        <w:gridCol w:w="933"/>
        <w:gridCol w:w="155"/>
        <w:gridCol w:w="60"/>
        <w:gridCol w:w="251"/>
        <w:gridCol w:w="819"/>
        <w:gridCol w:w="155"/>
        <w:gridCol w:w="60"/>
        <w:gridCol w:w="290"/>
        <w:gridCol w:w="945"/>
        <w:gridCol w:w="155"/>
        <w:gridCol w:w="60"/>
        <w:gridCol w:w="287"/>
        <w:gridCol w:w="933"/>
        <w:gridCol w:w="155"/>
        <w:gridCol w:w="60"/>
        <w:gridCol w:w="251"/>
        <w:gridCol w:w="819"/>
        <w:gridCol w:w="155"/>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1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xml:space="preserve">Consolidated Statements of Cash Flows </w:t>
            </w:r>
          </w:p>
          <w:p>
            <w:pPr>
              <w:pStyle w:val="TableContents"/>
              <w:bidi w:val="0"/>
              <w:spacing w:before="0" w:after="20"/>
              <w:jc w:val="center"/>
              <w:rPr>
                <w:rFonts w:ascii="Times New Roman" w:hAnsi="Times New Roman"/>
                <w:b/>
                <w:sz w:val="16"/>
              </w:rPr>
            </w:pPr>
            <w:r>
              <w:rPr>
                <w:rFonts w:ascii="Times New Roman" w:hAnsi="Times New Roman"/>
                <w:b/>
                <w:sz w:val="16"/>
              </w:rPr>
              <w:t xml:space="preserve">(Amounts in USD, millions) </w:t>
            </w:r>
          </w:p>
        </w:tc>
        <w:tc>
          <w:tcPr>
            <w:tcW w:w="120" w:type="dxa"/>
            <w:tcBorders/>
            <w:vAlign w:val="bottom"/>
          </w:tcPr>
          <w:p>
            <w:pPr>
              <w:pStyle w:val="TableContents"/>
              <w:bidi w:val="0"/>
              <w:spacing w:before="0" w:after="283"/>
              <w:jc w:val="left"/>
              <w:rPr/>
            </w:pPr>
            <w:r>
              <w:rPr/>
              <w:t>  </w:t>
            </w:r>
          </w:p>
        </w:tc>
        <w:tc>
          <w:tcPr>
            <w:tcW w:w="395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 2021</w:t>
            </w:r>
          </w:p>
        </w:tc>
        <w:tc>
          <w:tcPr>
            <w:tcW w:w="15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revised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revised</w:t>
            </w:r>
          </w:p>
        </w:tc>
        <w:tc>
          <w:tcPr>
            <w:tcW w:w="155" w:type="dxa"/>
            <w:tcBorders/>
            <w:vAlign w:val="bottom"/>
          </w:tcPr>
          <w:p>
            <w:pPr>
              <w:pStyle w:val="TableContents"/>
              <w:bidi w:val="0"/>
              <w:spacing w:before="0" w:after="283"/>
              <w:jc w:val="left"/>
              <w:rPr/>
            </w:pPr>
            <w:r>
              <w:rPr/>
              <w:t> </w:t>
            </w:r>
          </w:p>
        </w:tc>
      </w:tr>
      <w:tr>
        <w:trPr/>
        <w:tc>
          <w:tcPr>
            <w:tcW w:w="2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short-term investments</w:t>
            </w:r>
          </w:p>
        </w:tc>
        <w:tc>
          <w:tcPr>
            <w:tcW w:w="1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45" w:type="dxa"/>
            <w:tcBorders/>
            <w:shd w:fill="CCEEFF" w:val="clear"/>
            <w:vAlign w:val="bottom"/>
          </w:tcPr>
          <w:p>
            <w:pPr>
              <w:pStyle w:val="TableContents"/>
              <w:bidi w:val="0"/>
              <w:spacing w:before="0" w:after="283"/>
              <w:jc w:val="right"/>
              <w:rPr/>
            </w:pPr>
            <w:r>
              <w:rPr/>
              <w:t>(505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45"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r>
      <w:tr>
        <w:trPr/>
        <w:tc>
          <w:tcPr>
            <w:tcW w:w="291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maturity of short-term investments</w:t>
            </w:r>
          </w:p>
        </w:tc>
        <w:tc>
          <w:tcPr>
            <w:tcW w:w="1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r>
      <w:tr>
        <w:trPr/>
        <w:tc>
          <w:tcPr>
            <w:tcW w:w="2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intangible assets</w:t>
            </w:r>
          </w:p>
        </w:tc>
        <w:tc>
          <w:tcPr>
            <w:tcW w:w="1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r>
      <w:tr>
        <w:trPr/>
        <w:tc>
          <w:tcPr>
            <w:tcW w:w="29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for investing</w:t>
              <w:br/>
              <w:t xml:space="preserve">activities </w:t>
            </w:r>
          </w:p>
        </w:tc>
        <w:tc>
          <w:tcPr>
            <w:tcW w:w="1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45" w:type="dxa"/>
            <w:tcBorders/>
            <w:vAlign w:val="bottom"/>
          </w:tcPr>
          <w:p>
            <w:pPr>
              <w:pStyle w:val="TableContents"/>
              <w:bidi w:val="0"/>
              <w:spacing w:before="0" w:after="283"/>
              <w:jc w:val="right"/>
              <w:rPr/>
            </w:pPr>
            <w:r>
              <w:rPr/>
              <w:t>(656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(619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45" w:type="dxa"/>
            <w:tcBorders/>
            <w:vAlign w:val="bottom"/>
          </w:tcPr>
          <w:p>
            <w:pPr>
              <w:pStyle w:val="TableContents"/>
              <w:bidi w:val="0"/>
              <w:spacing w:before="0" w:after="283"/>
              <w:jc w:val="right"/>
              <w:rPr/>
            </w:pPr>
            <w:r>
              <w:rPr/>
              <w:t>(378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(340</w:t>
            </w:r>
          </w:p>
        </w:tc>
        <w:tc>
          <w:tcPr>
            <w:tcW w:w="155" w:type="dxa"/>
            <w:tcBorders/>
            <w:vAlign w:val="bottom"/>
          </w:tcPr>
          <w:p>
            <w:pPr>
              <w:pStyle w:val="TableContents"/>
              <w:bidi w:val="0"/>
              <w:spacing w:before="0" w:after="283"/>
              <w:jc w:val="left"/>
              <w:rPr/>
            </w:pPr>
            <w:r>
              <w:rPr/>
              <w:t>) </w:t>
            </w:r>
          </w:p>
        </w:tc>
      </w:tr>
      <w:tr>
        <w:trPr/>
        <w:tc>
          <w:tcPr>
            <w:tcW w:w="2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intangible asset obligations</w:t>
            </w:r>
          </w:p>
        </w:tc>
        <w:tc>
          <w:tcPr>
            <w:tcW w:w="1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r>
      <w:tr>
        <w:trPr/>
        <w:tc>
          <w:tcPr>
            <w:tcW w:w="29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for) provided by financing activities</w:t>
            </w:r>
          </w:p>
        </w:tc>
        <w:tc>
          <w:tcPr>
            <w:tcW w:w="1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4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45" w:type="dxa"/>
            <w:tcBorders/>
            <w:vAlign w:val="bottom"/>
          </w:tcPr>
          <w:p>
            <w:pPr>
              <w:pStyle w:val="TableContents"/>
              <w:bidi w:val="0"/>
              <w:spacing w:before="0" w:after="283"/>
              <w:jc w:val="right"/>
              <w:rPr/>
            </w:pPr>
            <w:r>
              <w:rPr/>
              <w:t>(751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(789</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within the disaggregation of revenue in footnote 3, the Company identified an overstatement of over time revenue and corresponding understatement of point in time revenue. The Company revised the disclosure to decrease over time revenue and increase point in time revenue by $184 million and $50 million for fiscal year ended March 31, 2022, and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These errors had no impact on the amounts previously reported in the Companys consolidated income statements, consolidated statements of comprehensive income, consolidated balance sheets and consolidated statements of shareholders equity. Management has evaluated the materiality of these errors quantitatively and qualitatively, including the impact of the errors on cash flow activities, and has concluded that the corrections of these errors are immaterial to the consolidated financial statements as a whole.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Recent Accounting Pronouncements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Recently Adopted Accounting Guidance </w:t>
      </w:r>
    </w:p>
    <w:p>
      <w:pPr>
        <w:pStyle w:val="TextBody"/>
        <w:bidi w:val="0"/>
        <w:spacing w:before="120" w:after="0"/>
        <w:jc w:val="left"/>
        <w:rPr>
          <w:rFonts w:ascii="Times New Roman" w:hAnsi="Times New Roman"/>
          <w:sz w:val="20"/>
        </w:rPr>
      </w:pPr>
      <w:r>
        <w:rPr>
          <w:rFonts w:ascii="Times New Roman" w:hAnsi="Times New Roman"/>
          <w:i/>
          <w:sz w:val="20"/>
        </w:rPr>
        <w:t xml:space="preserve">Derivatives and Hedging (Topic 815), Targeted Improvements to Accounting for Hedging: </w:t>
      </w:r>
      <w:r>
        <w:rPr>
          <w:rFonts w:ascii="Times New Roman" w:hAnsi="Times New Roman"/>
          <w:sz w:val="20"/>
        </w:rPr>
        <w:t xml:space="preserve">In August 2017, the Financial Accounting Standards Board (FASB) issued ASU 2017-12 which requires expanded hedge accounting for both non-financial and financial risk components and refines the measurement of hedge results to better reflect an entitys hedging strategies. The updated standard also amends presentation and disclosure requirements and changes how entities assess hedge effectiveness. The Company adopted ASU 2017-12 utilizing the modified retrospective transition method beginning April 1, 2020. Adoption had no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 xml:space="preserve">IntangiblesGoodwill and OtherInternal-Use Software (Subtopic 350-40), Customers Accounting for Implementation Costs Incurred in a Cloud Computing Arrangement That Is a Service Contract: </w:t>
      </w:r>
      <w:r>
        <w:rPr>
          <w:rFonts w:ascii="Times New Roman" w:hAnsi="Times New Roman"/>
          <w:sz w:val="20"/>
        </w:rPr>
        <w:t xml:space="preserve">In August 2018, FASB issued ASU 2018-15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ASU beginning April 1, 2020. Adoption had no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Reference Rate Reform (Topic 848), Facilitation of the Effects of Reference Rate Reform on Financial Reporting:</w:t>
      </w:r>
      <w:r>
        <w:rPr>
          <w:rFonts w:ascii="Times New Roman" w:hAnsi="Times New Roman"/>
          <w:sz w:val="20"/>
        </w:rPr>
        <w:t xml:space="preserve"> In March 2020, FASB issued ASU 2020-04 which provides temporary optional expedients and exceptions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GAAP guidance on contract modifications to ease the financial reporting burdens related to the expected market transition from the London Interbank Offered Rate to alternative reference rates. Subsequently, in January 2021, FASB issued ASU 2021-01, Reference Rate Reform (Topic 848): Scope, which refines the scope of Topic 848 and clarifies some of its guidance. The Company adopted this ASU beginning April 1, 2020 and may be applied through March 31, 2022. Adoption had no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 xml:space="preserve">DebtDebt with Conversion and Other Options (Subtopic 470-20) and Derivatives and Hedging Contracts in Entitys Own Equity (Subtopic 815-40), Accounting for Convertible Instruments and Contracts in an Entitys Own Equity: </w:t>
      </w:r>
      <w:r>
        <w:rPr>
          <w:rFonts w:ascii="Times New Roman" w:hAnsi="Times New Roman"/>
          <w:sz w:val="20"/>
        </w:rPr>
        <w:t xml:space="preserve">In August 2020, FASB issued ASU 2020-06 which reduces the number of accounting models for convertible debt instruments and convertible preferred stock. For convertible instruments with conversion features that are not required to be accounted for as derivatives under Topic 815 or that do not result in substantial premiums accounted for as paid-in capital, the embedded conversion features no longer are separated from the host contract. ASU 2020-06 also removes certain conditions that should be considered in the derivatives scope exception evaluation under Subtopic 815-40, Derivatives and HedgingContracts in Entitys Own Equity, and clarify the scope and certain requirements under Subtopic 815-40. In addition, ASU 2020-06 improves the guidance related to the disclosures and earnings per share for convertible instruments and contracts in entitys own equity. The Company adopted this ASU beginning April 1, 2020. Adoption had no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Business Combinations (Topic 805), Accounting for Contract Assets and Contract Liabilities from Contracts with Customers:</w:t>
      </w:r>
      <w:r>
        <w:rPr>
          <w:rFonts w:ascii="Times New Roman" w:hAnsi="Times New Roman"/>
          <w:sz w:val="20"/>
        </w:rPr>
        <w:t xml:space="preserve"> In October 2021, FASB issued ASU 2021-08, which improves the accounting for contract assets and contract liabilities from revenue contracts with customers in a business combination (Topic 805). The ASU improves comparability for both the recognition and measurement of acquired revenue contracts with customers at the date of and after a business combination. The Company adopted this ASU beginning April 1, 2022. Adoption had no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Government Assistance (Topic 832), Disclosures by Business Entities about Government Assistance</w:t>
      </w:r>
      <w:r>
        <w:rPr>
          <w:rFonts w:ascii="Times New Roman" w:hAnsi="Times New Roman"/>
          <w:sz w:val="20"/>
        </w:rPr>
        <w:t xml:space="preserve">: In November 2021, FASB issued ASU 2021-10, which created ASC 832. ASC 832 requires certain disclosures about transactions with a government that are accounted for by analogizing to a grant or contribution accounting model. The amendments will require disclosure of information about the nature of the transactions and the related accounting policy used to account for the transactions, information regarding the line items within the consolidated financial statements that are affected by the transactions, and significant terms and conditions of the transactions. The Company adopted this ASU beginning April 1, 2022. Adoption had no material impact on the Companys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Companys disaggregated revenues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5"/>
        <w:gridCol w:w="173"/>
        <w:gridCol w:w="140"/>
        <w:gridCol w:w="563"/>
        <w:gridCol w:w="60"/>
        <w:gridCol w:w="173"/>
        <w:gridCol w:w="140"/>
        <w:gridCol w:w="563"/>
        <w:gridCol w:w="60"/>
        <w:gridCol w:w="173"/>
        <w:gridCol w:w="140"/>
        <w:gridCol w:w="563"/>
        <w:gridCol w:w="60"/>
        <w:gridCol w:w="172"/>
        <w:gridCol w:w="140"/>
        <w:gridCol w:w="380"/>
        <w:gridCol w:w="60"/>
        <w:gridCol w:w="173"/>
        <w:gridCol w:w="140"/>
        <w:gridCol w:w="380"/>
        <w:gridCol w:w="60"/>
        <w:gridCol w:w="173"/>
        <w:gridCol w:w="140"/>
        <w:gridCol w:w="380"/>
        <w:gridCol w:w="60"/>
        <w:gridCol w:w="173"/>
        <w:gridCol w:w="140"/>
        <w:gridCol w:w="563"/>
        <w:gridCol w:w="60"/>
        <w:gridCol w:w="172"/>
        <w:gridCol w:w="140"/>
        <w:gridCol w:w="563"/>
        <w:gridCol w:w="60"/>
        <w:gridCol w:w="173"/>
        <w:gridCol w:w="140"/>
        <w:gridCol w:w="563"/>
        <w:gridCol w:w="67"/>
      </w:tblGrid>
      <w:tr>
        <w:trPr/>
        <w:tc>
          <w:tcPr>
            <w:tcW w:w="232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32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64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67" w:type="dxa"/>
            <w:tcBorders/>
            <w:vAlign w:val="bottom"/>
          </w:tcPr>
          <w:p>
            <w:pPr>
              <w:pStyle w:val="TableContents"/>
              <w:bidi w:val="0"/>
              <w:spacing w:before="0" w:after="283"/>
              <w:jc w:val="left"/>
              <w:rPr/>
            </w:pPr>
            <w:r>
              <w:rPr/>
              <w:t> </w:t>
            </w:r>
          </w:p>
        </w:tc>
      </w:tr>
      <w:tr>
        <w:trPr/>
        <w:tc>
          <w:tcPr>
            <w:tcW w:w="232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5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External Customers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0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Related Parties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5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23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7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7" w:type="dxa"/>
            <w:tcBorders/>
            <w:vAlign w:val="bottom"/>
          </w:tcPr>
          <w:p>
            <w:pPr>
              <w:pStyle w:val="TableContents"/>
              <w:bidi w:val="0"/>
              <w:spacing w:before="0" w:after="283"/>
              <w:jc w:val="left"/>
              <w:rPr/>
            </w:pPr>
            <w:r>
              <w:rPr/>
              <w:t> </w:t>
            </w:r>
          </w:p>
        </w:tc>
      </w:tr>
      <w:tr>
        <w:trPr/>
        <w:tc>
          <w:tcPr>
            <w:tcW w:w="2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and Other Revenue(1)</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569</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902</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574</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435</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239</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140</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1,004</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1,141</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714</w:t>
            </w:r>
          </w:p>
        </w:tc>
        <w:tc>
          <w:tcPr>
            <w:tcW w:w="67" w:type="dxa"/>
            <w:tcBorders/>
            <w:shd w:fill="CCEEFF" w:val="clear"/>
            <w:vAlign w:val="bottom"/>
          </w:tcPr>
          <w:p>
            <w:pPr>
              <w:pStyle w:val="TableContents"/>
              <w:bidi w:val="0"/>
              <w:spacing w:before="0" w:after="283"/>
              <w:jc w:val="left"/>
              <w:rPr/>
            </w:pPr>
            <w:r>
              <w:rPr/>
              <w:t> </w:t>
            </w:r>
          </w:p>
        </w:tc>
      </w:tr>
      <w:tr>
        <w:trPr/>
        <w:tc>
          <w:tcPr>
            <w:tcW w:w="2325" w:type="dxa"/>
            <w:tcBorders/>
          </w:tcPr>
          <w:p>
            <w:pPr>
              <w:pStyle w:val="TableContents"/>
              <w:bidi w:val="0"/>
              <w:spacing w:before="0" w:after="0"/>
              <w:jc w:val="left"/>
              <w:rPr>
                <w:rFonts w:ascii="Times New Roman" w:hAnsi="Times New Roman"/>
                <w:sz w:val="20"/>
              </w:rPr>
            </w:pPr>
            <w:r>
              <w:rPr>
                <w:rFonts w:ascii="Times New Roman" w:hAnsi="Times New Roman"/>
                <w:sz w:val="20"/>
              </w:rPr>
              <w:t>Royalty Revenue</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1,456</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1,317</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1,005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219</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1,675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1,562</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1,313</w:t>
            </w:r>
          </w:p>
        </w:tc>
        <w:tc>
          <w:tcPr>
            <w:tcW w:w="67" w:type="dxa"/>
            <w:tcBorders/>
            <w:vAlign w:val="bottom"/>
          </w:tcPr>
          <w:p>
            <w:pPr>
              <w:pStyle w:val="TableContents"/>
              <w:bidi w:val="0"/>
              <w:spacing w:before="0" w:after="283"/>
              <w:jc w:val="left"/>
              <w:rPr/>
            </w:pPr>
            <w:r>
              <w:rPr/>
              <w:t> </w:t>
            </w:r>
          </w:p>
        </w:tc>
      </w:tr>
      <w:tr>
        <w:trPr/>
        <w:tc>
          <w:tcPr>
            <w:tcW w:w="2325"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32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$2,219</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$1,579</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center"/>
              <w:rPr>
                <w:b/>
              </w:rPr>
            </w:pPr>
            <w:r>
              <w:rPr>
                <w:b/>
              </w:rPr>
              <w:t>$654</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center"/>
              <w:rPr>
                <w:b/>
              </w:rPr>
            </w:pPr>
            <w:r>
              <w:rPr>
                <w:b/>
              </w:rPr>
              <w:t>$484</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center"/>
              <w:rPr>
                <w:b/>
              </w:rPr>
            </w:pPr>
            <w:r>
              <w:rPr>
                <w:b/>
              </w:rPr>
              <w:t>$448</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$2,679</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$2,703</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$2,027</w:t>
            </w:r>
          </w:p>
        </w:tc>
        <w:tc>
          <w:tcPr>
            <w:tcW w:w="67" w:type="dxa"/>
            <w:tcBorders/>
            <w:vAlign w:val="bottom"/>
          </w:tcPr>
          <w:p>
            <w:pPr>
              <w:pStyle w:val="TableContents"/>
              <w:bidi w:val="0"/>
              <w:spacing w:before="0" w:after="283"/>
              <w:jc w:val="left"/>
              <w:rPr/>
            </w:pPr>
            <w:r>
              <w:rPr/>
              <w:t> </w:t>
            </w:r>
          </w:p>
        </w:tc>
      </w:tr>
      <w:tr>
        <w:trPr/>
        <w:tc>
          <w:tcPr>
            <w:tcW w:w="2325"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over-time revenues of $100 million, $102 million, and $197 million and point-in-time revenues of $904 million, $1,039 million, and $517 million for the fiscal years ended March 31, 2023, 2022, and 2021,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Receivables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components of accounts receivable, net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69"/>
        <w:gridCol w:w="427"/>
        <w:gridCol w:w="140"/>
        <w:gridCol w:w="570"/>
        <w:gridCol w:w="155"/>
        <w:gridCol w:w="427"/>
        <w:gridCol w:w="140"/>
        <w:gridCol w:w="570"/>
        <w:gridCol w:w="157"/>
      </w:tblGrid>
      <w:tr>
        <w:trPr/>
        <w:tc>
          <w:tcPr>
            <w:tcW w:w="5169"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69"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0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157" w:type="dxa"/>
            <w:tcBorders/>
            <w:vAlign w:val="bottom"/>
          </w:tcPr>
          <w:p>
            <w:pPr>
              <w:pStyle w:val="TableContents"/>
              <w:bidi w:val="0"/>
              <w:spacing w:before="0" w:after="283"/>
              <w:jc w:val="left"/>
              <w:rPr/>
            </w:pPr>
            <w:r>
              <w:rPr/>
              <w:t> </w:t>
            </w:r>
          </w:p>
        </w:tc>
      </w:tr>
      <w:tr>
        <w:trPr/>
        <w:tc>
          <w:tcPr>
            <w:tcW w:w="51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27"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7" w:type="dxa"/>
            <w:tcBorders/>
            <w:vAlign w:val="bottom"/>
          </w:tcPr>
          <w:p>
            <w:pPr>
              <w:pStyle w:val="TableContents"/>
              <w:bidi w:val="0"/>
              <w:spacing w:before="0" w:after="283"/>
              <w:jc w:val="left"/>
              <w:rPr/>
            </w:pPr>
            <w:r>
              <w:rPr/>
              <w:t> </w:t>
            </w:r>
          </w:p>
        </w:tc>
      </w:tr>
      <w:tr>
        <w:trPr/>
        <w:tc>
          <w:tcPr>
            <w:tcW w:w="5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625</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733</w:t>
            </w:r>
          </w:p>
        </w:tc>
        <w:tc>
          <w:tcPr>
            <w:tcW w:w="157" w:type="dxa"/>
            <w:tcBorders/>
            <w:shd w:fill="CCEEFF" w:val="clear"/>
            <w:vAlign w:val="bottom"/>
          </w:tcPr>
          <w:p>
            <w:pPr>
              <w:pStyle w:val="TableContents"/>
              <w:bidi w:val="0"/>
              <w:spacing w:before="0" w:after="283"/>
              <w:jc w:val="left"/>
              <w:rPr/>
            </w:pPr>
            <w:r>
              <w:rPr/>
              <w:t> </w:t>
            </w:r>
          </w:p>
        </w:tc>
      </w:tr>
      <w:tr>
        <w:trPr/>
        <w:tc>
          <w:tcPr>
            <w:tcW w:w="5169" w:type="dxa"/>
            <w:tcBorders/>
          </w:tcPr>
          <w:p>
            <w:pPr>
              <w:pStyle w:val="TableContents"/>
              <w:bidi w:val="0"/>
              <w:spacing w:before="0" w:after="0"/>
              <w:jc w:val="left"/>
              <w:rPr>
                <w:rFonts w:ascii="Times New Roman" w:hAnsi="Times New Roman"/>
                <w:sz w:val="20"/>
              </w:rPr>
            </w:pPr>
            <w:r>
              <w:rPr>
                <w:rFonts w:ascii="Times New Roman" w:hAnsi="Times New Roman"/>
                <w:sz w:val="20"/>
              </w:rPr>
              <w:t>Royalty receivables</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431</w:t>
            </w:r>
          </w:p>
        </w:tc>
        <w:tc>
          <w:tcPr>
            <w:tcW w:w="157" w:type="dxa"/>
            <w:tcBorders/>
            <w:vAlign w:val="bottom"/>
          </w:tcPr>
          <w:p>
            <w:pPr>
              <w:pStyle w:val="TableContents"/>
              <w:bidi w:val="0"/>
              <w:spacing w:before="0" w:after="283"/>
              <w:jc w:val="left"/>
              <w:rPr/>
            </w:pPr>
            <w:r>
              <w:rPr/>
              <w:t> </w:t>
            </w:r>
          </w:p>
        </w:tc>
      </w:tr>
      <w:tr>
        <w:trPr/>
        <w:tc>
          <w:tcPr>
            <w:tcW w:w="5169"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gross receivables</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1,002</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1,164</w:t>
            </w:r>
          </w:p>
        </w:tc>
        <w:tc>
          <w:tcPr>
            <w:tcW w:w="157" w:type="dxa"/>
            <w:tcBorders/>
            <w:shd w:fill="CCEEFF" w:val="clear"/>
            <w:vAlign w:val="bottom"/>
          </w:tcPr>
          <w:p>
            <w:pPr>
              <w:pStyle w:val="TableContents"/>
              <w:bidi w:val="0"/>
              <w:spacing w:before="0" w:after="283"/>
              <w:jc w:val="left"/>
              <w:rPr/>
            </w:pPr>
            <w:r>
              <w:rPr/>
              <w:t> </w:t>
            </w:r>
          </w:p>
        </w:tc>
      </w:tr>
      <w:tr>
        <w:trPr/>
        <w:tc>
          <w:tcPr>
            <w:tcW w:w="5169"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current expected credit losses</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(40</w:t>
            </w:r>
          </w:p>
        </w:tc>
        <w:tc>
          <w:tcPr>
            <w:tcW w:w="157" w:type="dxa"/>
            <w:tcBorders/>
            <w:vAlign w:val="bottom"/>
          </w:tcPr>
          <w:p>
            <w:pPr>
              <w:pStyle w:val="TableContents"/>
              <w:bidi w:val="0"/>
              <w:spacing w:before="0" w:after="283"/>
              <w:jc w:val="left"/>
              <w:rPr/>
            </w:pPr>
            <w:r>
              <w:rPr/>
              <w:t>) </w:t>
            </w:r>
          </w:p>
        </w:tc>
      </w:tr>
      <w:tr>
        <w:trPr/>
        <w:tc>
          <w:tcPr>
            <w:tcW w:w="5169"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1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accounts receivables, net</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999</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1,124</w:t>
            </w:r>
          </w:p>
        </w:tc>
        <w:tc>
          <w:tcPr>
            <w:tcW w:w="157" w:type="dxa"/>
            <w:tcBorders/>
            <w:shd w:fill="CCEEFF" w:val="clear"/>
            <w:vAlign w:val="bottom"/>
          </w:tcPr>
          <w:p>
            <w:pPr>
              <w:pStyle w:val="TableContents"/>
              <w:bidi w:val="0"/>
              <w:spacing w:before="0" w:after="283"/>
              <w:jc w:val="left"/>
              <w:rPr/>
            </w:pPr>
            <w:r>
              <w:rPr/>
              <w:t> </w:t>
            </w:r>
          </w:p>
        </w:tc>
      </w:tr>
      <w:tr>
        <w:trPr/>
        <w:tc>
          <w:tcPr>
            <w:tcW w:w="5169"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the movement in the allowance for current expected credit losses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36"/>
        <w:gridCol w:w="476"/>
        <w:gridCol w:w="165"/>
        <w:gridCol w:w="404"/>
        <w:gridCol w:w="158"/>
      </w:tblGrid>
      <w:tr>
        <w:trPr/>
        <w:tc>
          <w:tcPr>
            <w:tcW w:w="5736"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76" w:type="dxa"/>
            <w:tcBorders/>
            <w:vAlign w:val="bottom"/>
          </w:tcPr>
          <w:p>
            <w:pPr>
              <w:pStyle w:val="TableContents"/>
              <w:bidi w:val="0"/>
              <w:spacing w:before="0" w:after="283"/>
              <w:jc w:val="left"/>
              <w:rPr/>
            </w:pPr>
            <w:r>
              <w:rPr/>
              <w:t>  </w:t>
            </w:r>
          </w:p>
        </w:tc>
        <w:tc>
          <w:tcPr>
            <w:tcW w:w="5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8" w:type="dxa"/>
            <w:tcBorders/>
            <w:vAlign w:val="bottom"/>
          </w:tcPr>
          <w:p>
            <w:pPr>
              <w:pStyle w:val="TableContents"/>
              <w:bidi w:val="0"/>
              <w:spacing w:before="0" w:after="283"/>
              <w:jc w:val="left"/>
              <w:rPr/>
            </w:pPr>
            <w:r>
              <w:rPr/>
              <w:t> </w:t>
            </w:r>
          </w:p>
        </w:tc>
      </w:tr>
      <w:tr>
        <w:trPr/>
        <w:tc>
          <w:tcPr>
            <w:tcW w:w="57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April 1, 2020</w:t>
            </w:r>
          </w:p>
        </w:tc>
        <w:tc>
          <w:tcPr>
            <w:tcW w:w="47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04"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573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provision</w:t>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5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written off during the year as uncollectible</w:t>
            </w:r>
          </w:p>
        </w:tc>
        <w:tc>
          <w:tcPr>
            <w:tcW w:w="47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5736" w:type="dxa"/>
            <w:tcBorders/>
          </w:tcPr>
          <w:p>
            <w:pPr>
              <w:pStyle w:val="TableContents"/>
              <w:bidi w:val="0"/>
              <w:spacing w:before="0" w:after="0"/>
              <w:jc w:val="left"/>
              <w:rPr>
                <w:rFonts w:ascii="Times New Roman" w:hAnsi="Times New Roman"/>
                <w:sz w:val="20"/>
              </w:rPr>
            </w:pPr>
            <w:r>
              <w:rPr>
                <w:rFonts w:ascii="Times New Roman" w:hAnsi="Times New Roman"/>
                <w:sz w:val="20"/>
              </w:rPr>
              <w:t>Amounts reclassified to assets related to discontinued operations</w:t>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5736"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April 1, 2021</w:t>
            </w:r>
          </w:p>
        </w:tc>
        <w:tc>
          <w:tcPr>
            <w:tcW w:w="47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right"/>
              <w:rPr/>
            </w:pPr>
            <w:r>
              <w:rPr/>
              <w:t>12</w:t>
            </w:r>
          </w:p>
        </w:tc>
        <w:tc>
          <w:tcPr>
            <w:tcW w:w="158" w:type="dxa"/>
            <w:tcBorders/>
            <w:shd w:fill="CCEEFF" w:val="clear"/>
            <w:vAlign w:val="bottom"/>
          </w:tcPr>
          <w:p>
            <w:pPr>
              <w:pStyle w:val="TableContents"/>
              <w:bidi w:val="0"/>
              <w:spacing w:before="0" w:after="283"/>
              <w:jc w:val="left"/>
              <w:rPr/>
            </w:pPr>
            <w:r>
              <w:rPr/>
              <w:t> </w:t>
            </w:r>
          </w:p>
        </w:tc>
      </w:tr>
      <w:tr>
        <w:trPr/>
        <w:tc>
          <w:tcPr>
            <w:tcW w:w="573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provision</w:t>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5736"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April 1, 2022</w:t>
            </w:r>
          </w:p>
        </w:tc>
        <w:tc>
          <w:tcPr>
            <w:tcW w:w="47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04" w:type="dxa"/>
            <w:tcBorders/>
            <w:shd w:fill="CCEEFF" w:val="clear"/>
            <w:vAlign w:val="bottom"/>
          </w:tcPr>
          <w:p>
            <w:pPr>
              <w:pStyle w:val="TableContents"/>
              <w:bidi w:val="0"/>
              <w:spacing w:before="0" w:after="283"/>
              <w:jc w:val="right"/>
              <w:rPr/>
            </w:pPr>
            <w:r>
              <w:rPr/>
              <w:t>40</w:t>
            </w:r>
          </w:p>
        </w:tc>
        <w:tc>
          <w:tcPr>
            <w:tcW w:w="158" w:type="dxa"/>
            <w:tcBorders/>
            <w:shd w:fill="CCEEFF" w:val="clear"/>
            <w:vAlign w:val="bottom"/>
          </w:tcPr>
          <w:p>
            <w:pPr>
              <w:pStyle w:val="TableContents"/>
              <w:bidi w:val="0"/>
              <w:spacing w:before="0" w:after="283"/>
              <w:jc w:val="left"/>
              <w:rPr/>
            </w:pPr>
            <w:r>
              <w:rPr/>
              <w:t> </w:t>
            </w:r>
          </w:p>
        </w:tc>
      </w:tr>
      <w:tr>
        <w:trPr/>
        <w:tc>
          <w:tcPr>
            <w:tcW w:w="5736" w:type="dxa"/>
            <w:tcBorders/>
          </w:tcPr>
          <w:p>
            <w:pPr>
              <w:pStyle w:val="TableContents"/>
              <w:bidi w:val="0"/>
              <w:spacing w:before="0" w:after="0"/>
              <w:jc w:val="left"/>
              <w:rPr>
                <w:rFonts w:ascii="Times New Roman" w:hAnsi="Times New Roman"/>
                <w:sz w:val="20"/>
              </w:rPr>
            </w:pPr>
            <w:r>
              <w:rPr>
                <w:rFonts w:ascii="Times New Roman" w:hAnsi="Times New Roman"/>
                <w:sz w:val="20"/>
              </w:rPr>
              <w:t>Reversal of provision</w:t>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(34</w:t>
            </w:r>
          </w:p>
        </w:tc>
        <w:tc>
          <w:tcPr>
            <w:tcW w:w="158" w:type="dxa"/>
            <w:tcBorders/>
            <w:vAlign w:val="bottom"/>
          </w:tcPr>
          <w:p>
            <w:pPr>
              <w:pStyle w:val="TableContents"/>
              <w:bidi w:val="0"/>
              <w:spacing w:before="0" w:after="283"/>
              <w:jc w:val="left"/>
              <w:rPr/>
            </w:pPr>
            <w:r>
              <w:rPr/>
              <w:t>) </w:t>
            </w:r>
          </w:p>
        </w:tc>
      </w:tr>
      <w:tr>
        <w:trPr/>
        <w:tc>
          <w:tcPr>
            <w:tcW w:w="5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written off during the year as uncollectible</w:t>
            </w:r>
          </w:p>
        </w:tc>
        <w:tc>
          <w:tcPr>
            <w:tcW w:w="47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5736"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3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2023</w:t>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404"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5736"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Contract Assets </w:t>
      </w:r>
    </w:p>
    <w:p>
      <w:pPr>
        <w:pStyle w:val="TextBody"/>
        <w:bidi w:val="0"/>
        <w:spacing w:before="120" w:after="0"/>
        <w:jc w:val="left"/>
        <w:rPr>
          <w:rFonts w:ascii="Times New Roman" w:hAnsi="Times New Roman"/>
          <w:sz w:val="20"/>
        </w:rPr>
      </w:pPr>
      <w:r>
        <w:rPr>
          <w:rFonts w:ascii="Times New Roman" w:hAnsi="Times New Roman"/>
          <w:sz w:val="20"/>
        </w:rPr>
        <w:t xml:space="preserve">The timing of revenue recognition may differ from the timing of invoicing to customers. Contract assets are created when invoicing occurs subsequent to revenue recognition. Contract assets are transferred to accounts receivable when the right to invoice becomes unconditional. Contract assets increased by $254 million and $490 million due to the timing of billings to customers, which fell into subsequent periods, in the fiscal years ended March 31, 2023 and 2022, respectively, offset by $250 million and $331 million of contract assets transferred to accounts receivable, in the fiscal years ended March 31, 2023 and 2022, respectively. The balance and activity for loss allowances related to contract assets was immaterial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the movement in contract liabilities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4"/>
        <w:gridCol w:w="419"/>
        <w:gridCol w:w="148"/>
        <w:gridCol w:w="596"/>
        <w:gridCol w:w="162"/>
      </w:tblGrid>
      <w:tr>
        <w:trPr/>
        <w:tc>
          <w:tcPr>
            <w:tcW w:w="5614"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19"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2"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April 1, 2021</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1,178</w:t>
            </w:r>
          </w:p>
        </w:tc>
        <w:tc>
          <w:tcPr>
            <w:tcW w:w="162" w:type="dxa"/>
            <w:tcBorders/>
            <w:shd w:fill="CCEEFF" w:val="clear"/>
            <w:vAlign w:val="bottom"/>
          </w:tcPr>
          <w:p>
            <w:pPr>
              <w:pStyle w:val="TableContents"/>
              <w:bidi w:val="0"/>
              <w:spacing w:before="0" w:after="283"/>
              <w:jc w:val="left"/>
              <w:rPr/>
            </w:pPr>
            <w:r>
              <w:rPr/>
              <w:t> </w:t>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Customer prepayment and billing in advance of performance</w:t>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317</w:t>
            </w:r>
          </w:p>
        </w:tc>
        <w:tc>
          <w:tcPr>
            <w:tcW w:w="162"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recognized in the period that was included in the contract liability balance at the beginning of the period</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(170</w:t>
            </w:r>
          </w:p>
        </w:tc>
        <w:tc>
          <w:tcPr>
            <w:tcW w:w="162" w:type="dxa"/>
            <w:tcBorders/>
            <w:shd w:fill="CCEEFF" w:val="clear"/>
            <w:vAlign w:val="bottom"/>
          </w:tcPr>
          <w:p>
            <w:pPr>
              <w:pStyle w:val="TableContents"/>
              <w:bidi w:val="0"/>
              <w:spacing w:before="0" w:after="283"/>
              <w:jc w:val="left"/>
              <w:rPr/>
            </w:pPr>
            <w:r>
              <w:rPr/>
              <w:t>) </w:t>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Revenue recognized in the period that was included in the contract liability balance during the period</w:t>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(199</w:t>
            </w:r>
          </w:p>
        </w:tc>
        <w:tc>
          <w:tcPr>
            <w:tcW w:w="162" w:type="dxa"/>
            <w:tcBorders/>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4"/>
        <w:gridCol w:w="419"/>
        <w:gridCol w:w="148"/>
        <w:gridCol w:w="596"/>
        <w:gridCol w:w="162"/>
      </w:tblGrid>
      <w:tr>
        <w:trPr/>
        <w:tc>
          <w:tcPr>
            <w:tcW w:w="5614"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19"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2"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2022</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1,126</w:t>
            </w:r>
          </w:p>
        </w:tc>
        <w:tc>
          <w:tcPr>
            <w:tcW w:w="162" w:type="dxa"/>
            <w:tcBorders/>
            <w:shd w:fill="CCEEFF" w:val="clear"/>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334</w:t>
            </w:r>
          </w:p>
        </w:tc>
        <w:tc>
          <w:tcPr>
            <w:tcW w:w="162"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portion of contract liabilities</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792</w:t>
            </w:r>
          </w:p>
        </w:tc>
        <w:tc>
          <w:tcPr>
            <w:tcW w:w="162" w:type="dxa"/>
            <w:tcBorders/>
            <w:shd w:fill="CCEEFF" w:val="clear"/>
            <w:vAlign w:val="bottom"/>
          </w:tcPr>
          <w:p>
            <w:pPr>
              <w:pStyle w:val="TableContents"/>
              <w:bidi w:val="0"/>
              <w:spacing w:before="0" w:after="283"/>
              <w:jc w:val="left"/>
              <w:rPr/>
            </w:pPr>
            <w:r>
              <w:rPr/>
              <w:t> </w:t>
            </w:r>
          </w:p>
        </w:tc>
      </w:tr>
      <w:tr>
        <w:trPr/>
        <w:tc>
          <w:tcPr>
            <w:tcW w:w="5614"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April 1, 2022</w:t>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1,126</w:t>
            </w:r>
          </w:p>
        </w:tc>
        <w:tc>
          <w:tcPr>
            <w:tcW w:w="162"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prepayment and billing in advance of performance</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209</w:t>
            </w:r>
          </w:p>
        </w:tc>
        <w:tc>
          <w:tcPr>
            <w:tcW w:w="162" w:type="dxa"/>
            <w:tcBorders/>
            <w:shd w:fill="CCEEFF" w:val="clear"/>
            <w:vAlign w:val="bottom"/>
          </w:tcPr>
          <w:p>
            <w:pPr>
              <w:pStyle w:val="TableContents"/>
              <w:bidi w:val="0"/>
              <w:spacing w:before="0" w:after="283"/>
              <w:jc w:val="left"/>
              <w:rPr/>
            </w:pPr>
            <w:r>
              <w:rPr/>
              <w:t> </w:t>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Revenue recognized in the period that was included in the contract liability balance at the beginning of the period</w:t>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(128</w:t>
            </w:r>
          </w:p>
        </w:tc>
        <w:tc>
          <w:tcPr>
            <w:tcW w:w="162"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recognized in the period that was included in the contract liability balance during the period</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(105</w:t>
            </w:r>
          </w:p>
        </w:tc>
        <w:tc>
          <w:tcPr>
            <w:tcW w:w="162" w:type="dxa"/>
            <w:tcBorders/>
            <w:shd w:fill="CCEEFF" w:val="clear"/>
            <w:vAlign w:val="bottom"/>
          </w:tcPr>
          <w:p>
            <w:pPr>
              <w:pStyle w:val="TableContents"/>
              <w:bidi w:val="0"/>
              <w:spacing w:before="0" w:after="283"/>
              <w:jc w:val="left"/>
              <w:rPr/>
            </w:pPr>
            <w:r>
              <w:rPr/>
              <w:t>) </w:t>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Effect of disposal (see Note 21)</w:t>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(2</w:t>
            </w:r>
          </w:p>
        </w:tc>
        <w:tc>
          <w:tcPr>
            <w:tcW w:w="162" w:type="dxa"/>
            <w:tcBorders/>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2023</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596" w:type="dxa"/>
            <w:tcBorders/>
            <w:shd w:fill="CCEEFF" w:val="clear"/>
            <w:vAlign w:val="bottom"/>
          </w:tcPr>
          <w:p>
            <w:pPr>
              <w:pStyle w:val="TableContents"/>
              <w:bidi w:val="0"/>
              <w:spacing w:before="0" w:after="283"/>
              <w:jc w:val="right"/>
              <w:rPr>
                <w:b/>
              </w:rPr>
            </w:pPr>
            <w:r>
              <w:rPr>
                <w:b/>
              </w:rPr>
              <w:t>1,100</w:t>
            </w:r>
          </w:p>
        </w:tc>
        <w:tc>
          <w:tcPr>
            <w:tcW w:w="162" w:type="dxa"/>
            <w:tcBorders/>
            <w:shd w:fill="CCEEFF" w:val="clear"/>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596" w:type="dxa"/>
            <w:tcBorders/>
            <w:vAlign w:val="bottom"/>
          </w:tcPr>
          <w:p>
            <w:pPr>
              <w:pStyle w:val="TableContents"/>
              <w:bidi w:val="0"/>
              <w:spacing w:before="0" w:after="283"/>
              <w:jc w:val="right"/>
              <w:rPr>
                <w:b/>
              </w:rPr>
            </w:pPr>
            <w:r>
              <w:rPr>
                <w:b/>
              </w:rPr>
              <w:t>293</w:t>
            </w:r>
          </w:p>
        </w:tc>
        <w:tc>
          <w:tcPr>
            <w:tcW w:w="162" w:type="dxa"/>
            <w:tcBorders/>
            <w:vAlign w:val="bottom"/>
          </w:tcPr>
          <w:p>
            <w:pPr>
              <w:pStyle w:val="TableContents"/>
              <w:bidi w:val="0"/>
              <w:spacing w:before="0" w:after="283"/>
              <w:jc w:val="left"/>
              <w:rPr/>
            </w:pPr>
            <w:r>
              <w:rPr/>
              <w:t> </w:t>
            </w:r>
          </w:p>
        </w:tc>
      </w:tr>
      <w:tr>
        <w:trPr/>
        <w:tc>
          <w:tcPr>
            <w:tcW w:w="56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Non-current portion of contract liabilities</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596" w:type="dxa"/>
            <w:tcBorders/>
            <w:shd w:fill="CCEEFF" w:val="clear"/>
            <w:vAlign w:val="bottom"/>
          </w:tcPr>
          <w:p>
            <w:pPr>
              <w:pStyle w:val="TableContents"/>
              <w:bidi w:val="0"/>
              <w:spacing w:before="0" w:after="283"/>
              <w:jc w:val="right"/>
              <w:rPr>
                <w:b/>
              </w:rPr>
            </w:pPr>
            <w:r>
              <w:rPr>
                <w:b/>
              </w:rPr>
              <w:t>807</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Satisfied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Revenue recognized from previously satisfied performance obligations in prior reporting periods was $1,705 million, $1,562 million, and $1,313 million for the fiscal years ended March 31, 2023, 2022, and 2021, respectively. These amounts primarily represent royalties earned during the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Remaining performance obligations represent the transaction price allocated to performance obligations that are unsatisfied, or partially unsatisfied, which includes unearned revenue and amounts that will be invoiced and recognized as revenue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exclude potential future royalty receipts from the disclosure of remaining performance obligations. In certain arrangements, the Companys right to consideration may not correspond directly with the performance of obligations. Revenue recognition occurs upon delivery or beginning of license term, whichever is later. Accordingly, the analysis between time bands below has been estimated, but the final timing may differ from these estimates. In the absence of sufficient information, where the timing of satisfaction of the remaining performance obligations is dependent on a customers action, the transaction price allocated to such performance obligation is included in the outer-year time band unless contract or option expiration aligns with an earlier period or category.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aggregate transaction price allocated to remaining performance obligations was </w:t>
      </w:r>
    </w:p>
    <w:p>
      <w:pPr>
        <w:pStyle w:val="TextBody"/>
        <w:bidi w:val="0"/>
        <w:spacing w:before="0" w:after="0"/>
        <w:jc w:val="left"/>
        <w:rPr>
          <w:rFonts w:ascii="Times New Roman" w:hAnsi="Times New Roman"/>
          <w:sz w:val="20"/>
        </w:rPr>
      </w:pPr>
      <w:r>
        <w:rPr>
          <w:rFonts w:ascii="Times New Roman" w:hAnsi="Times New Roman"/>
          <w:sz w:val="20"/>
        </w:rPr>
        <w:t xml:space="preserve">$1,712.1 million, which includes $743.9 million of non-cancellable and non-refundable committed funds received from certain customers, where the parties are in negotiations regarding the enforceable rights and obligations of the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recognize approximately 23% of remaining performance obligations as revenue over the next 12 months, 11% over the subsequent 13-to 24-month period, and the remainder thereafter.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Discontinued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decided to distribute Treasure Data to the immediate shareholders of the Company and sell IoTP to SoftBank Group Capital Limited. The distribution and sale of Treasure Data and IoTP, respectively represented a strategic shift that has or will have a major effect on the Companys operations and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results. In the course of the Companys evaluation, it considered examples provided in ASC 205-20 of what may constitute a strategic shift that will have a major effect on operations and financial results. The following metrics were analyzed among others: total revenues of Treasure Data and IoTP when compared to those of the Company, total assets, losses and profits before and after taxes, respectively. As a result of this analysis, the Company determined the distribution and sale of the businesses qualified for classification as discontinued operations. Because Treasure Data was distributed to the immediate shareholders of the Company and IoTP was sold to SoftBank Group Capital Limited, the results of operations were not recorded as discontinued operations until the period in which the businesses were actually disposed of other than by 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Treasure Data </w:t>
      </w:r>
    </w:p>
    <w:p>
      <w:pPr>
        <w:pStyle w:val="TextBody"/>
        <w:bidi w:val="0"/>
        <w:spacing w:before="120" w:after="0"/>
        <w:jc w:val="left"/>
        <w:rPr>
          <w:rFonts w:ascii="Times New Roman" w:hAnsi="Times New Roman"/>
          <w:sz w:val="20"/>
        </w:rPr>
      </w:pPr>
      <w:r>
        <w:rPr>
          <w:rFonts w:ascii="Times New Roman" w:hAnsi="Times New Roman"/>
          <w:sz w:val="20"/>
        </w:rPr>
        <w:t xml:space="preserve">In June 2021, the Company completed a pro rata distribution of its controlling stake in Treasure Data to SoftBank Group Capital Limited. The distribution was recorded as a reduction to retained earnings at the carrying amount of Treasure Datas net assets of $44.2 million and did not result in the recognition of gain or losses. </w:t>
      </w:r>
    </w:p>
    <w:p>
      <w:pPr>
        <w:pStyle w:val="TextBody"/>
        <w:bidi w:val="0"/>
        <w:spacing w:before="240" w:after="0"/>
        <w:jc w:val="left"/>
        <w:rPr>
          <w:rFonts w:ascii="Times New Roman" w:hAnsi="Times New Roman"/>
          <w:sz w:val="20"/>
        </w:rPr>
      </w:pPr>
      <w:r>
        <w:rPr>
          <w:rFonts w:ascii="Times New Roman" w:hAnsi="Times New Roman"/>
          <w:sz w:val="20"/>
        </w:rPr>
        <w:t xml:space="preserve">Upon the distribution, the Company and Treasure Data entered into a transition services agreement pursuant to which the Company provided enabling functions support services to the owners of Treasure Data on an interim transitional basis for up to three months after disposition. The revenue and cash flows associated with this transition services agreement were not significant to the operations of the Company. The Company completed its transition services for Treasure Data during the fiscal year ended March 31, 2022. The Company provided no transition services in the fiscal year ended March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IoTP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2021, the Company sold 100% of its ownership in IoTP. The IoTP business was sold to the Companys immediate shareholders for $12.0 million in cash consideration. Consideration with respect to the sale was unpaid as of March 31, 2023 and recorded as an other receivable in prepaid expenses and other current assets on the Consolidated Balance Sheets. Upon the sale, the carrying value of the net assets of IoTP equaled total consideration and no gain or loss was recognized. The Company provided no transition services to IoTP post-distribution in the fiscal years ended March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Summarized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results of Treasure Data and IoTP are reflected in discontinued operations in the consolidated financial statements for all periods presented through the dates of distribution and sale, respectively.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major components of revenues and expenses from discontinued operations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12"/>
        <w:gridCol w:w="364"/>
        <w:gridCol w:w="308"/>
        <w:gridCol w:w="993"/>
        <w:gridCol w:w="484"/>
        <w:gridCol w:w="527"/>
        <w:gridCol w:w="308"/>
        <w:gridCol w:w="997"/>
        <w:gridCol w:w="362"/>
      </w:tblGrid>
      <w:tr>
        <w:trPr/>
        <w:tc>
          <w:tcPr>
            <w:tcW w:w="3412"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r>
      <w:tr>
        <w:trPr/>
        <w:tc>
          <w:tcPr>
            <w:tcW w:w="341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361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Fiscal Year Ended March 31,    </w:t>
            </w:r>
          </w:p>
        </w:tc>
        <w:tc>
          <w:tcPr>
            <w:tcW w:w="362" w:type="dxa"/>
            <w:tcBorders/>
            <w:vAlign w:val="bottom"/>
          </w:tcPr>
          <w:p>
            <w:pPr>
              <w:pStyle w:val="TableContents"/>
              <w:bidi w:val="0"/>
              <w:spacing w:before="0" w:after="283"/>
              <w:jc w:val="left"/>
              <w:rPr/>
            </w:pPr>
            <w:r>
              <w:rPr/>
              <w:t> </w:t>
            </w:r>
          </w:p>
        </w:tc>
      </w:tr>
      <w:tr>
        <w:trPr/>
        <w:tc>
          <w:tcPr>
            <w:tcW w:w="34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64" w:type="dxa"/>
            <w:tcBorders/>
            <w:vAlign w:val="bottom"/>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484"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62" w:type="dxa"/>
            <w:tcBorders/>
            <w:vAlign w:val="bottom"/>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6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41</w:t>
            </w:r>
          </w:p>
        </w:tc>
        <w:tc>
          <w:tcPr>
            <w:tcW w:w="484"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118</w:t>
            </w:r>
          </w:p>
        </w:tc>
        <w:tc>
          <w:tcPr>
            <w:tcW w:w="362" w:type="dxa"/>
            <w:tcBorders/>
            <w:shd w:fill="CCEEFF" w:val="clear"/>
            <w:vAlign w:val="bottom"/>
          </w:tcPr>
          <w:p>
            <w:pPr>
              <w:pStyle w:val="TableContents"/>
              <w:bidi w:val="0"/>
              <w:spacing w:before="0" w:after="283"/>
              <w:jc w:val="left"/>
              <w:rPr/>
            </w:pPr>
            <w:r>
              <w:rPr/>
              <w:t> </w:t>
            </w:r>
          </w:p>
        </w:tc>
      </w:tr>
      <w:tr>
        <w:trPr/>
        <w:tc>
          <w:tcPr>
            <w:tcW w:w="3412"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36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(20</w:t>
            </w:r>
          </w:p>
        </w:tc>
        <w:tc>
          <w:tcPr>
            <w:tcW w:w="484"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(42</w:t>
            </w:r>
          </w:p>
        </w:tc>
        <w:tc>
          <w:tcPr>
            <w:tcW w:w="362" w:type="dxa"/>
            <w:tcBorders/>
            <w:vAlign w:val="bottom"/>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(44</w:t>
            </w:r>
          </w:p>
        </w:tc>
        <w:tc>
          <w:tcPr>
            <w:tcW w:w="484"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(143</w:t>
            </w:r>
          </w:p>
        </w:tc>
        <w:tc>
          <w:tcPr>
            <w:tcW w:w="362" w:type="dxa"/>
            <w:tcBorders/>
            <w:shd w:fill="CCEEFF" w:val="clear"/>
            <w:vAlign w:val="bottom"/>
          </w:tcPr>
          <w:p>
            <w:pPr>
              <w:pStyle w:val="TableContents"/>
              <w:bidi w:val="0"/>
              <w:spacing w:before="0" w:after="283"/>
              <w:jc w:val="left"/>
              <w:rPr/>
            </w:pPr>
            <w:r>
              <w:rPr/>
              <w:t>) </w:t>
            </w:r>
          </w:p>
        </w:tc>
      </w:tr>
      <w:tr>
        <w:trPr/>
        <w:tc>
          <w:tcPr>
            <w:tcW w:w="341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6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(53</w:t>
            </w:r>
          </w:p>
        </w:tc>
        <w:tc>
          <w:tcPr>
            <w:tcW w:w="484"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(120</w:t>
            </w:r>
          </w:p>
        </w:tc>
        <w:tc>
          <w:tcPr>
            <w:tcW w:w="362" w:type="dxa"/>
            <w:tcBorders/>
            <w:vAlign w:val="bottom"/>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and related costs</w:t>
            </w:r>
          </w:p>
        </w:tc>
        <w:tc>
          <w:tcPr>
            <w:tcW w:w="36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484"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(7</w:t>
            </w:r>
          </w:p>
        </w:tc>
        <w:tc>
          <w:tcPr>
            <w:tcW w:w="362" w:type="dxa"/>
            <w:tcBorders/>
            <w:shd w:fill="CCEEFF" w:val="clear"/>
            <w:vAlign w:val="bottom"/>
          </w:tcPr>
          <w:p>
            <w:pPr>
              <w:pStyle w:val="TableContents"/>
              <w:bidi w:val="0"/>
              <w:spacing w:before="0" w:after="283"/>
              <w:jc w:val="left"/>
              <w:rPr/>
            </w:pPr>
            <w:r>
              <w:rPr/>
              <w:t>) </w:t>
            </w:r>
          </w:p>
        </w:tc>
      </w:tr>
      <w:tr>
        <w:trPr/>
        <w:tc>
          <w:tcPr>
            <w:tcW w:w="3412"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6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(23</w:t>
            </w:r>
          </w:p>
        </w:tc>
        <w:tc>
          <w:tcPr>
            <w:tcW w:w="484"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  </w:t>
            </w:r>
          </w:p>
        </w:tc>
        <w:tc>
          <w:tcPr>
            <w:tcW w:w="362" w:type="dxa"/>
            <w:tcBorders/>
            <w:vAlign w:val="bottom"/>
          </w:tcPr>
          <w:p>
            <w:pPr>
              <w:pStyle w:val="TableContents"/>
              <w:bidi w:val="0"/>
              <w:spacing w:before="0" w:after="283"/>
              <w:jc w:val="left"/>
              <w:rPr/>
            </w:pPr>
            <w:r>
              <w:rPr/>
              <w:t> </w:t>
            </w:r>
          </w:p>
        </w:tc>
      </w:tr>
      <w:tr>
        <w:trPr/>
        <w:tc>
          <w:tcPr>
            <w:tcW w:w="3412"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484"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discontinued operations before income taxes</w:t>
            </w:r>
          </w:p>
        </w:tc>
        <w:tc>
          <w:tcPr>
            <w:tcW w:w="36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(99</w:t>
            </w:r>
          </w:p>
        </w:tc>
        <w:tc>
          <w:tcPr>
            <w:tcW w:w="484"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(194</w:t>
            </w:r>
          </w:p>
        </w:tc>
        <w:tc>
          <w:tcPr>
            <w:tcW w:w="362" w:type="dxa"/>
            <w:tcBorders/>
            <w:shd w:fill="CCEEFF" w:val="clear"/>
            <w:vAlign w:val="bottom"/>
          </w:tcPr>
          <w:p>
            <w:pPr>
              <w:pStyle w:val="TableContents"/>
              <w:bidi w:val="0"/>
              <w:spacing w:before="0" w:after="283"/>
              <w:jc w:val="left"/>
              <w:rPr/>
            </w:pPr>
            <w:r>
              <w:rPr/>
              <w:t>) </w:t>
            </w:r>
          </w:p>
        </w:tc>
      </w:tr>
      <w:tr>
        <w:trPr/>
        <w:tc>
          <w:tcPr>
            <w:tcW w:w="341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36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(28</w:t>
            </w:r>
          </w:p>
        </w:tc>
        <w:tc>
          <w:tcPr>
            <w:tcW w:w="484"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38</w:t>
            </w:r>
          </w:p>
        </w:tc>
        <w:tc>
          <w:tcPr>
            <w:tcW w:w="362" w:type="dxa"/>
            <w:tcBorders/>
            <w:vAlign w:val="bottom"/>
          </w:tcPr>
          <w:p>
            <w:pPr>
              <w:pStyle w:val="TableContents"/>
              <w:bidi w:val="0"/>
              <w:spacing w:before="0" w:after="283"/>
              <w:jc w:val="left"/>
              <w:rPr/>
            </w:pPr>
            <w:r>
              <w:rPr/>
              <w:t> </w:t>
            </w:r>
          </w:p>
        </w:tc>
      </w:tr>
      <w:tr>
        <w:trPr/>
        <w:tc>
          <w:tcPr>
            <w:tcW w:w="3412"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484"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from discontinued operations</w:t>
            </w:r>
          </w:p>
        </w:tc>
        <w:tc>
          <w:tcPr>
            <w:tcW w:w="36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(127</w:t>
            </w:r>
          </w:p>
        </w:tc>
        <w:tc>
          <w:tcPr>
            <w:tcW w:w="484"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(156</w:t>
            </w:r>
          </w:p>
        </w:tc>
        <w:tc>
          <w:tcPr>
            <w:tcW w:w="362" w:type="dxa"/>
            <w:tcBorders/>
            <w:shd w:fill="CCEEFF" w:val="clear"/>
            <w:vAlign w:val="bottom"/>
          </w:tcPr>
          <w:p>
            <w:pPr>
              <w:pStyle w:val="TableContents"/>
              <w:bidi w:val="0"/>
              <w:spacing w:before="0" w:after="283"/>
              <w:jc w:val="left"/>
              <w:rPr/>
            </w:pPr>
            <w:r>
              <w:rPr/>
              <w:t>) </w:t>
            </w:r>
          </w:p>
        </w:tc>
      </w:tr>
      <w:tr>
        <w:trPr/>
        <w:tc>
          <w:tcPr>
            <w:tcW w:w="3412"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484"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Prior to the sale of IoTP, in November 2021, an impairment loss of $23.5 million was recognized on long-lived intangible and property and equipment assets of IoTP. The impairment was primarily a result of lower than anticipated operating results and a deterioration in projected results. For purposes of determining the impairment, the Company relied on the income approach utilizing discounted cash flows to arrive at fair value. </w:t>
      </w:r>
    </w:p>
    <w:p>
      <w:pPr>
        <w:pStyle w:val="TextBody"/>
        <w:bidi w:val="0"/>
        <w:spacing w:before="240" w:after="0"/>
        <w:jc w:val="left"/>
        <w:rPr>
          <w:rFonts w:ascii="Times New Roman" w:hAnsi="Times New Roman"/>
          <w:sz w:val="20"/>
        </w:rPr>
      </w:pPr>
      <w:r>
        <w:rPr>
          <w:rFonts w:ascii="Times New Roman" w:hAnsi="Times New Roman"/>
          <w:sz w:val="20"/>
        </w:rPr>
        <w:t xml:space="preserve">A summary of significant non-cash items and capital expenditures from discontinued operations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97"/>
        <w:gridCol w:w="630"/>
        <w:gridCol w:w="481"/>
        <w:gridCol w:w="481"/>
        <w:gridCol w:w="206"/>
        <w:gridCol w:w="913"/>
        <w:gridCol w:w="481"/>
        <w:gridCol w:w="903"/>
        <w:gridCol w:w="63"/>
      </w:tblGrid>
      <w:tr>
        <w:trPr/>
        <w:tc>
          <w:tcPr>
            <w:tcW w:w="3597" w:type="dxa"/>
            <w:tcBorders/>
            <w:vAlign w:val="center"/>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597"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3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63" w:type="dxa"/>
            <w:tcBorders/>
            <w:vAlign w:val="bottom"/>
          </w:tcPr>
          <w:p>
            <w:pPr>
              <w:pStyle w:val="TableContents"/>
              <w:bidi w:val="0"/>
              <w:spacing w:before="0" w:after="283"/>
              <w:jc w:val="left"/>
              <w:rPr/>
            </w:pPr>
            <w:r>
              <w:rPr/>
              <w:t> </w:t>
            </w:r>
          </w:p>
        </w:tc>
      </w:tr>
      <w:tr>
        <w:trPr/>
        <w:tc>
          <w:tcPr>
            <w:tcW w:w="35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630"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06"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and depreciation expense</w:t>
            </w:r>
          </w:p>
        </w:tc>
        <w:tc>
          <w:tcPr>
            <w:tcW w:w="63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w:t>
            </w:r>
          </w:p>
        </w:tc>
        <w:tc>
          <w:tcPr>
            <w:tcW w:w="481" w:type="dxa"/>
            <w:tcBorders/>
            <w:shd w:fill="CCEEFF" w:val="clear"/>
            <w:vAlign w:val="bottom"/>
          </w:tcPr>
          <w:p>
            <w:pPr>
              <w:pStyle w:val="TableContents"/>
              <w:bidi w:val="0"/>
              <w:spacing w:before="0" w:after="283"/>
              <w:jc w:val="right"/>
              <w:rPr/>
            </w:pPr>
            <w:r>
              <w:rPr/>
              <w:t>8</w:t>
            </w:r>
          </w:p>
        </w:tc>
        <w:tc>
          <w:tcPr>
            <w:tcW w:w="206"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w:t>
            </w:r>
          </w:p>
        </w:tc>
        <w:tc>
          <w:tcPr>
            <w:tcW w:w="903" w:type="dxa"/>
            <w:tcBorders/>
            <w:shd w:fill="CCEEFF" w:val="clear"/>
            <w:vAlign w:val="bottom"/>
          </w:tcPr>
          <w:p>
            <w:pPr>
              <w:pStyle w:val="TableContents"/>
              <w:bidi w:val="0"/>
              <w:spacing w:before="0" w:after="283"/>
              <w:jc w:val="right"/>
              <w:rPr/>
            </w:pPr>
            <w:r>
              <w:rPr/>
              <w:t>21</w:t>
            </w:r>
          </w:p>
        </w:tc>
        <w:tc>
          <w:tcPr>
            <w:tcW w:w="63" w:type="dxa"/>
            <w:tcBorders/>
            <w:shd w:fill="CCEEFF" w:val="clear"/>
            <w:vAlign w:val="bottom"/>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Other non-cash items</w:t>
            </w:r>
          </w:p>
        </w:tc>
        <w:tc>
          <w:tcPr>
            <w:tcW w:w="63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w:t>
            </w:r>
          </w:p>
        </w:tc>
        <w:tc>
          <w:tcPr>
            <w:tcW w:w="481" w:type="dxa"/>
            <w:tcBorders/>
            <w:vAlign w:val="bottom"/>
          </w:tcPr>
          <w:p>
            <w:pPr>
              <w:pStyle w:val="TableContents"/>
              <w:bidi w:val="0"/>
              <w:spacing w:before="0" w:after="283"/>
              <w:jc w:val="right"/>
              <w:rPr/>
            </w:pPr>
            <w:r>
              <w:rPr/>
              <w:t>3</w:t>
            </w:r>
          </w:p>
        </w:tc>
        <w:tc>
          <w:tcPr>
            <w:tcW w:w="206"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w:t>
            </w:r>
          </w:p>
        </w:tc>
        <w:tc>
          <w:tcPr>
            <w:tcW w:w="90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non-cash items include operating lease expense, stock-based compensation cost and purchase of property and equipment for the fiscal years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March 31, 2023, 2022, and 2021, the Company had a goodwill balance of $1,620 million, $1,636 million, and $1,651 million, respectively. The period-over-period change in goodwill for the fiscal years ended March 31, 2023 and 2022 was due to foreign currency translation adjustments. The Company did not record any goodwill impairment for the fiscal years ended March 31, 2023, 2022, and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Information related to intangible assets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78"/>
        <w:gridCol w:w="177"/>
        <w:gridCol w:w="140"/>
        <w:gridCol w:w="390"/>
        <w:gridCol w:w="60"/>
        <w:gridCol w:w="177"/>
        <w:gridCol w:w="140"/>
        <w:gridCol w:w="390"/>
        <w:gridCol w:w="60"/>
        <w:gridCol w:w="177"/>
        <w:gridCol w:w="157"/>
        <w:gridCol w:w="428"/>
        <w:gridCol w:w="67"/>
        <w:gridCol w:w="188"/>
        <w:gridCol w:w="157"/>
        <w:gridCol w:w="430"/>
        <w:gridCol w:w="60"/>
        <w:gridCol w:w="176"/>
        <w:gridCol w:w="140"/>
        <w:gridCol w:w="390"/>
        <w:gridCol w:w="60"/>
        <w:gridCol w:w="177"/>
        <w:gridCol w:w="140"/>
        <w:gridCol w:w="390"/>
        <w:gridCol w:w="60"/>
        <w:gridCol w:w="177"/>
        <w:gridCol w:w="121"/>
        <w:gridCol w:w="651"/>
        <w:gridCol w:w="121"/>
        <w:gridCol w:w="278"/>
        <w:gridCol w:w="121"/>
        <w:gridCol w:w="655"/>
        <w:gridCol w:w="72"/>
      </w:tblGrid>
      <w:tr>
        <w:trPr/>
        <w:tc>
          <w:tcPr>
            <w:tcW w:w="327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327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678"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72" w:type="dxa"/>
            <w:tcBorders/>
            <w:vAlign w:val="bottom"/>
          </w:tcPr>
          <w:p>
            <w:pPr>
              <w:pStyle w:val="TableContents"/>
              <w:bidi w:val="0"/>
              <w:spacing w:before="0" w:after="283"/>
              <w:jc w:val="left"/>
              <w:rPr/>
            </w:pPr>
            <w:r>
              <w:rPr/>
              <w:t> </w:t>
            </w:r>
          </w:p>
        </w:tc>
      </w:tr>
      <w:tr>
        <w:trPr/>
        <w:tc>
          <w:tcPr>
            <w:tcW w:w="327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97"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Gross Carrying</w:t>
            </w:r>
          </w:p>
          <w:p>
            <w:pPr>
              <w:pStyle w:val="TableContents"/>
              <w:bidi w:val="0"/>
              <w:spacing w:before="0" w:after="20"/>
              <w:jc w:val="center"/>
              <w:rPr>
                <w:rFonts w:ascii="Times New Roman" w:hAnsi="Times New Roman"/>
                <w:b/>
                <w:sz w:val="16"/>
              </w:rPr>
            </w:pPr>
            <w:r>
              <w:rPr>
                <w:rFonts w:ascii="Times New Roman" w:hAnsi="Times New Roman"/>
                <w:b/>
                <w:sz w:val="16"/>
              </w:rPr>
              <w:t>Amount</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27" w:type="dxa"/>
            <w:gridSpan w:val="6"/>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7" w:type="dxa"/>
            <w:gridSpan w:val="6"/>
            <w:tcBorders/>
            <w:vAlign w:val="bottom"/>
          </w:tcPr>
          <w:p>
            <w:pPr>
              <w:pStyle w:val="TableContents"/>
              <w:bidi w:val="0"/>
              <w:spacing w:before="0" w:after="283"/>
              <w:jc w:val="center"/>
              <w:rPr>
                <w:b/>
              </w:rPr>
            </w:pPr>
            <w:r>
              <w:rPr>
                <w:b/>
              </w:rPr>
              <w:t>Net Carrying</w:t>
              <w:br/>
              <w:t>Value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947" w:type="dxa"/>
            <w:gridSpan w:val="6"/>
            <w:tcBorders/>
            <w:vAlign w:val="bottom"/>
          </w:tcPr>
          <w:p>
            <w:pPr>
              <w:pStyle w:val="TableContents"/>
              <w:bidi w:val="0"/>
              <w:spacing w:before="0" w:after="283"/>
              <w:jc w:val="center"/>
              <w:rPr>
                <w:b/>
              </w:rPr>
            </w:pPr>
            <w:r>
              <w:rPr>
                <w:b/>
              </w:rPr>
              <w:t>Weighted Average</w:t>
              <w:br/>
              <w:t>Remaining Life</w:t>
              <w:br/>
              <w:t>(in years)</w:t>
            </w:r>
          </w:p>
        </w:tc>
        <w:tc>
          <w:tcPr>
            <w:tcW w:w="72" w:type="dxa"/>
            <w:tcBorders/>
            <w:vAlign w:val="bottom"/>
          </w:tcPr>
          <w:p>
            <w:pPr>
              <w:pStyle w:val="TableContents"/>
              <w:bidi w:val="0"/>
              <w:spacing w:before="0" w:after="283"/>
              <w:jc w:val="left"/>
              <w:rPr/>
            </w:pPr>
            <w:r>
              <w:rPr/>
              <w:t> </w:t>
            </w:r>
          </w:p>
        </w:tc>
      </w:tr>
      <w:tr>
        <w:trPr/>
        <w:tc>
          <w:tcPr>
            <w:tcW w:w="32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77"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1"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72" w:type="dxa"/>
            <w:tcBorders/>
            <w:vAlign w:val="bottom"/>
          </w:tcPr>
          <w:p>
            <w:pPr>
              <w:pStyle w:val="TableContents"/>
              <w:bidi w:val="0"/>
              <w:spacing w:before="0" w:after="283"/>
              <w:jc w:val="left"/>
              <w:rPr/>
            </w:pPr>
            <w:r>
              <w:rPr/>
              <w:t> </w:t>
            </w:r>
          </w:p>
        </w:tc>
      </w:tr>
      <w:tr>
        <w:trPr/>
        <w:tc>
          <w:tcPr>
            <w:tcW w:w="32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Patents &amp; licenses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178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178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169</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157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1.5</w:t>
            </w:r>
          </w:p>
        </w:tc>
        <w:tc>
          <w:tcPr>
            <w:tcW w:w="12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2.1</w:t>
            </w:r>
          </w:p>
        </w:tc>
        <w:tc>
          <w:tcPr>
            <w:tcW w:w="72" w:type="dxa"/>
            <w:tcBorders/>
            <w:shd w:fill="CCEEFF" w:val="clear"/>
            <w:vAlign w:val="bottom"/>
          </w:tcPr>
          <w:p>
            <w:pPr>
              <w:pStyle w:val="TableContents"/>
              <w:bidi w:val="0"/>
              <w:spacing w:before="0" w:after="283"/>
              <w:jc w:val="left"/>
              <w:rPr/>
            </w:pPr>
            <w:r>
              <w:rPr/>
              <w:t> </w:t>
            </w:r>
          </w:p>
        </w:tc>
      </w:tr>
      <w:tr>
        <w:trPr/>
        <w:tc>
          <w:tcPr>
            <w:tcW w:w="3278"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165</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151</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156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1.1</w:t>
            </w:r>
          </w:p>
        </w:tc>
        <w:tc>
          <w:tcPr>
            <w:tcW w:w="121"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2.1</w:t>
            </w:r>
          </w:p>
        </w:tc>
        <w:tc>
          <w:tcPr>
            <w:tcW w:w="72" w:type="dxa"/>
            <w:tcBorders/>
            <w:vAlign w:val="bottom"/>
          </w:tcPr>
          <w:p>
            <w:pPr>
              <w:pStyle w:val="TableContents"/>
              <w:bidi w:val="0"/>
              <w:spacing w:before="0" w:after="283"/>
              <w:jc w:val="left"/>
              <w:rPr/>
            </w:pPr>
            <w:r>
              <w:rPr/>
              <w:t> </w:t>
            </w:r>
          </w:p>
        </w:tc>
      </w:tr>
      <w:tr>
        <w:trPr/>
        <w:tc>
          <w:tcPr>
            <w:tcW w:w="32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right"/>
              <w:rPr/>
            </w:pPr>
            <w:r>
              <w:rPr/>
              <w:t>2</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12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0.7</w:t>
            </w:r>
          </w:p>
        </w:tc>
        <w:tc>
          <w:tcPr>
            <w:tcW w:w="72" w:type="dxa"/>
            <w:tcBorders/>
            <w:shd w:fill="CCEEFF" w:val="clear"/>
            <w:vAlign w:val="bottom"/>
          </w:tcPr>
          <w:p>
            <w:pPr>
              <w:pStyle w:val="TableContents"/>
              <w:bidi w:val="0"/>
              <w:spacing w:before="0" w:after="283"/>
              <w:jc w:val="left"/>
              <w:rPr/>
            </w:pPr>
            <w:r>
              <w:rPr/>
              <w:t> </w:t>
            </w:r>
          </w:p>
        </w:tc>
      </w:tr>
      <w:tr>
        <w:trPr/>
        <w:tc>
          <w:tcPr>
            <w:tcW w:w="3278" w:type="dxa"/>
            <w:tcBorders/>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244</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168</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2.7</w:t>
            </w:r>
          </w:p>
        </w:tc>
        <w:tc>
          <w:tcPr>
            <w:tcW w:w="121"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2.6</w:t>
            </w:r>
          </w:p>
        </w:tc>
        <w:tc>
          <w:tcPr>
            <w:tcW w:w="72" w:type="dxa"/>
            <w:tcBorders/>
            <w:vAlign w:val="bottom"/>
          </w:tcPr>
          <w:p>
            <w:pPr>
              <w:pStyle w:val="TableContents"/>
              <w:bidi w:val="0"/>
              <w:spacing w:before="0" w:after="283"/>
              <w:jc w:val="left"/>
              <w:rPr/>
            </w:pPr>
            <w:r>
              <w:rPr/>
              <w:t> </w:t>
            </w:r>
          </w:p>
        </w:tc>
      </w:tr>
      <w:tr>
        <w:trPr/>
        <w:tc>
          <w:tcPr>
            <w:tcW w:w="3278"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32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subject to amortization</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right"/>
              <w:rPr/>
            </w:pPr>
            <w:r>
              <w:rPr/>
              <w:t>628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right"/>
              <w:rPr/>
            </w:pPr>
            <w:r>
              <w:rPr/>
              <w:t>594</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right"/>
              <w:rPr/>
            </w:pPr>
            <w:r>
              <w:rPr/>
              <w:t>490</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419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right"/>
              <w:rPr/>
            </w:pPr>
            <w:r>
              <w:rPr/>
              <w:t>175</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27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under development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3278"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32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intangible 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628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624</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490</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419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205</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278"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2" w:type="dxa"/>
            <w:gridSpan w:val="5"/>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regarding amortization expense for intangible assets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01"/>
        <w:gridCol w:w="290"/>
        <w:gridCol w:w="266"/>
        <w:gridCol w:w="496"/>
        <w:gridCol w:w="239"/>
        <w:gridCol w:w="433"/>
        <w:gridCol w:w="266"/>
        <w:gridCol w:w="496"/>
        <w:gridCol w:w="239"/>
        <w:gridCol w:w="433"/>
        <w:gridCol w:w="266"/>
        <w:gridCol w:w="753"/>
        <w:gridCol w:w="194"/>
      </w:tblGrid>
      <w:tr>
        <w:trPr/>
        <w:tc>
          <w:tcPr>
            <w:tcW w:w="4201"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r>
      <w:tr>
        <w:trPr/>
        <w:tc>
          <w:tcPr>
            <w:tcW w:w="420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3887"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Fiscal Year Ended March 31,    </w:t>
            </w:r>
          </w:p>
        </w:tc>
        <w:tc>
          <w:tcPr>
            <w:tcW w:w="194" w:type="dxa"/>
            <w:tcBorders/>
            <w:vAlign w:val="bottom"/>
          </w:tcPr>
          <w:p>
            <w:pPr>
              <w:pStyle w:val="TableContents"/>
              <w:bidi w:val="0"/>
              <w:spacing w:before="0" w:after="283"/>
              <w:jc w:val="left"/>
              <w:rPr/>
            </w:pPr>
            <w:r>
              <w:rPr/>
              <w:t> </w:t>
            </w:r>
          </w:p>
        </w:tc>
      </w:tr>
      <w:tr>
        <w:trPr/>
        <w:tc>
          <w:tcPr>
            <w:tcW w:w="42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90"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39"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39"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94"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4</w:t>
            </w:r>
          </w:p>
        </w:tc>
        <w:tc>
          <w:tcPr>
            <w:tcW w:w="239"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5</w:t>
            </w:r>
          </w:p>
        </w:tc>
        <w:tc>
          <w:tcPr>
            <w:tcW w:w="239"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10</w:t>
            </w:r>
          </w:p>
        </w:tc>
        <w:tc>
          <w:tcPr>
            <w:tcW w:w="194"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53</w:t>
            </w:r>
          </w:p>
        </w:tc>
        <w:tc>
          <w:tcPr>
            <w:tcW w:w="239"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50</w:t>
            </w:r>
          </w:p>
        </w:tc>
        <w:tc>
          <w:tcPr>
            <w:tcW w:w="239"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46</w:t>
            </w:r>
          </w:p>
        </w:tc>
        <w:tc>
          <w:tcPr>
            <w:tcW w:w="194"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36</w:t>
            </w:r>
          </w:p>
        </w:tc>
        <w:tc>
          <w:tcPr>
            <w:tcW w:w="239"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39</w:t>
            </w:r>
          </w:p>
        </w:tc>
        <w:tc>
          <w:tcPr>
            <w:tcW w:w="239"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45</w:t>
            </w:r>
          </w:p>
        </w:tc>
        <w:tc>
          <w:tcPr>
            <w:tcW w:w="194" w:type="dxa"/>
            <w:tcBorders/>
            <w:shd w:fill="CCEEFF" w:val="clear"/>
            <w:vAlign w:val="bottom"/>
          </w:tcPr>
          <w:p>
            <w:pPr>
              <w:pStyle w:val="TableContents"/>
              <w:bidi w:val="0"/>
              <w:spacing w:before="0" w:after="283"/>
              <w:jc w:val="left"/>
              <w:rPr/>
            </w:pPr>
            <w:r>
              <w:rPr/>
              <w:t> </w:t>
            </w:r>
          </w:p>
        </w:tc>
      </w:tr>
      <w:tr>
        <w:trPr/>
        <w:tc>
          <w:tcPr>
            <w:tcW w:w="420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r>
      <w:tr>
        <w:trPr/>
        <w:tc>
          <w:tcPr>
            <w:tcW w:w="42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amortization expense</w:t>
            </w:r>
          </w:p>
        </w:tc>
        <w:tc>
          <w:tcPr>
            <w:tcW w:w="2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496" w:type="dxa"/>
            <w:tcBorders/>
            <w:vAlign w:val="bottom"/>
          </w:tcPr>
          <w:p>
            <w:pPr>
              <w:pStyle w:val="TableContents"/>
              <w:bidi w:val="0"/>
              <w:spacing w:before="0" w:after="283"/>
              <w:jc w:val="right"/>
              <w:rPr>
                <w:b/>
              </w:rPr>
            </w:pPr>
            <w:r>
              <w:rPr>
                <w:b/>
              </w:rPr>
              <w:t>93</w:t>
            </w:r>
          </w:p>
        </w:tc>
        <w:tc>
          <w:tcPr>
            <w:tcW w:w="239"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496" w:type="dxa"/>
            <w:tcBorders/>
            <w:vAlign w:val="bottom"/>
          </w:tcPr>
          <w:p>
            <w:pPr>
              <w:pStyle w:val="TableContents"/>
              <w:bidi w:val="0"/>
              <w:spacing w:before="0" w:after="283"/>
              <w:jc w:val="right"/>
              <w:rPr>
                <w:b/>
              </w:rPr>
            </w:pPr>
            <w:r>
              <w:rPr>
                <w:b/>
              </w:rPr>
              <w:t>94</w:t>
            </w:r>
          </w:p>
        </w:tc>
        <w:tc>
          <w:tcPr>
            <w:tcW w:w="239"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753" w:type="dxa"/>
            <w:tcBorders/>
            <w:vAlign w:val="bottom"/>
          </w:tcPr>
          <w:p>
            <w:pPr>
              <w:pStyle w:val="TableContents"/>
              <w:bidi w:val="0"/>
              <w:spacing w:before="0" w:after="283"/>
              <w:jc w:val="right"/>
              <w:rPr>
                <w:b/>
              </w:rPr>
            </w:pPr>
            <w:r>
              <w:rPr>
                <w:b/>
              </w:rPr>
              <w:t>101</w:t>
            </w:r>
          </w:p>
        </w:tc>
        <w:tc>
          <w:tcPr>
            <w:tcW w:w="194" w:type="dxa"/>
            <w:tcBorders/>
            <w:vAlign w:val="bottom"/>
          </w:tcPr>
          <w:p>
            <w:pPr>
              <w:pStyle w:val="TableContents"/>
              <w:bidi w:val="0"/>
              <w:spacing w:before="0" w:after="283"/>
              <w:jc w:val="left"/>
              <w:rPr/>
            </w:pPr>
            <w:r>
              <w:rPr/>
              <w:t> </w:t>
            </w:r>
          </w:p>
        </w:tc>
      </w:tr>
      <w:tr>
        <w:trPr/>
        <w:tc>
          <w:tcPr>
            <w:tcW w:w="420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capitalized $35.1 million, $11.0 million and $40.6 million and amortized $22.5 million, $26.5 million and $22.2 million in development costs associated with internal use software in the fiscal years ended March 31, 2023, 2022 and 2021, respectively. Impairment of intangible assets for fiscal year ended March 31, 2022 was $5.0 million. There was no impairment of intangible assets recognized in other periods presented. Capitalized costs related to internal use software, net of accumulated amortization was $46.8 million and $34.5 million as of March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Estimated future amortization of intangible assets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29"/>
        <w:gridCol w:w="1037"/>
        <w:gridCol w:w="601"/>
        <w:gridCol w:w="1609"/>
        <w:gridCol w:w="63"/>
      </w:tblGrid>
      <w:tr>
        <w:trPr/>
        <w:tc>
          <w:tcPr>
            <w:tcW w:w="3629" w:type="dxa"/>
            <w:tcBorders/>
            <w:vAlign w:val="center"/>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037"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 2023</w:t>
            </w:r>
          </w:p>
        </w:tc>
        <w:tc>
          <w:tcPr>
            <w:tcW w:w="63"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037"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bidi w:val="0"/>
              <w:spacing w:before="0" w:after="283"/>
              <w:jc w:val="right"/>
              <w:rPr/>
            </w:pPr>
            <w:r>
              <w:rPr/>
              <w:t>71</w:t>
            </w:r>
          </w:p>
        </w:tc>
        <w:tc>
          <w:tcPr>
            <w:tcW w:w="63" w:type="dxa"/>
            <w:tcBorders/>
            <w:shd w:fill="CCEEFF" w:val="clear"/>
            <w:vAlign w:val="bottom"/>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03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60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037"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bidi w:val="0"/>
              <w:spacing w:before="0" w:after="283"/>
              <w:jc w:val="right"/>
              <w:rPr/>
            </w:pPr>
            <w:r>
              <w:rPr/>
              <w:t>15</w:t>
            </w:r>
          </w:p>
        </w:tc>
        <w:tc>
          <w:tcPr>
            <w:tcW w:w="63" w:type="dxa"/>
            <w:tcBorders/>
            <w:shd w:fill="CCEEFF" w:val="clear"/>
            <w:vAlign w:val="bottom"/>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03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60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037"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bidi w:val="0"/>
              <w:spacing w:before="0" w:after="283"/>
              <w:jc w:val="right"/>
              <w:rPr/>
            </w:pPr>
            <w:r>
              <w:rPr/>
              <w:t>3</w:t>
            </w:r>
          </w:p>
        </w:tc>
        <w:tc>
          <w:tcPr>
            <w:tcW w:w="63" w:type="dxa"/>
            <w:tcBorders/>
            <w:shd w:fill="CCEEFF" w:val="clear"/>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16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future amortization expense</w:t>
            </w:r>
          </w:p>
        </w:tc>
        <w:tc>
          <w:tcPr>
            <w:tcW w:w="103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b/>
              </w:rPr>
            </w:pPr>
            <w:r>
              <w:rPr>
                <w:b/>
              </w:rPr>
              <w:t>$</w:t>
            </w:r>
          </w:p>
        </w:tc>
        <w:tc>
          <w:tcPr>
            <w:tcW w:w="1609" w:type="dxa"/>
            <w:tcBorders/>
            <w:vAlign w:val="bottom"/>
          </w:tcPr>
          <w:p>
            <w:pPr>
              <w:pStyle w:val="TableContents"/>
              <w:bidi w:val="0"/>
              <w:spacing w:before="0" w:after="283"/>
              <w:jc w:val="right"/>
              <w:rPr>
                <w:b/>
              </w:rPr>
            </w:pPr>
            <w:r>
              <w:rPr>
                <w:b/>
              </w:rPr>
              <w:t>138</w:t>
            </w:r>
          </w:p>
        </w:tc>
        <w:tc>
          <w:tcPr>
            <w:tcW w:w="63" w:type="dxa"/>
            <w:tcBorders/>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pPr>
            <w:r>
              <w:rPr/>
              <w:t>  </w:t>
            </w:r>
          </w:p>
        </w:tc>
        <w:tc>
          <w:tcPr>
            <w:tcW w:w="601" w:type="dxa"/>
            <w:tcBorders/>
            <w:vAlign w:val="bottom"/>
          </w:tcPr>
          <w:p>
            <w:pPr>
              <w:pStyle w:val="TableContents"/>
              <w:pBdr>
                <w:top w:val="double" w:sz="6" w:space="1" w:color="000000"/>
              </w:pBdr>
              <w:bidi w:val="0"/>
              <w:spacing w:before="0" w:after="0"/>
              <w:jc w:val="left"/>
              <w:rPr/>
            </w:pPr>
            <w:r>
              <w:rPr/>
              <w:t> </w:t>
            </w:r>
          </w:p>
        </w:tc>
        <w:tc>
          <w:tcPr>
            <w:tcW w:w="16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Information regarding property and equipment, net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69"/>
        <w:gridCol w:w="329"/>
        <w:gridCol w:w="140"/>
        <w:gridCol w:w="462"/>
        <w:gridCol w:w="155"/>
        <w:gridCol w:w="290"/>
        <w:gridCol w:w="140"/>
        <w:gridCol w:w="462"/>
        <w:gridCol w:w="158"/>
      </w:tblGrid>
      <w:tr>
        <w:trPr/>
        <w:tc>
          <w:tcPr>
            <w:tcW w:w="8069"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69"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6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158" w:type="dxa"/>
            <w:tcBorders/>
            <w:vAlign w:val="bottom"/>
          </w:tcPr>
          <w:p>
            <w:pPr>
              <w:pStyle w:val="TableContents"/>
              <w:bidi w:val="0"/>
              <w:spacing w:before="0" w:after="283"/>
              <w:jc w:val="left"/>
              <w:rPr/>
            </w:pPr>
            <w:r>
              <w:rPr/>
              <w:t> </w:t>
            </w:r>
          </w:p>
        </w:tc>
      </w:tr>
      <w:tr>
        <w:trPr/>
        <w:tc>
          <w:tcPr>
            <w:tcW w:w="80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29" w:type="dxa"/>
            <w:tcBorders/>
            <w:vAlign w:val="bottom"/>
          </w:tcPr>
          <w:p>
            <w:pPr>
              <w:pStyle w:val="TableContents"/>
              <w:bidi w:val="0"/>
              <w:spacing w:before="0" w:after="283"/>
              <w:jc w:val="left"/>
              <w:rPr/>
            </w:pPr>
            <w:r>
              <w:rPr/>
              <w:t>  </w:t>
            </w:r>
          </w:p>
        </w:tc>
        <w:tc>
          <w:tcPr>
            <w:tcW w:w="6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8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2"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2" w:type="dxa"/>
            <w:tcBorders/>
            <w:shd w:fill="CCEEFF" w:val="clear"/>
            <w:vAlign w:val="bottom"/>
          </w:tcPr>
          <w:p>
            <w:pPr>
              <w:pStyle w:val="TableContents"/>
              <w:bidi w:val="0"/>
              <w:spacing w:before="0" w:after="283"/>
              <w:jc w:val="right"/>
              <w:rPr/>
            </w:pPr>
            <w:r>
              <w:rPr/>
              <w:t>75</w:t>
            </w:r>
          </w:p>
        </w:tc>
        <w:tc>
          <w:tcPr>
            <w:tcW w:w="158" w:type="dxa"/>
            <w:tcBorders/>
            <w:shd w:fill="CCEEFF" w:val="clear"/>
            <w:vAlign w:val="bottom"/>
          </w:tcPr>
          <w:p>
            <w:pPr>
              <w:pStyle w:val="TableContents"/>
              <w:bidi w:val="0"/>
              <w:spacing w:before="0" w:after="283"/>
              <w:jc w:val="left"/>
              <w:rPr/>
            </w:pPr>
            <w:r>
              <w:rPr/>
              <w:t> </w:t>
            </w:r>
          </w:p>
        </w:tc>
      </w:tr>
      <w:tr>
        <w:trPr/>
        <w:tc>
          <w:tcPr>
            <w:tcW w:w="8069"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182</w:t>
            </w:r>
          </w:p>
        </w:tc>
        <w:tc>
          <w:tcPr>
            <w:tcW w:w="158" w:type="dxa"/>
            <w:tcBorders/>
            <w:vAlign w:val="bottom"/>
          </w:tcPr>
          <w:p>
            <w:pPr>
              <w:pStyle w:val="TableContents"/>
              <w:bidi w:val="0"/>
              <w:spacing w:before="0" w:after="283"/>
              <w:jc w:val="left"/>
              <w:rPr/>
            </w:pPr>
            <w:r>
              <w:rPr/>
              <w:t> </w:t>
            </w:r>
          </w:p>
        </w:tc>
      </w:tr>
      <w:tr>
        <w:trPr/>
        <w:tc>
          <w:tcPr>
            <w:tcW w:w="8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368</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319</w:t>
            </w:r>
          </w:p>
        </w:tc>
        <w:tc>
          <w:tcPr>
            <w:tcW w:w="158" w:type="dxa"/>
            <w:tcBorders/>
            <w:shd w:fill="CCEEFF" w:val="clear"/>
            <w:vAlign w:val="bottom"/>
          </w:tcPr>
          <w:p>
            <w:pPr>
              <w:pStyle w:val="TableContents"/>
              <w:bidi w:val="0"/>
              <w:spacing w:before="0" w:after="283"/>
              <w:jc w:val="left"/>
              <w:rPr/>
            </w:pPr>
            <w:r>
              <w:rPr/>
              <w:t> </w:t>
            </w:r>
          </w:p>
        </w:tc>
      </w:tr>
      <w:tr>
        <w:trPr/>
        <w:tc>
          <w:tcPr>
            <w:tcW w:w="8069" w:type="dxa"/>
            <w:tcBorders/>
          </w:tcPr>
          <w:p>
            <w:pPr>
              <w:pStyle w:val="TableContents"/>
              <w:bidi w:val="0"/>
              <w:spacing w:before="0" w:after="0"/>
              <w:jc w:val="left"/>
              <w:rPr>
                <w:rFonts w:ascii="Times New Roman" w:hAnsi="Times New Roman"/>
                <w:sz w:val="20"/>
              </w:rPr>
            </w:pPr>
            <w:r>
              <w:rPr>
                <w:rFonts w:ascii="Times New Roman" w:hAnsi="Times New Roman"/>
                <w:sz w:val="20"/>
              </w:rPr>
              <w:t>Fixtures, fittings and motor vehicles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53</w:t>
            </w:r>
          </w:p>
        </w:tc>
        <w:tc>
          <w:tcPr>
            <w:tcW w:w="158" w:type="dxa"/>
            <w:tcBorders/>
            <w:vAlign w:val="bottom"/>
          </w:tcPr>
          <w:p>
            <w:pPr>
              <w:pStyle w:val="TableContents"/>
              <w:bidi w:val="0"/>
              <w:spacing w:before="0" w:after="283"/>
              <w:jc w:val="left"/>
              <w:rPr/>
            </w:pPr>
            <w:r>
              <w:rPr/>
              <w:t> </w:t>
            </w:r>
          </w:p>
        </w:tc>
      </w:tr>
      <w:tr>
        <w:trPr/>
        <w:tc>
          <w:tcPr>
            <w:tcW w:w="8069"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property and equipment, gross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658</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629</w:t>
            </w:r>
          </w:p>
        </w:tc>
        <w:tc>
          <w:tcPr>
            <w:tcW w:w="158" w:type="dxa"/>
            <w:tcBorders/>
            <w:shd w:fill="CCEEFF" w:val="clear"/>
            <w:vAlign w:val="bottom"/>
          </w:tcPr>
          <w:p>
            <w:pPr>
              <w:pStyle w:val="TableContents"/>
              <w:bidi w:val="0"/>
              <w:spacing w:before="0" w:after="283"/>
              <w:jc w:val="left"/>
              <w:rPr/>
            </w:pPr>
            <w:r>
              <w:rPr/>
              <w:t> </w:t>
            </w:r>
          </w:p>
        </w:tc>
      </w:tr>
      <w:tr>
        <w:trPr/>
        <w:tc>
          <w:tcPr>
            <w:tcW w:w="8069"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(473</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(441</w:t>
            </w:r>
          </w:p>
        </w:tc>
        <w:tc>
          <w:tcPr>
            <w:tcW w:w="158" w:type="dxa"/>
            <w:tcBorders/>
            <w:vAlign w:val="bottom"/>
          </w:tcPr>
          <w:p>
            <w:pPr>
              <w:pStyle w:val="TableContents"/>
              <w:bidi w:val="0"/>
              <w:spacing w:before="0" w:after="283"/>
              <w:jc w:val="left"/>
              <w:rPr/>
            </w:pPr>
            <w:r>
              <w:rPr/>
              <w:t>) </w:t>
            </w:r>
          </w:p>
        </w:tc>
      </w:tr>
      <w:tr>
        <w:trPr/>
        <w:tc>
          <w:tcPr>
            <w:tcW w:w="8069"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property and equipment, net</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2" w:type="dxa"/>
            <w:tcBorders/>
            <w:shd w:fill="CCEEFF" w:val="clear"/>
            <w:vAlign w:val="bottom"/>
          </w:tcPr>
          <w:p>
            <w:pPr>
              <w:pStyle w:val="TableContents"/>
              <w:bidi w:val="0"/>
              <w:spacing w:before="0" w:after="283"/>
              <w:jc w:val="right"/>
              <w:rPr/>
            </w:pPr>
            <w:r>
              <w:rPr/>
              <w:t>185</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2" w:type="dxa"/>
            <w:tcBorders/>
            <w:shd w:fill="CCEEFF" w:val="clear"/>
            <w:vAlign w:val="bottom"/>
          </w:tcPr>
          <w:p>
            <w:pPr>
              <w:pStyle w:val="TableContents"/>
              <w:bidi w:val="0"/>
              <w:spacing w:before="0" w:after="283"/>
              <w:jc w:val="right"/>
              <w:rPr/>
            </w:pPr>
            <w:r>
              <w:rPr/>
              <w:t>188</w:t>
            </w:r>
          </w:p>
        </w:tc>
        <w:tc>
          <w:tcPr>
            <w:tcW w:w="158" w:type="dxa"/>
            <w:tcBorders/>
            <w:shd w:fill="CCEEFF" w:val="clear"/>
            <w:vAlign w:val="bottom"/>
          </w:tcPr>
          <w:p>
            <w:pPr>
              <w:pStyle w:val="TableContents"/>
              <w:bidi w:val="0"/>
              <w:spacing w:before="0" w:after="283"/>
              <w:jc w:val="left"/>
              <w:rPr/>
            </w:pPr>
            <w:r>
              <w:rPr/>
              <w:t> </w:t>
            </w:r>
          </w:p>
        </w:tc>
      </w:tr>
      <w:tr>
        <w:trPr/>
        <w:tc>
          <w:tcPr>
            <w:tcW w:w="8069"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fiscal years ended March 31, 2023, 2022 and 2021 was $77.2 million, $82.5 million, and $78.8 million, respectively. Impairment of property and equipment for the fiscal years ended March 31, 2023, 2022, and 2021 was zero, $13.6 million and $2.5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and 2022, the Company had ARO liabilities of $10.0 million and $11.5 million related to leasehold improvements, recorded in other current and other non-current liabilities on the Consolidated Balance Sheets. In the fiscal year ended March 31, 2023, ARO liabilities decreased by $1.5 million, which consisted of $1.0 million and $0.7 million related to settlement and revision of certain obligation estimates and foreign currency translation adjustments, respectively, partially offset by accretion $0.2 million. In the fiscal year ended March 31, 2022, ARO liabilities decreased by $1.7 million, which consisted of $1.0 million and $0.9 million related to settlement and revision of certain obligation estimates and foreign currency translation adjustments, respectively, partially offset by accretion $0.2 million.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and 2022, the Company had $5.4 million and $5.9 million, respectively of retirement assets recorded in property and equipment, net on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current liabilities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6"/>
        <w:gridCol w:w="373"/>
        <w:gridCol w:w="183"/>
        <w:gridCol w:w="502"/>
        <w:gridCol w:w="78"/>
        <w:gridCol w:w="401"/>
        <w:gridCol w:w="183"/>
        <w:gridCol w:w="505"/>
        <w:gridCol w:w="64"/>
      </w:tblGrid>
      <w:tr>
        <w:trPr/>
        <w:tc>
          <w:tcPr>
            <w:tcW w:w="5466"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66"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8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4" w:type="dxa"/>
            <w:tcBorders/>
            <w:vAlign w:val="bottom"/>
          </w:tcPr>
          <w:p>
            <w:pPr>
              <w:pStyle w:val="TableContents"/>
              <w:bidi w:val="0"/>
              <w:spacing w:before="0" w:after="283"/>
              <w:jc w:val="left"/>
              <w:rPr/>
            </w:pPr>
            <w:r>
              <w:rPr/>
              <w:t> </w:t>
            </w:r>
          </w:p>
        </w:tc>
      </w:tr>
      <w:tr>
        <w:trPr/>
        <w:tc>
          <w:tcPr>
            <w:tcW w:w="54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73" w:type="dxa"/>
            <w:tcBorders/>
            <w:vAlign w:val="bottom"/>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Vendor accruals</w:t>
            </w:r>
          </w:p>
        </w:tc>
        <w:tc>
          <w:tcPr>
            <w:tcW w:w="37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102</w:t>
            </w:r>
          </w:p>
        </w:tc>
        <w:tc>
          <w:tcPr>
            <w:tcW w:w="78"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98</w:t>
            </w:r>
          </w:p>
        </w:tc>
        <w:tc>
          <w:tcPr>
            <w:tcW w:w="64" w:type="dxa"/>
            <w:tcBorders/>
            <w:shd w:fill="CCEEFF" w:val="clear"/>
            <w:vAlign w:val="bottom"/>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7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65</w:t>
            </w:r>
          </w:p>
        </w:tc>
        <w:tc>
          <w:tcPr>
            <w:tcW w:w="7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related parties</w:t>
            </w:r>
          </w:p>
        </w:tc>
        <w:tc>
          <w:tcPr>
            <w:tcW w:w="37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right"/>
              <w:rPr/>
            </w:pPr>
            <w:r>
              <w:rPr/>
              <w:t>17</w:t>
            </w:r>
          </w:p>
        </w:tc>
        <w:tc>
          <w:tcPr>
            <w:tcW w:w="78"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28</w:t>
            </w:r>
          </w:p>
        </w:tc>
        <w:tc>
          <w:tcPr>
            <w:tcW w:w="64" w:type="dxa"/>
            <w:tcBorders/>
            <w:shd w:fill="CCEEFF" w:val="clear"/>
            <w:vAlign w:val="bottom"/>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liabilities</w:t>
            </w:r>
          </w:p>
        </w:tc>
        <w:tc>
          <w:tcPr>
            <w:tcW w:w="37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7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right"/>
              <w:rPr/>
            </w:pPr>
            <w:r>
              <w:rPr/>
              <w:t>109</w:t>
            </w:r>
          </w:p>
        </w:tc>
        <w:tc>
          <w:tcPr>
            <w:tcW w:w="78"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50</w:t>
            </w:r>
          </w:p>
        </w:tc>
        <w:tc>
          <w:tcPr>
            <w:tcW w:w="64" w:type="dxa"/>
            <w:tcBorders/>
            <w:shd w:fill="CCEEFF" w:val="clear"/>
            <w:vAlign w:val="bottom"/>
          </w:tcPr>
          <w:p>
            <w:pPr>
              <w:pStyle w:val="TableContents"/>
              <w:bidi w:val="0"/>
              <w:spacing w:before="0" w:after="283"/>
              <w:jc w:val="left"/>
              <w:rPr/>
            </w:pPr>
            <w:r>
              <w:rPr/>
              <w:t> </w:t>
            </w:r>
          </w:p>
        </w:tc>
      </w:tr>
      <w:tr>
        <w:trPr/>
        <w:tc>
          <w:tcPr>
            <w:tcW w:w="5466"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50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current liabilities</w:t>
            </w:r>
          </w:p>
        </w:tc>
        <w:tc>
          <w:tcPr>
            <w:tcW w:w="37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293</w:t>
            </w:r>
          </w:p>
        </w:tc>
        <w:tc>
          <w:tcPr>
            <w:tcW w:w="7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259</w:t>
            </w:r>
          </w:p>
        </w:tc>
        <w:tc>
          <w:tcPr>
            <w:tcW w:w="64" w:type="dxa"/>
            <w:tcBorders/>
            <w:vAlign w:val="bottom"/>
          </w:tcPr>
          <w:p>
            <w:pPr>
              <w:pStyle w:val="TableContents"/>
              <w:bidi w:val="0"/>
              <w:spacing w:before="0" w:after="283"/>
              <w:jc w:val="left"/>
              <w:rPr/>
            </w:pPr>
            <w:r>
              <w:rPr/>
              <w:t> </w:t>
            </w:r>
          </w:p>
        </w:tc>
      </w:tr>
      <w:tr>
        <w:trPr/>
        <w:tc>
          <w:tcPr>
            <w:tcW w:w="5466"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50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lease obligations primarily consist of operating leases for property, IT and automobiles with lease terms expiring between calendar years 2023 and 2044. The Companys lease agreements do not contain residual value guarantees, material variable payment provisions or material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have material finance or short-term leases and did not incur any material variable lease expenses for all periods presented. For the fiscal years ended March 31, 2023, 2022 and 2021, operating lease expense was $34.3 million, $40.0 million, and $40.7 million, respectively. For the year ended March 31, 2023, the Company recognized a loss on early termination of certain operating leases of $4.4 million. No material gains or losses were recognized on lease terminations in other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Supplemental disclosures of cash flow information related to operating leases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394"/>
        <w:gridCol w:w="401"/>
        <w:gridCol w:w="147"/>
        <w:gridCol w:w="354"/>
        <w:gridCol w:w="155"/>
        <w:gridCol w:w="401"/>
        <w:gridCol w:w="147"/>
        <w:gridCol w:w="354"/>
        <w:gridCol w:w="155"/>
        <w:gridCol w:w="401"/>
        <w:gridCol w:w="147"/>
        <w:gridCol w:w="354"/>
        <w:gridCol w:w="162"/>
      </w:tblGrid>
      <w:tr>
        <w:trPr/>
        <w:tc>
          <w:tcPr>
            <w:tcW w:w="5394"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94"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61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162" w:type="dxa"/>
            <w:tcBorders/>
            <w:vAlign w:val="bottom"/>
          </w:tcPr>
          <w:p>
            <w:pPr>
              <w:pStyle w:val="TableContents"/>
              <w:bidi w:val="0"/>
              <w:spacing w:before="0" w:after="283"/>
              <w:jc w:val="left"/>
              <w:rPr/>
            </w:pPr>
            <w:r>
              <w:rPr/>
              <w:t> </w:t>
            </w:r>
          </w:p>
        </w:tc>
      </w:tr>
      <w:tr>
        <w:trPr/>
        <w:tc>
          <w:tcPr>
            <w:tcW w:w="53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0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used for operating leases</w:t>
            </w:r>
          </w:p>
        </w:tc>
        <w:tc>
          <w:tcPr>
            <w:tcW w:w="4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4"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4"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4" w:type="dxa"/>
            <w:tcBorders/>
            <w:shd w:fill="CCEEFF" w:val="clear"/>
            <w:vAlign w:val="bottom"/>
          </w:tcPr>
          <w:p>
            <w:pPr>
              <w:pStyle w:val="TableContents"/>
              <w:bidi w:val="0"/>
              <w:spacing w:before="0" w:after="283"/>
              <w:jc w:val="right"/>
              <w:rPr/>
            </w:pPr>
            <w:r>
              <w:rPr/>
              <w:t>(35</w:t>
            </w:r>
          </w:p>
        </w:tc>
        <w:tc>
          <w:tcPr>
            <w:tcW w:w="162"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obtained in exchange for lease obligations</w:t>
            </w:r>
          </w:p>
        </w:tc>
        <w:tc>
          <w:tcPr>
            <w:tcW w:w="40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354"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354"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354" w:type="dxa"/>
            <w:tcBorders/>
            <w:vAlign w:val="bottom"/>
          </w:tcPr>
          <w:p>
            <w:pPr>
              <w:pStyle w:val="TableContents"/>
              <w:bidi w:val="0"/>
              <w:spacing w:before="0" w:after="283"/>
              <w:jc w:val="right"/>
              <w:rPr/>
            </w:pPr>
            <w:r>
              <w:rPr/>
              <w:t>54</w:t>
            </w:r>
          </w:p>
        </w:tc>
        <w:tc>
          <w:tcPr>
            <w:tcW w:w="1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weighted average remaining lease term and discount rate for operating leases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34"/>
        <w:gridCol w:w="323"/>
        <w:gridCol w:w="60"/>
        <w:gridCol w:w="620"/>
        <w:gridCol w:w="277"/>
        <w:gridCol w:w="218"/>
        <w:gridCol w:w="60"/>
        <w:gridCol w:w="620"/>
        <w:gridCol w:w="277"/>
        <w:gridCol w:w="218"/>
        <w:gridCol w:w="59"/>
        <w:gridCol w:w="620"/>
        <w:gridCol w:w="286"/>
      </w:tblGrid>
      <w:tr>
        <w:trPr/>
        <w:tc>
          <w:tcPr>
            <w:tcW w:w="4934"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93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0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286" w:type="dxa"/>
            <w:tcBorders/>
            <w:vAlign w:val="bottom"/>
          </w:tcPr>
          <w:p>
            <w:pPr>
              <w:pStyle w:val="TableContents"/>
              <w:bidi w:val="0"/>
              <w:spacing w:before="0" w:after="283"/>
              <w:jc w:val="left"/>
              <w:rPr/>
            </w:pPr>
            <w:r>
              <w:rPr/>
              <w:t> </w:t>
            </w:r>
          </w:p>
        </w:tc>
      </w:tr>
      <w:tr>
        <w:trPr/>
        <w:tc>
          <w:tcPr>
            <w:tcW w:w="493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86" w:type="dxa"/>
            <w:tcBorders/>
            <w:vAlign w:val="bottom"/>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2.58</w:t>
            </w:r>
          </w:p>
        </w:tc>
        <w:tc>
          <w:tcPr>
            <w:tcW w:w="27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2.42</w:t>
            </w:r>
          </w:p>
        </w:tc>
        <w:tc>
          <w:tcPr>
            <w:tcW w:w="27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2.43</w:t>
            </w:r>
          </w:p>
        </w:tc>
        <w:tc>
          <w:tcPr>
            <w:tcW w:w="286" w:type="dxa"/>
            <w:tcBorders/>
            <w:shd w:fill="CCEEFF" w:val="clear"/>
            <w:vAlign w:val="bottom"/>
          </w:tcPr>
          <w:p>
            <w:pPr>
              <w:pStyle w:val="TableContents"/>
              <w:bidi w:val="0"/>
              <w:spacing w:before="0" w:after="283"/>
              <w:jc w:val="left"/>
              <w:rPr/>
            </w:pPr>
            <w:r>
              <w:rPr/>
              <w:t>% </w:t>
            </w:r>
          </w:p>
        </w:tc>
      </w:tr>
      <w:tr>
        <w:trPr/>
        <w:tc>
          <w:tcPr>
            <w:tcW w:w="4934"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(in years)</w:t>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15.21</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15.20</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14.57</w:t>
            </w:r>
          </w:p>
        </w:tc>
        <w:tc>
          <w:tcPr>
            <w:tcW w:w="28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Maturity of operating lease liabilities as of March 31, 2023 is as follows (in millions):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41"/>
        <w:gridCol w:w="478"/>
        <w:gridCol w:w="150"/>
        <w:gridCol w:w="412"/>
        <w:gridCol w:w="158"/>
      </w:tblGrid>
      <w:tr>
        <w:trPr/>
        <w:tc>
          <w:tcPr>
            <w:tcW w:w="5741"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78" w:type="dxa"/>
            <w:tcBorders/>
            <w:vAlign w:val="bottom"/>
          </w:tcPr>
          <w:p>
            <w:pPr>
              <w:pStyle w:val="TableContents"/>
              <w:bidi w:val="0"/>
              <w:spacing w:before="0" w:after="283"/>
              <w:jc w:val="left"/>
              <w:rPr/>
            </w:pPr>
            <w:r>
              <w:rPr/>
              <w:t>  </w:t>
            </w:r>
          </w:p>
        </w:tc>
        <w:tc>
          <w:tcPr>
            <w:tcW w:w="5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8"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7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12" w:type="dxa"/>
            <w:tcBorders/>
            <w:shd w:fill="CCEEFF" w:val="clear"/>
            <w:vAlign w:val="bottom"/>
          </w:tcPr>
          <w:p>
            <w:pPr>
              <w:pStyle w:val="TableContents"/>
              <w:bidi w:val="0"/>
              <w:spacing w:before="0" w:after="283"/>
              <w:jc w:val="right"/>
              <w:rPr/>
            </w:pPr>
            <w:r>
              <w:rPr/>
              <w:t>31</w:t>
            </w:r>
          </w:p>
        </w:tc>
        <w:tc>
          <w:tcPr>
            <w:tcW w:w="158" w:type="dxa"/>
            <w:tcBorders/>
            <w:shd w:fill="CCEEFF" w:val="clear"/>
            <w:vAlign w:val="bottom"/>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23</w:t>
            </w:r>
          </w:p>
        </w:tc>
        <w:tc>
          <w:tcPr>
            <w:tcW w:w="158" w:type="dxa"/>
            <w:tcBorders/>
            <w:shd w:fill="CCEEFF" w:val="clear"/>
            <w:vAlign w:val="bottom"/>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17</w:t>
            </w:r>
          </w:p>
        </w:tc>
        <w:tc>
          <w:tcPr>
            <w:tcW w:w="158"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163</w:t>
            </w:r>
          </w:p>
        </w:tc>
        <w:tc>
          <w:tcPr>
            <w:tcW w:w="158" w:type="dxa"/>
            <w:tcBorders/>
            <w:shd w:fill="CCEEFF" w:val="clear"/>
            <w:vAlign w:val="bottom"/>
          </w:tcPr>
          <w:p>
            <w:pPr>
              <w:pStyle w:val="TableContents"/>
              <w:bidi w:val="0"/>
              <w:spacing w:before="0" w:after="283"/>
              <w:jc w:val="left"/>
              <w:rPr/>
            </w:pPr>
            <w:r>
              <w:rPr/>
              <w:t> </w:t>
            </w:r>
          </w:p>
        </w:tc>
      </w:tr>
      <w:tr>
        <w:trPr/>
        <w:tc>
          <w:tcPr>
            <w:tcW w:w="5741"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minimum lease payments</w:t>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260</w:t>
            </w:r>
          </w:p>
        </w:tc>
        <w:tc>
          <w:tcPr>
            <w:tcW w:w="158"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7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(41</w:t>
            </w:r>
          </w:p>
        </w:tc>
        <w:tc>
          <w:tcPr>
            <w:tcW w:w="158" w:type="dxa"/>
            <w:tcBorders/>
            <w:shd w:fill="CCEEFF" w:val="clear"/>
            <w:vAlign w:val="bottom"/>
          </w:tcPr>
          <w:p>
            <w:pPr>
              <w:pStyle w:val="TableContents"/>
              <w:bidi w:val="0"/>
              <w:spacing w:before="0" w:after="283"/>
              <w:jc w:val="left"/>
              <w:rPr/>
            </w:pPr>
            <w:r>
              <w:rPr/>
              <w:t>) </w:t>
            </w:r>
          </w:p>
        </w:tc>
      </w:tr>
      <w:tr>
        <w:trPr/>
        <w:tc>
          <w:tcPr>
            <w:tcW w:w="5741"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lease liabilities</w:t>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219</w:t>
            </w:r>
          </w:p>
        </w:tc>
        <w:tc>
          <w:tcPr>
            <w:tcW w:w="158"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current portion of operating lease liabilities</w:t>
            </w:r>
          </w:p>
        </w:tc>
        <w:tc>
          <w:tcPr>
            <w:tcW w:w="47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26</w:t>
            </w:r>
          </w:p>
        </w:tc>
        <w:tc>
          <w:tcPr>
            <w:tcW w:w="158" w:type="dxa"/>
            <w:tcBorders/>
            <w:shd w:fill="CCEEFF" w:val="clear"/>
            <w:vAlign w:val="bottom"/>
          </w:tcPr>
          <w:p>
            <w:pPr>
              <w:pStyle w:val="TableContents"/>
              <w:bidi w:val="0"/>
              <w:spacing w:before="0" w:after="283"/>
              <w:jc w:val="left"/>
              <w:rPr/>
            </w:pPr>
            <w:r>
              <w:rPr/>
              <w:t> </w:t>
            </w:r>
          </w:p>
        </w:tc>
      </w:tr>
      <w:tr>
        <w:trPr/>
        <w:tc>
          <w:tcPr>
            <w:tcW w:w="5741"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portion of operating lease liabilities</w:t>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12" w:type="dxa"/>
            <w:tcBorders/>
            <w:vAlign w:val="bottom"/>
          </w:tcPr>
          <w:p>
            <w:pPr>
              <w:pStyle w:val="TableContents"/>
              <w:bidi w:val="0"/>
              <w:spacing w:before="0" w:after="283"/>
              <w:jc w:val="right"/>
              <w:rPr/>
            </w:pPr>
            <w:r>
              <w:rPr/>
              <w:t>193</w:t>
            </w:r>
          </w:p>
        </w:tc>
        <w:tc>
          <w:tcPr>
            <w:tcW w:w="158" w:type="dxa"/>
            <w:tcBorders/>
            <w:vAlign w:val="bottom"/>
          </w:tcPr>
          <w:p>
            <w:pPr>
              <w:pStyle w:val="TableContents"/>
              <w:bidi w:val="0"/>
              <w:spacing w:before="0" w:after="283"/>
              <w:jc w:val="left"/>
              <w:rPr/>
            </w:pPr>
            <w:r>
              <w:rPr/>
              <w:t> </w:t>
            </w:r>
          </w:p>
        </w:tc>
      </w:tr>
      <w:tr>
        <w:trPr/>
        <w:tc>
          <w:tcPr>
            <w:tcW w:w="5741"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had no material leases due to commence subsequent to March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summary of the components of equity investments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7"/>
        <w:gridCol w:w="365"/>
        <w:gridCol w:w="183"/>
        <w:gridCol w:w="500"/>
        <w:gridCol w:w="78"/>
        <w:gridCol w:w="393"/>
        <w:gridCol w:w="183"/>
        <w:gridCol w:w="502"/>
        <w:gridCol w:w="64"/>
      </w:tblGrid>
      <w:tr>
        <w:trPr/>
        <w:tc>
          <w:tcPr>
            <w:tcW w:w="5487"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87"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4" w:type="dxa"/>
            <w:tcBorders/>
            <w:vAlign w:val="bottom"/>
          </w:tcPr>
          <w:p>
            <w:pPr>
              <w:pStyle w:val="TableContents"/>
              <w:bidi w:val="0"/>
              <w:spacing w:before="0" w:after="283"/>
              <w:jc w:val="left"/>
              <w:rPr/>
            </w:pPr>
            <w:r>
              <w:rPr/>
              <w:t> </w:t>
            </w:r>
          </w:p>
        </w:tc>
      </w:tr>
      <w:tr>
        <w:trPr/>
        <w:tc>
          <w:tcPr>
            <w:tcW w:w="54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65" w:type="dxa"/>
            <w:tcBorders/>
            <w:vAlign w:val="bottom"/>
          </w:tcPr>
          <w:p>
            <w:pPr>
              <w:pStyle w:val="TableContents"/>
              <w:bidi w:val="0"/>
              <w:spacing w:before="0" w:after="283"/>
              <w:jc w:val="left"/>
              <w:rPr/>
            </w:pPr>
            <w:r>
              <w:rPr/>
              <w:t>  </w:t>
            </w:r>
          </w:p>
        </w:tc>
        <w:tc>
          <w:tcPr>
            <w:tcW w:w="6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8"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method investments under fair value option</w:t>
            </w:r>
          </w:p>
        </w:tc>
        <w:tc>
          <w:tcPr>
            <w:tcW w:w="36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t>592</w:t>
            </w:r>
          </w:p>
        </w:tc>
        <w:tc>
          <w:tcPr>
            <w:tcW w:w="78"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631</w:t>
            </w:r>
          </w:p>
        </w:tc>
        <w:tc>
          <w:tcPr>
            <w:tcW w:w="64" w:type="dxa"/>
            <w:tcBorders/>
            <w:shd w:fill="CCEEFF" w:val="clear"/>
            <w:vAlign w:val="bottom"/>
          </w:tcPr>
          <w:p>
            <w:pPr>
              <w:pStyle w:val="TableContents"/>
              <w:bidi w:val="0"/>
              <w:spacing w:before="0" w:after="283"/>
              <w:jc w:val="left"/>
              <w:rPr/>
            </w:pPr>
            <w:r>
              <w:rPr/>
              <w:t> </w:t>
            </w:r>
          </w:p>
        </w:tc>
      </w:tr>
      <w:tr>
        <w:trPr/>
        <w:tc>
          <w:tcPr>
            <w:tcW w:w="5487" w:type="dxa"/>
            <w:tcBorders/>
          </w:tcPr>
          <w:p>
            <w:pPr>
              <w:pStyle w:val="TableContents"/>
              <w:bidi w:val="0"/>
              <w:spacing w:before="0" w:after="0"/>
              <w:jc w:val="left"/>
              <w:rPr>
                <w:rFonts w:ascii="Times New Roman" w:hAnsi="Times New Roman"/>
                <w:sz w:val="20"/>
              </w:rPr>
            </w:pPr>
            <w:r>
              <w:rPr>
                <w:rFonts w:ascii="Times New Roman" w:hAnsi="Times New Roman"/>
                <w:sz w:val="20"/>
              </w:rPr>
              <w:t>Equity method investments under equity method</w:t>
            </w:r>
          </w:p>
        </w:tc>
        <w:tc>
          <w:tcPr>
            <w:tcW w:w="36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9</w:t>
            </w:r>
          </w:p>
        </w:tc>
        <w:tc>
          <w:tcPr>
            <w:tcW w:w="78"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5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Non-marketable equity securities</w:t>
            </w:r>
          </w:p>
        </w:tc>
        <w:tc>
          <w:tcPr>
            <w:tcW w:w="36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122</w:t>
            </w:r>
          </w:p>
        </w:tc>
        <w:tc>
          <w:tcPr>
            <w:tcW w:w="78"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right"/>
              <w:rPr/>
            </w:pPr>
            <w:r>
              <w:rPr/>
              <w:t>97</w:t>
            </w:r>
          </w:p>
        </w:tc>
        <w:tc>
          <w:tcPr>
            <w:tcW w:w="64" w:type="dxa"/>
            <w:tcBorders/>
            <w:shd w:fill="CCEEFF" w:val="clear"/>
            <w:vAlign w:val="bottom"/>
          </w:tcPr>
          <w:p>
            <w:pPr>
              <w:pStyle w:val="TableContents"/>
              <w:bidi w:val="0"/>
              <w:spacing w:before="0" w:after="283"/>
              <w:jc w:val="left"/>
              <w:rPr/>
            </w:pPr>
            <w:r>
              <w:rPr/>
              <w:t> </w:t>
            </w:r>
          </w:p>
        </w:tc>
      </w:tr>
      <w:tr>
        <w:trPr/>
        <w:tc>
          <w:tcPr>
            <w:tcW w:w="5487"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8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 investments</w:t>
            </w:r>
          </w:p>
        </w:tc>
        <w:tc>
          <w:tcPr>
            <w:tcW w:w="36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t>723</w:t>
            </w:r>
          </w:p>
        </w:tc>
        <w:tc>
          <w:tcPr>
            <w:tcW w:w="78"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736</w:t>
            </w:r>
          </w:p>
        </w:tc>
        <w:tc>
          <w:tcPr>
            <w:tcW w:w="64" w:type="dxa"/>
            <w:tcBorders/>
            <w:vAlign w:val="bottom"/>
          </w:tcPr>
          <w:p>
            <w:pPr>
              <w:pStyle w:val="TableContents"/>
              <w:bidi w:val="0"/>
              <w:spacing w:before="0" w:after="283"/>
              <w:jc w:val="left"/>
              <w:rPr/>
            </w:pPr>
            <w:r>
              <w:rPr/>
              <w:t> </w:t>
            </w:r>
          </w:p>
        </w:tc>
      </w:tr>
      <w:tr>
        <w:trPr/>
        <w:tc>
          <w:tcPr>
            <w:tcW w:w="5487"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500"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(loss) from equity investments, net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45"/>
        <w:gridCol w:w="245"/>
        <w:gridCol w:w="224"/>
        <w:gridCol w:w="519"/>
        <w:gridCol w:w="291"/>
        <w:gridCol w:w="296"/>
        <w:gridCol w:w="224"/>
        <w:gridCol w:w="576"/>
        <w:gridCol w:w="220"/>
        <w:gridCol w:w="343"/>
        <w:gridCol w:w="224"/>
        <w:gridCol w:w="580"/>
        <w:gridCol w:w="285"/>
      </w:tblGrid>
      <w:tr>
        <w:trPr/>
        <w:tc>
          <w:tcPr>
            <w:tcW w:w="454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454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285" w:type="dxa"/>
            <w:tcBorders/>
            <w:vAlign w:val="bottom"/>
          </w:tcPr>
          <w:p>
            <w:pPr>
              <w:pStyle w:val="TableContents"/>
              <w:bidi w:val="0"/>
              <w:spacing w:before="0" w:after="283"/>
              <w:jc w:val="left"/>
              <w:rPr/>
            </w:pPr>
            <w:r>
              <w:rPr/>
              <w:t> </w:t>
            </w:r>
          </w:p>
        </w:tc>
      </w:tr>
      <w:tr>
        <w:trPr/>
        <w:tc>
          <w:tcPr>
            <w:tcW w:w="45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45" w:type="dxa"/>
            <w:tcBorders/>
            <w:vAlign w:val="bottom"/>
          </w:tcPr>
          <w:p>
            <w:pPr>
              <w:pStyle w:val="TableContents"/>
              <w:bidi w:val="0"/>
              <w:spacing w:before="0" w:after="283"/>
              <w:jc w:val="left"/>
              <w:rPr/>
            </w:pPr>
            <w:r>
              <w:rPr/>
              <w:t>  </w:t>
            </w:r>
          </w:p>
        </w:tc>
        <w:tc>
          <w:tcPr>
            <w:tcW w:w="7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9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85" w:type="dxa"/>
            <w:tcBorders/>
            <w:vAlign w:val="bottom"/>
          </w:tcPr>
          <w:p>
            <w:pPr>
              <w:pStyle w:val="TableContents"/>
              <w:bidi w:val="0"/>
              <w:spacing w:before="0" w:after="283"/>
              <w:jc w:val="left"/>
              <w:rPr/>
            </w:pPr>
            <w:r>
              <w:rPr/>
              <w:t> </w:t>
            </w:r>
          </w:p>
        </w:tc>
      </w:tr>
      <w:tr>
        <w:trPr/>
        <w:tc>
          <w:tcPr>
            <w:tcW w:w="4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method investments (1)</w:t>
            </w:r>
          </w:p>
        </w:tc>
        <w:tc>
          <w:tcPr>
            <w:tcW w:w="24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519" w:type="dxa"/>
            <w:tcBorders/>
            <w:shd w:fill="CCEEFF" w:val="clear"/>
            <w:vAlign w:val="bottom"/>
          </w:tcPr>
          <w:p>
            <w:pPr>
              <w:pStyle w:val="TableContents"/>
              <w:bidi w:val="0"/>
              <w:spacing w:before="0" w:after="283"/>
              <w:jc w:val="right"/>
              <w:rPr/>
            </w:pPr>
            <w:r>
              <w:rPr/>
              <w:t>(41</w:t>
            </w:r>
          </w:p>
        </w:tc>
        <w:tc>
          <w:tcPr>
            <w:tcW w:w="291"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112</w:t>
            </w:r>
          </w:p>
        </w:tc>
        <w:tc>
          <w:tcPr>
            <w:tcW w:w="2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482</w:t>
            </w:r>
          </w:p>
        </w:tc>
        <w:tc>
          <w:tcPr>
            <w:tcW w:w="285" w:type="dxa"/>
            <w:tcBorders/>
            <w:shd w:fill="CCEEFF" w:val="clear"/>
            <w:vAlign w:val="bottom"/>
          </w:tcPr>
          <w:p>
            <w:pPr>
              <w:pStyle w:val="TableContents"/>
              <w:bidi w:val="0"/>
              <w:spacing w:before="0" w:after="283"/>
              <w:jc w:val="left"/>
              <w:rPr/>
            </w:pPr>
            <w:r>
              <w:rPr/>
              <w:t> </w:t>
            </w:r>
          </w:p>
        </w:tc>
      </w:tr>
      <w:tr>
        <w:trPr/>
        <w:tc>
          <w:tcPr>
            <w:tcW w:w="4545" w:type="dxa"/>
            <w:tcBorders/>
          </w:tcPr>
          <w:p>
            <w:pPr>
              <w:pStyle w:val="TableContents"/>
              <w:bidi w:val="0"/>
              <w:spacing w:before="0" w:after="0"/>
              <w:jc w:val="left"/>
              <w:rPr>
                <w:rFonts w:ascii="Times New Roman" w:hAnsi="Times New Roman"/>
                <w:sz w:val="20"/>
              </w:rPr>
            </w:pPr>
            <w:r>
              <w:rPr>
                <w:rFonts w:ascii="Times New Roman" w:hAnsi="Times New Roman"/>
                <w:sz w:val="20"/>
              </w:rPr>
              <w:t>Non-marketable equity securities (includes NAV)</w:t>
            </w:r>
          </w:p>
        </w:tc>
        <w:tc>
          <w:tcPr>
            <w:tcW w:w="24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(4</w:t>
            </w:r>
          </w:p>
        </w:tc>
        <w:tc>
          <w:tcPr>
            <w:tcW w:w="29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29</w:t>
            </w:r>
          </w:p>
        </w:tc>
        <w:tc>
          <w:tcPr>
            <w:tcW w:w="2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(6</w:t>
            </w:r>
          </w:p>
        </w:tc>
        <w:tc>
          <w:tcPr>
            <w:tcW w:w="285" w:type="dxa"/>
            <w:tcBorders/>
            <w:vAlign w:val="bottom"/>
          </w:tcPr>
          <w:p>
            <w:pPr>
              <w:pStyle w:val="TableContents"/>
              <w:bidi w:val="0"/>
              <w:spacing w:before="0" w:after="283"/>
              <w:jc w:val="left"/>
              <w:rPr/>
            </w:pPr>
            <w:r>
              <w:rPr/>
              <w:t>) </w:t>
            </w:r>
          </w:p>
        </w:tc>
      </w:tr>
      <w:tr>
        <w:trPr/>
        <w:tc>
          <w:tcPr>
            <w:tcW w:w="454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45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income (loss) from equity investments, net</w:t>
            </w:r>
          </w:p>
        </w:tc>
        <w:tc>
          <w:tcPr>
            <w:tcW w:w="24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519" w:type="dxa"/>
            <w:tcBorders/>
            <w:shd w:fill="CCEEFF" w:val="clear"/>
            <w:vAlign w:val="bottom"/>
          </w:tcPr>
          <w:p>
            <w:pPr>
              <w:pStyle w:val="TableContents"/>
              <w:bidi w:val="0"/>
              <w:spacing w:before="0" w:after="283"/>
              <w:jc w:val="right"/>
              <w:rPr/>
            </w:pPr>
            <w:r>
              <w:rPr/>
              <w:t>(45</w:t>
            </w:r>
          </w:p>
        </w:tc>
        <w:tc>
          <w:tcPr>
            <w:tcW w:w="291"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141</w:t>
            </w:r>
          </w:p>
        </w:tc>
        <w:tc>
          <w:tcPr>
            <w:tcW w:w="2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476</w:t>
            </w:r>
          </w:p>
        </w:tc>
        <w:tc>
          <w:tcPr>
            <w:tcW w:w="285" w:type="dxa"/>
            <w:tcBorders/>
            <w:shd w:fill="CCEEFF" w:val="clear"/>
            <w:vAlign w:val="bottom"/>
          </w:tcPr>
          <w:p>
            <w:pPr>
              <w:pStyle w:val="TableContents"/>
              <w:bidi w:val="0"/>
              <w:spacing w:before="0" w:after="283"/>
              <w:jc w:val="left"/>
              <w:rPr/>
            </w:pPr>
            <w:r>
              <w:rPr/>
              <w:t> </w:t>
            </w:r>
          </w:p>
        </w:tc>
      </w:tr>
      <w:tr>
        <w:trPr/>
        <w:tc>
          <w:tcPr>
            <w:tcW w:w="454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equity method investments where the Company elected the fair value option, including those under the NAV practical expedient, along with investments accounted for under the equity method.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Details of the Companys equity method investments as of March 31, 2023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81"/>
        <w:gridCol w:w="392"/>
        <w:gridCol w:w="274"/>
        <w:gridCol w:w="2014"/>
        <w:gridCol w:w="278"/>
      </w:tblGrid>
      <w:tr>
        <w:trPr/>
        <w:tc>
          <w:tcPr>
            <w:tcW w:w="398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98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Investments under equity method of accounting</w:t>
            </w:r>
          </w:p>
        </w:tc>
        <w:tc>
          <w:tcPr>
            <w:tcW w:w="392" w:type="dxa"/>
            <w:tcBorders/>
            <w:vAlign w:val="bottom"/>
          </w:tcPr>
          <w:p>
            <w:pPr>
              <w:pStyle w:val="TableContents"/>
              <w:bidi w:val="0"/>
              <w:spacing w:before="0" w:after="283"/>
              <w:jc w:val="left"/>
              <w:rPr/>
            </w:pPr>
            <w:r>
              <w:rPr/>
              <w:t>  </w:t>
            </w:r>
          </w:p>
        </w:tc>
        <w:tc>
          <w:tcPr>
            <w:tcW w:w="2288" w:type="dxa"/>
            <w:gridSpan w:val="2"/>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r>
      <w:tr>
        <w:trPr/>
        <w:tc>
          <w:tcPr>
            <w:tcW w:w="39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92" w:type="dxa"/>
            <w:tcBorders/>
            <w:vAlign w:val="bottom"/>
          </w:tcPr>
          <w:p>
            <w:pPr>
              <w:pStyle w:val="TableContents"/>
              <w:bidi w:val="0"/>
              <w:spacing w:before="0" w:after="283"/>
              <w:jc w:val="left"/>
              <w:rPr/>
            </w:pPr>
            <w:r>
              <w:rPr/>
              <w:t>  </w:t>
            </w:r>
          </w:p>
        </w:tc>
        <w:tc>
          <w:tcPr>
            <w:tcW w:w="22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Ownership Interest %</w:t>
            </w:r>
          </w:p>
        </w:tc>
        <w:tc>
          <w:tcPr>
            <w:tcW w:w="278" w:type="dxa"/>
            <w:tcBorders/>
            <w:vAlign w:val="bottom"/>
          </w:tcPr>
          <w:p>
            <w:pPr>
              <w:pStyle w:val="TableContents"/>
              <w:bidi w:val="0"/>
              <w:spacing w:before="0" w:after="283"/>
              <w:jc w:val="left"/>
              <w:rPr/>
            </w:pPr>
            <w:r>
              <w:rPr/>
              <w:t> </w:t>
            </w:r>
          </w:p>
        </w:tc>
      </w:tr>
      <w:tr>
        <w:trPr/>
        <w:tc>
          <w:tcPr>
            <w:tcW w:w="3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Arm IOT Fund LP (Taiwan)</w:t>
            </w:r>
          </w:p>
        </w:tc>
        <w:tc>
          <w:tcPr>
            <w:tcW w:w="39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14" w:type="dxa"/>
            <w:tcBorders/>
            <w:shd w:fill="CCEEFF" w:val="clear"/>
            <w:vAlign w:val="bottom"/>
          </w:tcPr>
          <w:p>
            <w:pPr>
              <w:pStyle w:val="TableContents"/>
              <w:bidi w:val="0"/>
              <w:spacing w:before="0" w:after="283"/>
              <w:jc w:val="right"/>
              <w:rPr/>
            </w:pPr>
            <w:r>
              <w:rPr/>
              <w:t>25.8</w:t>
            </w:r>
          </w:p>
        </w:tc>
        <w:tc>
          <w:tcPr>
            <w:tcW w:w="278" w:type="dxa"/>
            <w:tcBorders/>
            <w:shd w:fill="CCEEFF" w:val="clear"/>
            <w:vAlign w:val="bottom"/>
          </w:tcPr>
          <w:p>
            <w:pPr>
              <w:pStyle w:val="TableContents"/>
              <w:bidi w:val="0"/>
              <w:spacing w:before="0" w:after="283"/>
              <w:jc w:val="left"/>
              <w:rPr/>
            </w:pPr>
            <w:r>
              <w:rPr/>
              <w:t>% </w:t>
            </w:r>
          </w:p>
        </w:tc>
      </w:tr>
      <w:tr>
        <w:trPr/>
        <w:tc>
          <w:tcPr>
            <w:tcW w:w="3981" w:type="dxa"/>
            <w:tcBorders/>
          </w:tcPr>
          <w:p>
            <w:pPr>
              <w:pStyle w:val="TableContents"/>
              <w:bidi w:val="0"/>
              <w:spacing w:before="0" w:after="0"/>
              <w:jc w:val="left"/>
              <w:rPr>
                <w:rFonts w:ascii="Times New Roman" w:hAnsi="Times New Roman"/>
                <w:sz w:val="20"/>
              </w:rPr>
            </w:pPr>
            <w:r>
              <w:rPr>
                <w:rFonts w:ascii="Times New Roman" w:hAnsi="Times New Roman"/>
                <w:sz w:val="20"/>
              </w:rPr>
              <w:t>Accelerator Advisory Limited</w:t>
            </w:r>
          </w:p>
        </w:tc>
        <w:tc>
          <w:tcPr>
            <w:tcW w:w="3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14" w:type="dxa"/>
            <w:tcBorders/>
            <w:vAlign w:val="bottom"/>
          </w:tcPr>
          <w:p>
            <w:pPr>
              <w:pStyle w:val="TableContents"/>
              <w:bidi w:val="0"/>
              <w:spacing w:before="0" w:after="283"/>
              <w:jc w:val="right"/>
              <w:rPr/>
            </w:pPr>
            <w:r>
              <w:rPr/>
              <w:t>27.9</w:t>
            </w:r>
          </w:p>
        </w:tc>
        <w:tc>
          <w:tcPr>
            <w:tcW w:w="278" w:type="dxa"/>
            <w:tcBorders/>
            <w:vAlign w:val="bottom"/>
          </w:tcPr>
          <w:p>
            <w:pPr>
              <w:pStyle w:val="TableContents"/>
              <w:bidi w:val="0"/>
              <w:spacing w:before="0" w:after="283"/>
              <w:jc w:val="left"/>
              <w:rPr/>
            </w:pPr>
            <w:r>
              <w:rPr/>
              <w:t>% </w:t>
            </w:r>
          </w:p>
        </w:tc>
      </w:tr>
      <w:tr>
        <w:trPr/>
        <w:tc>
          <w:tcPr>
            <w:tcW w:w="3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HOPU-ARM Holding Company Limited(1)</w:t>
            </w:r>
          </w:p>
        </w:tc>
        <w:tc>
          <w:tcPr>
            <w:tcW w:w="39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14" w:type="dxa"/>
            <w:tcBorders/>
            <w:shd w:fill="CCEEFF" w:val="clear"/>
            <w:vAlign w:val="bottom"/>
          </w:tcPr>
          <w:p>
            <w:pPr>
              <w:pStyle w:val="TableContents"/>
              <w:bidi w:val="0"/>
              <w:spacing w:before="0" w:after="283"/>
              <w:jc w:val="right"/>
              <w:rPr/>
            </w:pPr>
            <w:r>
              <w:rPr/>
              <w:t>10.0</w:t>
            </w:r>
          </w:p>
        </w:tc>
        <w:tc>
          <w:tcPr>
            <w:tcW w:w="278" w:type="dxa"/>
            <w:tcBorders/>
            <w:shd w:fill="CCEEFF" w:val="clear"/>
            <w:vAlign w:val="bottom"/>
          </w:tcPr>
          <w:p>
            <w:pPr>
              <w:pStyle w:val="TableContents"/>
              <w:bidi w:val="0"/>
              <w:spacing w:before="0" w:after="283"/>
              <w:jc w:val="left"/>
              <w:rPr/>
            </w:pPr>
            <w:r>
              <w:rPr/>
              <w:t>% </w:t>
            </w:r>
          </w:p>
        </w:tc>
      </w:tr>
      <w:tr>
        <w:trPr/>
        <w:tc>
          <w:tcPr>
            <w:tcW w:w="3981" w:type="dxa"/>
            <w:tcBorders/>
          </w:tcPr>
          <w:p>
            <w:pPr>
              <w:pStyle w:val="TableContents"/>
              <w:bidi w:val="0"/>
              <w:spacing w:before="0" w:after="0"/>
              <w:jc w:val="left"/>
              <w:rPr>
                <w:rFonts w:ascii="Times New Roman" w:hAnsi="Times New Roman"/>
                <w:sz w:val="20"/>
              </w:rPr>
            </w:pPr>
            <w:r>
              <w:rPr>
                <w:rFonts w:ascii="Times New Roman" w:hAnsi="Times New Roman"/>
                <w:sz w:val="20"/>
              </w:rPr>
              <w:t>DeepTech Labs Fund 1 LP</w:t>
            </w:r>
          </w:p>
        </w:tc>
        <w:tc>
          <w:tcPr>
            <w:tcW w:w="3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14" w:type="dxa"/>
            <w:tcBorders/>
            <w:vAlign w:val="bottom"/>
          </w:tcPr>
          <w:p>
            <w:pPr>
              <w:pStyle w:val="TableContents"/>
              <w:bidi w:val="0"/>
              <w:spacing w:before="0" w:after="283"/>
              <w:jc w:val="right"/>
              <w:rPr/>
            </w:pPr>
            <w:r>
              <w:rPr/>
              <w:t>42.9</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investment in HOPU-ARM Holding Company Limited entitles the Company to a 10% equity interest in HOPU-ARM Holding Company Limited and representation on the board of directors by virtue of the right to appoint one of three members of the board of directors. Accordingly, the Company has the ability to exercise significant influence over the operating and financial policies of HOPU-ARM Holding Company Limited.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Investments where fair value option elected (including those under the NAV practical expedient):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18"/>
        <w:gridCol w:w="421"/>
        <w:gridCol w:w="60"/>
        <w:gridCol w:w="461"/>
        <w:gridCol w:w="279"/>
      </w:tblGrid>
      <w:tr>
        <w:trPr/>
        <w:tc>
          <w:tcPr>
            <w:tcW w:w="5718"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Acetone Limited</w:t>
            </w:r>
          </w:p>
        </w:tc>
        <w:tc>
          <w:tcPr>
            <w:tcW w:w="4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Ampere Computing Holdings LLC (Ampere)</w:t>
            </w:r>
          </w:p>
        </w:tc>
        <w:tc>
          <w:tcPr>
            <w:tcW w:w="4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6.8</w:t>
            </w:r>
          </w:p>
        </w:tc>
        <w:tc>
          <w:tcPr>
            <w:tcW w:w="279"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 Walden Ventures Investments II, L.P. NAV</w:t>
            </w:r>
          </w:p>
        </w:tc>
        <w:tc>
          <w:tcPr>
            <w:tcW w:w="4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7.5</w:t>
            </w:r>
          </w:p>
        </w:tc>
        <w:tc>
          <w:tcPr>
            <w:tcW w:w="279"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China Walden Ventures Investments III, L.P. NAV</w:t>
            </w:r>
          </w:p>
        </w:tc>
        <w:tc>
          <w:tcPr>
            <w:tcW w:w="4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8.1</w:t>
            </w:r>
          </w:p>
        </w:tc>
        <w:tc>
          <w:tcPr>
            <w:tcW w:w="279"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HOPU-ARM Innovation Fund, L.P. NAV</w:t>
            </w:r>
          </w:p>
        </w:tc>
        <w:tc>
          <w:tcPr>
            <w:tcW w:w="4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5.1</w:t>
            </w:r>
          </w:p>
        </w:tc>
        <w:tc>
          <w:tcPr>
            <w:tcW w:w="279"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Catapult Ventures I, L.P. NAV</w:t>
            </w:r>
          </w:p>
        </w:tc>
        <w:tc>
          <w:tcPr>
            <w:tcW w:w="4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18.1</w:t>
            </w:r>
          </w:p>
        </w:tc>
        <w:tc>
          <w:tcPr>
            <w:tcW w:w="27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Investee summarized financial data for the Companys equity method investments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35"/>
        <w:gridCol w:w="517"/>
        <w:gridCol w:w="247"/>
        <w:gridCol w:w="1001"/>
        <w:gridCol w:w="60"/>
        <w:gridCol w:w="517"/>
        <w:gridCol w:w="247"/>
        <w:gridCol w:w="1001"/>
        <w:gridCol w:w="63"/>
      </w:tblGrid>
      <w:tr>
        <w:trPr/>
        <w:tc>
          <w:tcPr>
            <w:tcW w:w="5735"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35" w:type="dxa"/>
            <w:tcBorders/>
            <w:vAlign w:val="bottom"/>
          </w:tcPr>
          <w:p>
            <w:pPr>
              <w:pStyle w:val="TableContents"/>
              <w:bidi w:val="0"/>
              <w:spacing w:before="0" w:after="283"/>
              <w:jc w:val="left"/>
              <w:rPr>
                <w:b/>
              </w:rPr>
            </w:pPr>
            <w:r>
              <w:rPr>
                <w:b/>
              </w:rPr>
              <w:t>Balance Sheet</w:t>
            </w:r>
          </w:p>
        </w:tc>
        <w:tc>
          <w:tcPr>
            <w:tcW w:w="517"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7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517"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Investments</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Investments</w:t>
            </w:r>
          </w:p>
        </w:tc>
        <w:tc>
          <w:tcPr>
            <w:tcW w:w="63" w:type="dxa"/>
            <w:tcBorders/>
            <w:vAlign w:val="bottom"/>
          </w:tcPr>
          <w:p>
            <w:pPr>
              <w:pStyle w:val="TableContents"/>
              <w:bidi w:val="0"/>
              <w:spacing w:before="0" w:after="283"/>
              <w:jc w:val="left"/>
              <w:rPr/>
            </w:pPr>
            <w:r>
              <w:rPr/>
              <w:t> </w:t>
            </w:r>
          </w:p>
        </w:tc>
      </w:tr>
      <w:tr>
        <w:trPr/>
        <w:tc>
          <w:tcPr>
            <w:tcW w:w="5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51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1,410</w:t>
            </w:r>
          </w:p>
        </w:tc>
        <w:tc>
          <w:tcPr>
            <w:tcW w:w="6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2,158</w:t>
            </w:r>
          </w:p>
        </w:tc>
        <w:tc>
          <w:tcPr>
            <w:tcW w:w="63" w:type="dxa"/>
            <w:tcBorders/>
            <w:shd w:fill="CCEEFF" w:val="clear"/>
            <w:vAlign w:val="bottom"/>
          </w:tcPr>
          <w:p>
            <w:pPr>
              <w:pStyle w:val="TableContents"/>
              <w:bidi w:val="0"/>
              <w:spacing w:before="0" w:after="283"/>
              <w:jc w:val="left"/>
              <w:rPr/>
            </w:pPr>
            <w:r>
              <w:rPr/>
              <w:t> </w:t>
            </w:r>
          </w:p>
        </w:tc>
      </w:tr>
      <w:tr>
        <w:trPr/>
        <w:tc>
          <w:tcPr>
            <w:tcW w:w="5735"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51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2,365</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1,882</w:t>
            </w:r>
          </w:p>
        </w:tc>
        <w:tc>
          <w:tcPr>
            <w:tcW w:w="63" w:type="dxa"/>
            <w:tcBorders/>
            <w:vAlign w:val="bottom"/>
          </w:tcPr>
          <w:p>
            <w:pPr>
              <w:pStyle w:val="TableContents"/>
              <w:bidi w:val="0"/>
              <w:spacing w:before="0" w:after="283"/>
              <w:jc w:val="left"/>
              <w:rPr/>
            </w:pPr>
            <w:r>
              <w:rPr/>
              <w:t> </w:t>
            </w:r>
          </w:p>
        </w:tc>
      </w:tr>
      <w:tr>
        <w:trPr/>
        <w:tc>
          <w:tcPr>
            <w:tcW w:w="5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51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163</w:t>
            </w:r>
          </w:p>
        </w:tc>
        <w:tc>
          <w:tcPr>
            <w:tcW w:w="6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864</w:t>
            </w:r>
          </w:p>
        </w:tc>
        <w:tc>
          <w:tcPr>
            <w:tcW w:w="63" w:type="dxa"/>
            <w:tcBorders/>
            <w:shd w:fill="CCEEFF" w:val="clear"/>
            <w:vAlign w:val="bottom"/>
          </w:tcPr>
          <w:p>
            <w:pPr>
              <w:pStyle w:val="TableContents"/>
              <w:bidi w:val="0"/>
              <w:spacing w:before="0" w:after="283"/>
              <w:jc w:val="left"/>
              <w:rPr/>
            </w:pPr>
            <w:r>
              <w:rPr/>
              <w:t> </w:t>
            </w:r>
          </w:p>
        </w:tc>
      </w:tr>
      <w:tr>
        <w:trPr/>
        <w:tc>
          <w:tcPr>
            <w:tcW w:w="5735"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51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602</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901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72"/>
        <w:gridCol w:w="389"/>
        <w:gridCol w:w="295"/>
        <w:gridCol w:w="957"/>
        <w:gridCol w:w="155"/>
        <w:gridCol w:w="389"/>
        <w:gridCol w:w="247"/>
        <w:gridCol w:w="997"/>
        <w:gridCol w:w="60"/>
        <w:gridCol w:w="389"/>
        <w:gridCol w:w="167"/>
        <w:gridCol w:w="1072"/>
        <w:gridCol w:w="66"/>
      </w:tblGrid>
      <w:tr>
        <w:trPr/>
        <w:tc>
          <w:tcPr>
            <w:tcW w:w="2572"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5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Income Statement</w:t>
            </w:r>
          </w:p>
        </w:tc>
        <w:tc>
          <w:tcPr>
            <w:tcW w:w="389"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89"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Investments</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Investments</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Investments</w:t>
            </w:r>
          </w:p>
        </w:tc>
        <w:tc>
          <w:tcPr>
            <w:tcW w:w="66"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or income.</w:t>
            </w:r>
          </w:p>
        </w:tc>
        <w:tc>
          <w:tcPr>
            <w:tcW w:w="38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1,610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941</w:t>
            </w:r>
          </w:p>
        </w:tc>
        <w:tc>
          <w:tcPr>
            <w:tcW w:w="66" w:type="dxa"/>
            <w:tcBorders/>
            <w:shd w:fill="CCEEFF" w:val="clear"/>
            <w:vAlign w:val="bottom"/>
          </w:tcPr>
          <w:p>
            <w:pPr>
              <w:pStyle w:val="TableContents"/>
              <w:bidi w:val="0"/>
              <w:spacing w:before="0" w:after="283"/>
              <w:jc w:val="left"/>
              <w:rPr/>
            </w:pPr>
            <w:r>
              <w:rPr/>
              <w:t> </w:t>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38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1,018</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443</w:t>
            </w:r>
          </w:p>
        </w:tc>
        <w:tc>
          <w:tcPr>
            <w:tcW w:w="66"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(losses) on equity method investments</w:t>
            </w:r>
          </w:p>
        </w:tc>
        <w:tc>
          <w:tcPr>
            <w:tcW w:w="38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8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(367</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521</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75</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Investments in a limited liability company that maintains a specific ownership or limited partnerships which the Company has more than virtually no influence (i.e., at least 3% to 5% ownership) over the investee are accounted for using the equity method.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the fair value option to account for certain equity method investments. See the discussion below regarding Arm China, Acetone Limited, and Ampere, along with Note 13, </w:t>
      </w:r>
      <w:r>
        <w:rPr>
          <w:rFonts w:ascii="Times New Roman" w:hAnsi="Times New Roman"/>
          <w:i/>
          <w:sz w:val="20"/>
        </w:rPr>
        <w:t>Fair Value</w:t>
      </w:r>
      <w:r>
        <w:rPr>
          <w:rFonts w:ascii="Times New Roman" w:hAnsi="Times New Roman"/>
          <w:sz w:val="20"/>
        </w:rPr>
        <w:t xml:space="preserve">,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2023, 2022 and 2021, income (losses) from equity method investments not accounted under the fair value option or the NAV practical expedient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 holds equity method investments in funds accounted for under the fair value option that apply the NAV practical expedient. The estimated fair values of the Companys equity securities at fair value that qualify for the NAV practical expedient were provided by the partnerships based on the indicated market values of the underlying assets or investment portfolios. As of March 31, 2023 and 2022, the carrying value of equity method investments under the fair value option measured at NAV was $109.4 million and $106.9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fiscal years ended March 31, 2023, 2022 and 2021, the Company recognized gains from changes in fair value of $1.7 million, $40.0 million and $8.3 million, respectively, for equity method investments accounted for under the NAV practical expedient. Changes in fair value are recorded through income from equity investments, net on the Consolidated Income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 China and Acetone Limited </w:t>
      </w:r>
    </w:p>
    <w:p>
      <w:pPr>
        <w:pStyle w:val="TextBody"/>
        <w:bidi w:val="0"/>
        <w:spacing w:before="120" w:after="0"/>
        <w:jc w:val="left"/>
        <w:rPr>
          <w:rFonts w:ascii="Times New Roman" w:hAnsi="Times New Roman"/>
          <w:sz w:val="20"/>
        </w:rPr>
      </w:pPr>
      <w:r>
        <w:rPr>
          <w:rFonts w:ascii="Times New Roman" w:hAnsi="Times New Roman"/>
          <w:sz w:val="20"/>
        </w:rPr>
        <w:t xml:space="preserve">Prior to restructuring its investment in March 2022, the Company held an equity method investment in Arm China. Factors resulting in significant influence included: (a) the Company held a 48.18% equity holding in Arm China with associated rights; (b) the Company was party to the IPLA and has service share transactions with Arm China, along with certain leases; and (c) the Company had the ability to nominate a representative to Arm Chinas board of directors. The Company elected to apply the fair value option to this equity method investment.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IPLA, a substantial portion of customer contracts previously held by the Companys former PRC subsidiary were novated to Arm China; under such contracts the Company is entitled to a share of revenue earned by Arm China. Where contracts were not novated from the Companys former PRC subsidiary to Arm China, the Company has an obligation to pay a reseller fee on the revenue derived from those entities within the PRC geography. </w:t>
      </w:r>
    </w:p>
    <w:p>
      <w:pPr>
        <w:pStyle w:val="TextBody"/>
        <w:bidi w:val="0"/>
        <w:spacing w:before="240" w:after="0"/>
        <w:jc w:val="left"/>
        <w:rPr>
          <w:rFonts w:ascii="Times New Roman" w:hAnsi="Times New Roman"/>
          <w:sz w:val="20"/>
        </w:rPr>
      </w:pPr>
      <w:r>
        <w:rPr>
          <w:rFonts w:ascii="Times New Roman" w:hAnsi="Times New Roman"/>
          <w:sz w:val="20"/>
        </w:rPr>
        <w:t xml:space="preserve">In March 2022, the Company transferred its interest in Arm China to Acetone Limited, a newly created company. Immediately thereafter, the Company transferred 67% of its interest in Acetone Limited, to SoftBank Group Capital Limited (SBGC), and 23% of its interest in SVF Holdco Limited (SVF) for a note receivable of $930.3 million (the Note Receivable). The Note Receivable was immediately distributed proportionally to SBGC and SVF (the Companys only shareholders), both entities under common control of SoftBank Group, free of cost and accordingly, treated similar to a dividend or distribution to the immediate shareholders of the Company as a reduction to retained earnings.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retained a 10% non-voting shareholding interest in Acetone Limited. The Company concluded it did not control Acetone Limited, as its 10% shareholding interest is a non-voting interest, and the Company did not have any rights to nominate a director to Acetone Limiteds board of directors. However, the Company did conclude that it has significant influence in Acetone Limited, as (a) Acetone Limiteds sole asset is its 48.18% equity holding in Arm China, (b) the Company is party to the IPLA with Arm China, (c) the Company has significant inter-entity transactions with Arm China, including leased assets; and (d) the Companys Chief Executive Officer has been appointed to Arm Chinas board of directors by SoftBank Group. The Company elected to apply the fair value option to this retained equity method investment.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transactions, in March 2022, the Company removed the carrying value of its equity investment in Arm China of $1,084.1 million and recognized its investment in Acetone Limited at $108.4 million, with net distribution to immediate shareholders of the Company recognized as a reduction to retained earnings of $975.7 million. As of March 31, 2023 and 2022, the carrying value of the Companys equity method investment in Acetone Limited was $92.4 million and $108.4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2022, and 2021, the Company recognized fair value gains of $72.3 million, and $132.5 million, respectively in connection with equity method investment in Arm China, and immaterial amounts associated with its retained interest in Acetone Limited. For the fiscal year ended March 31, 2023, the Company recognized fair value losses of $16.0 million in connection with equity method investment in Acetone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Ampere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2023 and 2022, the carrying value of the Companys equity method investment in Ampere was $389.8 million and $416.2 million, respectively. The Company elected to apply the fair value option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equity method investment. For the fiscal years ended March 31, 2023, and 2021, the Company recognized a fair value (loss) and a gain of $(26.3) million and $341.2 million, respectively. Fair value gains and losses for this investment were immaterial for the fiscal year ended March 31, 2022.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2021, the Company acquired a $29.0 million convertible promissory note in Ampere, which is included in other non-current assets on the Consolidated Balance Sheets. As of March 31, 2023, the outstanding balance of the convertible promissory note was $30.9 million. The Companys maximum exposure to loss are the amounts invested in, and advanced to, Ampere as of March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Non-marketable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March 31, 2023 and 2022, the carrying value of assets measured at NAV was $18.0 million and $28.5 million, respectively. For the fiscal years ended March 31, 2023, the Company recognized a loss from changes in fair value of $10.5 million for non-marketable securities accounted for under the NAV practical expedient. Accordingly, the Company recognized gains from changes in fair value of $7.9 million, and $10.1 million for fiscal years ended March 31, 2022 and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Historically, the Company had an unrecognized trade receivable with a customer given the collectability of substantially all of the consideration was not probable. In March 2023, the Company invested in non-marketable preferred stock from the customer in exchange for the conversion of the trade receivables for $12.7 million. The Company also acquired additional non-marketable preferred stock in exchange for a cash payment of $10.7 million. Currently, the Company does not recognize any revenue and receivables due to not meeting the collectability criterion under ASC 606, </w:t>
      </w:r>
      <w:r>
        <w:rPr>
          <w:rFonts w:ascii="Times New Roman" w:hAnsi="Times New Roman"/>
          <w:i/>
          <w:sz w:val="20"/>
        </w:rPr>
        <w:t>Revenue from Contracts with Customers</w:t>
      </w:r>
      <w:r>
        <w:rPr>
          <w:rFonts w:ascii="Times New Roman" w:hAnsi="Times New Roman"/>
          <w:sz w:val="20"/>
        </w:rPr>
        <w:t xml:space="preserve">. The Company does not have significant influence or control over the customer and elected to apply the measurement alternative for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gains (losses) which primarily include unrealized gains and losses on non-marketable securities inclusive of those measured under the NAV practical expedient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98"/>
        <w:gridCol w:w="286"/>
        <w:gridCol w:w="232"/>
        <w:gridCol w:w="373"/>
        <w:gridCol w:w="369"/>
        <w:gridCol w:w="403"/>
        <w:gridCol w:w="232"/>
        <w:gridCol w:w="442"/>
        <w:gridCol w:w="413"/>
        <w:gridCol w:w="403"/>
        <w:gridCol w:w="232"/>
        <w:gridCol w:w="563"/>
        <w:gridCol w:w="326"/>
      </w:tblGrid>
      <w:tr>
        <w:trPr/>
        <w:tc>
          <w:tcPr>
            <w:tcW w:w="4298"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r>
      <w:tr>
        <w:trPr/>
        <w:tc>
          <w:tcPr>
            <w:tcW w:w="429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326" w:type="dxa"/>
            <w:tcBorders/>
            <w:vAlign w:val="bottom"/>
          </w:tcPr>
          <w:p>
            <w:pPr>
              <w:pStyle w:val="TableContents"/>
              <w:bidi w:val="0"/>
              <w:spacing w:before="0" w:after="283"/>
              <w:jc w:val="left"/>
              <w:rPr/>
            </w:pPr>
            <w:r>
              <w:rPr/>
              <w:t> </w:t>
            </w:r>
          </w:p>
        </w:tc>
      </w:tr>
      <w:tr>
        <w:trPr/>
        <w:tc>
          <w:tcPr>
            <w:tcW w:w="42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86" w:type="dxa"/>
            <w:tcBorders/>
            <w:vAlign w:val="bottom"/>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69"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6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413"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26" w:type="dxa"/>
            <w:tcBorders/>
            <w:vAlign w:val="bottom"/>
          </w:tcPr>
          <w:p>
            <w:pPr>
              <w:pStyle w:val="TableContents"/>
              <w:bidi w:val="0"/>
              <w:spacing w:before="0" w:after="283"/>
              <w:jc w:val="left"/>
              <w:rPr/>
            </w:pPr>
            <w:r>
              <w:rPr/>
              <w:t> </w:t>
            </w:r>
          </w:p>
        </w:tc>
      </w:tr>
      <w:tr>
        <w:trPr/>
        <w:tc>
          <w:tcPr>
            <w:tcW w:w="4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Observable price adjustments on non-marketable equity securities (includes NAV)</w:t>
            </w:r>
          </w:p>
        </w:tc>
        <w:tc>
          <w:tcPr>
            <w:tcW w:w="28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373" w:type="dxa"/>
            <w:tcBorders/>
            <w:shd w:fill="CCEEFF" w:val="clear"/>
            <w:vAlign w:val="bottom"/>
          </w:tcPr>
          <w:p>
            <w:pPr>
              <w:pStyle w:val="TableContents"/>
              <w:bidi w:val="0"/>
              <w:spacing w:before="0" w:after="283"/>
              <w:jc w:val="right"/>
              <w:rPr/>
            </w:pPr>
            <w:r>
              <w:rPr/>
              <w:t>4</w:t>
            </w:r>
          </w:p>
        </w:tc>
        <w:tc>
          <w:tcPr>
            <w:tcW w:w="369"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31</w:t>
            </w:r>
          </w:p>
        </w:tc>
        <w:tc>
          <w:tcPr>
            <w:tcW w:w="413"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15</w:t>
            </w:r>
          </w:p>
        </w:tc>
        <w:tc>
          <w:tcPr>
            <w:tcW w:w="326" w:type="dxa"/>
            <w:tcBorders/>
            <w:shd w:fill="CCEEFF" w:val="clear"/>
            <w:vAlign w:val="bottom"/>
          </w:tcPr>
          <w:p>
            <w:pPr>
              <w:pStyle w:val="TableContents"/>
              <w:bidi w:val="0"/>
              <w:spacing w:before="0" w:after="283"/>
              <w:jc w:val="left"/>
              <w:rPr/>
            </w:pPr>
            <w:r>
              <w:rPr/>
              <w:t> </w:t>
            </w:r>
          </w:p>
        </w:tc>
      </w:tr>
      <w:tr>
        <w:trPr/>
        <w:tc>
          <w:tcPr>
            <w:tcW w:w="429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non-marketable equity securities</w:t>
            </w:r>
          </w:p>
        </w:tc>
        <w:tc>
          <w:tcPr>
            <w:tcW w:w="28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(8</w:t>
            </w:r>
          </w:p>
        </w:tc>
        <w:tc>
          <w:tcPr>
            <w:tcW w:w="369"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(3</w:t>
            </w:r>
          </w:p>
        </w:tc>
        <w:tc>
          <w:tcPr>
            <w:tcW w:w="413"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(21</w:t>
            </w:r>
          </w:p>
        </w:tc>
        <w:tc>
          <w:tcPr>
            <w:tcW w:w="326" w:type="dxa"/>
            <w:tcBorders/>
            <w:vAlign w:val="bottom"/>
          </w:tcPr>
          <w:p>
            <w:pPr>
              <w:pStyle w:val="TableContents"/>
              <w:bidi w:val="0"/>
              <w:spacing w:before="0" w:after="283"/>
              <w:jc w:val="left"/>
              <w:rPr/>
            </w:pPr>
            <w:r>
              <w:rPr/>
              <w:t>) </w:t>
            </w:r>
          </w:p>
        </w:tc>
      </w:tr>
      <w:tr>
        <w:trPr/>
        <w:tc>
          <w:tcPr>
            <w:tcW w:w="4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non-marketable equity securities</w:t>
            </w:r>
          </w:p>
        </w:tc>
        <w:tc>
          <w:tcPr>
            <w:tcW w:w="28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  </w:t>
            </w:r>
          </w:p>
        </w:tc>
        <w:tc>
          <w:tcPr>
            <w:tcW w:w="369"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1</w:t>
            </w:r>
          </w:p>
        </w:tc>
        <w:tc>
          <w:tcPr>
            <w:tcW w:w="413"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w:t>
            </w:r>
          </w:p>
        </w:tc>
        <w:tc>
          <w:tcPr>
            <w:tcW w:w="326" w:type="dxa"/>
            <w:tcBorders/>
            <w:shd w:fill="CCEEFF" w:val="clear"/>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369"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2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gains (losses) on non-marketable securities</w:t>
            </w:r>
          </w:p>
        </w:tc>
        <w:tc>
          <w:tcPr>
            <w:tcW w:w="28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373" w:type="dxa"/>
            <w:tcBorders/>
            <w:vAlign w:val="bottom"/>
          </w:tcPr>
          <w:p>
            <w:pPr>
              <w:pStyle w:val="TableContents"/>
              <w:bidi w:val="0"/>
              <w:spacing w:before="0" w:after="283"/>
              <w:jc w:val="right"/>
              <w:rPr/>
            </w:pPr>
            <w:r>
              <w:rPr/>
              <w:t>(4</w:t>
            </w:r>
          </w:p>
        </w:tc>
        <w:tc>
          <w:tcPr>
            <w:tcW w:w="369"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29</w:t>
            </w:r>
          </w:p>
        </w:tc>
        <w:tc>
          <w:tcPr>
            <w:tcW w:w="413"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(6</w:t>
            </w:r>
          </w:p>
        </w:tc>
        <w:tc>
          <w:tcPr>
            <w:tcW w:w="326" w:type="dxa"/>
            <w:tcBorders/>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369"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investments held by the Company are considered long-term to enable ecosystem growth and are non-current assets. For the fiscal years ended March 31, 2023, 2022, and 2021, the Company received $1.0 million, $2.4 million and $3.2 million, respectively, in dividends from equity investments measured using the NAV practical expedient. The total amount of financial commitments to existing investees of the Company not provided for in the consolidated financial statements was $22.1 million, $25.0 million and $ 23.6 million as of March 31, 2023, 2022 and 2021,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Loans and Other Receivables </w:t>
      </w:r>
    </w:p>
    <w:p>
      <w:pPr>
        <w:pStyle w:val="TextBody"/>
        <w:bidi w:val="0"/>
        <w:spacing w:before="120" w:after="0"/>
        <w:jc w:val="left"/>
        <w:rPr>
          <w:rFonts w:ascii="Times New Roman" w:hAnsi="Times New Roman"/>
          <w:sz w:val="20"/>
        </w:rPr>
      </w:pPr>
      <w:r>
        <w:rPr>
          <w:rFonts w:ascii="Times New Roman" w:hAnsi="Times New Roman"/>
          <w:sz w:val="20"/>
        </w:rPr>
        <w:t xml:space="preserve">Loans and other receivables carried at amortized cost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71"/>
        <w:gridCol w:w="473"/>
        <w:gridCol w:w="182"/>
        <w:gridCol w:w="440"/>
        <w:gridCol w:w="201"/>
        <w:gridCol w:w="505"/>
        <w:gridCol w:w="182"/>
        <w:gridCol w:w="442"/>
        <w:gridCol w:w="159"/>
      </w:tblGrid>
      <w:tr>
        <w:trPr/>
        <w:tc>
          <w:tcPr>
            <w:tcW w:w="5171"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71"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9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159" w:type="dxa"/>
            <w:tcBorders/>
            <w:vAlign w:val="bottom"/>
          </w:tcPr>
          <w:p>
            <w:pPr>
              <w:pStyle w:val="TableContents"/>
              <w:bidi w:val="0"/>
              <w:spacing w:before="0" w:after="283"/>
              <w:jc w:val="left"/>
              <w:rPr/>
            </w:pPr>
            <w:r>
              <w:rPr/>
              <w:t> </w:t>
            </w:r>
          </w:p>
        </w:tc>
      </w:tr>
      <w:tr>
        <w:trPr/>
        <w:tc>
          <w:tcPr>
            <w:tcW w:w="51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73"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01"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5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Loans and other receivables carried at amortized cost</w:t>
            </w:r>
          </w:p>
        </w:tc>
        <w:tc>
          <w:tcPr>
            <w:tcW w:w="47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0"/>
              <w:jc w:val="left"/>
              <w:rPr>
                <w:rFonts w:ascii="Times New Roman" w:hAnsi="Times New Roman"/>
                <w:sz w:val="20"/>
              </w:rPr>
            </w:pPr>
            <w:r>
              <w:rPr>
                <w:rFonts w:ascii="Times New Roman" w:hAnsi="Times New Roman"/>
                <w:sz w:val="20"/>
              </w:rPr>
              <w:t>Loans receivable</w:t>
            </w:r>
          </w:p>
        </w:tc>
        <w:tc>
          <w:tcPr>
            <w:tcW w:w="47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25</w:t>
            </w:r>
          </w:p>
        </w:tc>
        <w:tc>
          <w:tcPr>
            <w:tcW w:w="201"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29</w:t>
            </w:r>
          </w:p>
        </w:tc>
        <w:tc>
          <w:tcPr>
            <w:tcW w:w="159" w:type="dxa"/>
            <w:tcBorders/>
            <w:vAlign w:val="bottom"/>
          </w:tcPr>
          <w:p>
            <w:pPr>
              <w:pStyle w:val="TableContents"/>
              <w:bidi w:val="0"/>
              <w:spacing w:before="0" w:after="283"/>
              <w:jc w:val="left"/>
              <w:rPr/>
            </w:pPr>
            <w:r>
              <w:rPr/>
              <w:t> </w:t>
            </w:r>
          </w:p>
        </w:tc>
      </w:tr>
      <w:tr>
        <w:trPr/>
        <w:tc>
          <w:tcPr>
            <w:tcW w:w="5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47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18</w:t>
            </w:r>
          </w:p>
        </w:tc>
        <w:tc>
          <w:tcPr>
            <w:tcW w:w="201"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17</w:t>
            </w:r>
          </w:p>
        </w:tc>
        <w:tc>
          <w:tcPr>
            <w:tcW w:w="159" w:type="dxa"/>
            <w:tcBorders/>
            <w:shd w:fill="CCEEFF" w:val="clear"/>
            <w:vAlign w:val="bottom"/>
          </w:tcPr>
          <w:p>
            <w:pPr>
              <w:pStyle w:val="TableContents"/>
              <w:bidi w:val="0"/>
              <w:spacing w:before="0" w:after="283"/>
              <w:jc w:val="left"/>
              <w:rPr/>
            </w:pPr>
            <w:r>
              <w:rPr/>
              <w:t> </w:t>
            </w:r>
          </w:p>
        </w:tc>
      </w:tr>
      <w:tr>
        <w:trPr/>
        <w:tc>
          <w:tcPr>
            <w:tcW w:w="5171"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current expected credit losses</w:t>
            </w:r>
          </w:p>
        </w:tc>
        <w:tc>
          <w:tcPr>
            <w:tcW w:w="47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(22</w:t>
            </w:r>
          </w:p>
        </w:tc>
        <w:tc>
          <w:tcPr>
            <w:tcW w:w="201"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5171"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Loans and other receivables carried at amortized cost, net</w:t>
            </w:r>
          </w:p>
        </w:tc>
        <w:tc>
          <w:tcPr>
            <w:tcW w:w="47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21</w:t>
            </w:r>
          </w:p>
        </w:tc>
        <w:tc>
          <w:tcPr>
            <w:tcW w:w="201"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23</w:t>
            </w:r>
          </w:p>
        </w:tc>
        <w:tc>
          <w:tcPr>
            <w:tcW w:w="159" w:type="dxa"/>
            <w:tcBorders/>
            <w:shd w:fill="CCEEFF" w:val="clear"/>
            <w:vAlign w:val="bottom"/>
          </w:tcPr>
          <w:p>
            <w:pPr>
              <w:pStyle w:val="TableContents"/>
              <w:bidi w:val="0"/>
              <w:spacing w:before="0" w:after="283"/>
              <w:jc w:val="left"/>
              <w:rPr/>
            </w:pPr>
            <w:r>
              <w:rPr/>
              <w:t> </w:t>
            </w:r>
          </w:p>
        </w:tc>
      </w:tr>
      <w:tr>
        <w:trPr/>
        <w:tc>
          <w:tcPr>
            <w:tcW w:w="5171"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allowance for current expected credit losses reflects the Companys best estimate of expected credit losses of the receivables portfolio determined on the basis of historical experience, current information, and forecasts of future economic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Loans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a four-year loan of $25.0 million to Arduino SA (Arduino) in July 2017. In March 2020, the Company amended the terms of the loan receivable by reducing the annual interest rate from 6% to 3% and in conjunction with the amendment, the Company received Series A preferred stock of Arduino to partially settle the loan receivable. In April 2022, the Company received Series B preferred stock in Arduino of $5.1 million to partially settle the loan receivable. The Company accounts for this investment using the measurement alternative because such security is not publicly traded and does not have a readily determinable fair value. For the fiscal year ended March 31, 2021, the Company recognized an impairment loss of $11.0 million related to such investment. For the fiscal years ended March 31, 2023 and 2022, the Company did not record any impairment related to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In July 2021, the Company further amended the terms of the loan receivable by extending the maturity date from July 2021 to April 2027. These amendments were accounted for as a troubled debt restructuring. Under the troubled debt restructuring, unamortized fees and costs are carried forward and continue to be included in the amortized cost basis of the loan receivable. Other direct third-party costs incurred were expensed as incurred and were included in other non-operating income (loss), net on the Consolidated Income Statements. The Company did not receive any fees in connection with these troubled debt restructurings. There were no payment defaults as the accrued interest and the principal amount of the loan receivable was only required to be repaid at maturity.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2021, the loan receivable of $23.0 million from Arduino was impaired in full as the balance was not expected to be recovered, resulting in the recognition of an expected credit loss of $23.0 million. The expected credit loss was recorded in other non-operating income (loss), net on the Consolidated Income Statements. For the fiscal year ended March 31, 2023, the Company reduced the allowance for expected credit losses given the change in collectability with a corresponding reversal expense for the portion of the loan receivable that was repaid in exchange for Series B preferred stock in Arduino.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aforementioned Arduino loan receivable, the remaining balance for the fiscal year ended March 31, 2023 and 2022 comprised a four-year loan of $3.0 million issued to Cerfe Labs, Inc., included in other loans receivable. The loan is at an interest rate comparable to market interest rates, with repayment due upon maturity.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year ended March 31, 2023, the Company fully impaired the loan and the expected credit loss was recorded in other non-operating income (loss), net on the Consolidated Income Statements. </w:t>
      </w:r>
    </w:p>
    <w:p>
      <w:pPr>
        <w:pStyle w:val="TextBody"/>
        <w:bidi w:val="0"/>
        <w:spacing w:before="240" w:after="0"/>
        <w:jc w:val="left"/>
        <w:rPr>
          <w:rFonts w:ascii="Times New Roman" w:hAnsi="Times New Roman"/>
          <w:sz w:val="20"/>
        </w:rPr>
      </w:pPr>
      <w:r>
        <w:rPr>
          <w:rFonts w:ascii="Times New Roman" w:hAnsi="Times New Roman"/>
          <w:sz w:val="20"/>
        </w:rPr>
        <w:t xml:space="preserve">See Note 21, </w:t>
      </w:r>
      <w:r>
        <w:rPr>
          <w:rFonts w:ascii="Times New Roman" w:hAnsi="Times New Roman"/>
          <w:i/>
          <w:sz w:val="20"/>
        </w:rPr>
        <w:t>Related Party Transactions</w:t>
      </w:r>
      <w:r>
        <w:rPr>
          <w:rFonts w:ascii="Times New Roman" w:hAnsi="Times New Roman"/>
          <w:sz w:val="20"/>
        </w:rPr>
        <w:t xml:space="preserve">, for further information on loans to related parties. </w:t>
      </w:r>
    </w:p>
    <w:p>
      <w:pPr>
        <w:pStyle w:val="TextBody"/>
        <w:bidi w:val="0"/>
        <w:spacing w:before="360" w:after="0"/>
        <w:jc w:val="left"/>
        <w:rPr>
          <w:rFonts w:ascii="Times New Roman" w:hAnsi="Times New Roman"/>
          <w:i/>
          <w:sz w:val="20"/>
        </w:rPr>
      </w:pPr>
      <w:r>
        <w:rPr>
          <w:rFonts w:ascii="Times New Roman" w:hAnsi="Times New Roman"/>
          <w:i/>
          <w:sz w:val="20"/>
        </w:rPr>
        <w:t xml:space="preserve">Other receivables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2021, the Company sold 100% of its ownership in IoTP to SoftBank Group Capital Limited for $12.0 million in cash consideration. Balances included in other receivables comprised mainly of the </w:t>
      </w:r>
    </w:p>
    <w:p>
      <w:pPr>
        <w:pStyle w:val="TextBody"/>
        <w:bidi w:val="0"/>
        <w:spacing w:before="0" w:after="0"/>
        <w:jc w:val="left"/>
        <w:rPr>
          <w:rFonts w:ascii="Times New Roman" w:hAnsi="Times New Roman"/>
          <w:sz w:val="20"/>
        </w:rPr>
      </w:pPr>
      <w:r>
        <w:rPr>
          <w:rFonts w:ascii="Times New Roman" w:hAnsi="Times New Roman"/>
          <w:sz w:val="20"/>
        </w:rPr>
        <w:t xml:space="preserve">$12.0 million receivable from SoftBank Group Capital Limited recorded in prepaid and other current assets on the Consolidated Balance Sheets as of March 31, 2023. See Note 4, </w:t>
      </w:r>
      <w:r>
        <w:rPr>
          <w:rFonts w:ascii="Times New Roman" w:hAnsi="Times New Roman"/>
          <w:i/>
          <w:sz w:val="20"/>
        </w:rPr>
        <w:t>Discontinued Operations</w:t>
      </w:r>
      <w:r>
        <w:rPr>
          <w:rFonts w:ascii="Times New Roman" w:hAnsi="Times New Roman"/>
          <w:sz w:val="20"/>
        </w:rPr>
        <w:t xml:space="preserve">, for further information about the sale of IoTP to SoftBank Group Capital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Loans Receivable </w:t>
      </w:r>
    </w:p>
    <w:p>
      <w:pPr>
        <w:pStyle w:val="TextBody"/>
        <w:bidi w:val="0"/>
        <w:spacing w:before="120" w:after="0"/>
        <w:jc w:val="left"/>
        <w:rPr>
          <w:rFonts w:ascii="Times New Roman" w:hAnsi="Times New Roman"/>
          <w:sz w:val="20"/>
        </w:rPr>
      </w:pPr>
      <w:r>
        <w:rPr>
          <w:rFonts w:ascii="Times New Roman" w:hAnsi="Times New Roman"/>
          <w:sz w:val="20"/>
        </w:rPr>
        <w:t xml:space="preserve">In June 2020, the Company acquired a $2.9 million principal balance convertible loan in PragmatIC Semiconductor Limited (PragmatIC). The entire convertible loan was converted to equity of PragmatIC Semiconductor Limited in October 2021. As of March 31, 2023 and 2022, the carrying value of the Companys non-marketable equity security in PragmatIC was $39.0 million, respectively. The Company accounts for the investment using the measurement alternative because the securities are not publicly traded and do not have a readily determinable fair value.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2021, the Company acquired a $29.0 million principal balance convertible loan in Ampere. The Company elected the fair value option to measure this convertible loan receivable for which changes in fair value are recorded in other non-operating income (loss), net on the Consolidated Income Statements. For the fiscal year ended March 31, 2023, the Company recognized a gain of $2.0 million for this loan receivable. No material gains or losses were recognized for the fiscal year ended March 31,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Derivatives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March 31, 2023, the notional value of outstanding foreign currency forward contracts was £340.0 million and the fair value was $9.3 million. As of March 31, 2022, the notional value of outstanding foreign currency forward contracts was £320.0 million and the fair value was $(9.4)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notional amounts of the Companys outstanding derivative instruments: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7"/>
        <w:gridCol w:w="365"/>
        <w:gridCol w:w="183"/>
        <w:gridCol w:w="500"/>
        <w:gridCol w:w="78"/>
        <w:gridCol w:w="393"/>
        <w:gridCol w:w="183"/>
        <w:gridCol w:w="502"/>
        <w:gridCol w:w="64"/>
      </w:tblGrid>
      <w:tr>
        <w:trPr/>
        <w:tc>
          <w:tcPr>
            <w:tcW w:w="5487"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87"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4" w:type="dxa"/>
            <w:tcBorders/>
            <w:vAlign w:val="bottom"/>
          </w:tcPr>
          <w:p>
            <w:pPr>
              <w:pStyle w:val="TableContents"/>
              <w:bidi w:val="0"/>
              <w:spacing w:before="0" w:after="283"/>
              <w:jc w:val="left"/>
              <w:rPr/>
            </w:pPr>
            <w:r>
              <w:rPr/>
              <w:t> </w:t>
            </w:r>
          </w:p>
        </w:tc>
      </w:tr>
      <w:tr>
        <w:trPr/>
        <w:tc>
          <w:tcPr>
            <w:tcW w:w="54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65" w:type="dxa"/>
            <w:tcBorders/>
            <w:vAlign w:val="bottom"/>
          </w:tcPr>
          <w:p>
            <w:pPr>
              <w:pStyle w:val="TableContents"/>
              <w:bidi w:val="0"/>
              <w:spacing w:before="0" w:after="283"/>
              <w:jc w:val="left"/>
              <w:rPr/>
            </w:pPr>
            <w:r>
              <w:rPr/>
              <w:t>  </w:t>
            </w:r>
          </w:p>
        </w:tc>
        <w:tc>
          <w:tcPr>
            <w:tcW w:w="6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8"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Designated as cash flow hedges</w:t>
            </w:r>
          </w:p>
        </w:tc>
        <w:tc>
          <w:tcPr>
            <w:tcW w:w="36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8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36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t>411</w:t>
            </w:r>
          </w:p>
        </w:tc>
        <w:tc>
          <w:tcPr>
            <w:tcW w:w="78"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Non-designated hedges</w:t>
            </w:r>
          </w:p>
        </w:tc>
        <w:tc>
          <w:tcPr>
            <w:tcW w:w="36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8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36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430</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The following table presents the fair value of the Companys outstanding derivative instruments:</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50"/>
        <w:gridCol w:w="233"/>
        <w:gridCol w:w="305"/>
        <w:gridCol w:w="532"/>
        <w:gridCol w:w="194"/>
        <w:gridCol w:w="389"/>
        <w:gridCol w:w="305"/>
        <w:gridCol w:w="307"/>
        <w:gridCol w:w="177"/>
        <w:gridCol w:w="273"/>
        <w:gridCol w:w="474"/>
        <w:gridCol w:w="474"/>
        <w:gridCol w:w="306"/>
        <w:gridCol w:w="534"/>
        <w:gridCol w:w="474"/>
        <w:gridCol w:w="475"/>
        <w:gridCol w:w="186"/>
      </w:tblGrid>
      <w:tr>
        <w:trPr/>
        <w:tc>
          <w:tcPr>
            <w:tcW w:w="375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534"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r>
      <w:tr>
        <w:trPr/>
        <w:tc>
          <w:tcPr>
            <w:tcW w:w="375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0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Derivative Assets</w:t>
              <w:br/>
              <w:t>As of March 31,</w:t>
            </w:r>
          </w:p>
        </w:tc>
        <w:tc>
          <w:tcPr>
            <w:tcW w:w="1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73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Derivative Liabilities   </w:t>
              <w:br/>
              <w:t>As of March 31,</w:t>
            </w:r>
          </w:p>
        </w:tc>
        <w:tc>
          <w:tcPr>
            <w:tcW w:w="186" w:type="dxa"/>
            <w:tcBorders/>
            <w:vAlign w:val="bottom"/>
          </w:tcPr>
          <w:p>
            <w:pPr>
              <w:pStyle w:val="TableContents"/>
              <w:bidi w:val="0"/>
              <w:spacing w:before="0" w:after="283"/>
              <w:jc w:val="left"/>
              <w:rPr/>
            </w:pPr>
            <w:r>
              <w:rPr/>
              <w:t> </w:t>
            </w:r>
          </w:p>
        </w:tc>
      </w:tr>
      <w:tr>
        <w:trPr/>
        <w:tc>
          <w:tcPr>
            <w:tcW w:w="37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33"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6"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86"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Designated as cash flow hedges</w:t>
            </w:r>
          </w:p>
        </w:tc>
        <w:tc>
          <w:tcPr>
            <w:tcW w:w="23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534"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sz w:val="4"/>
                <w:szCs w:val="4"/>
              </w:rPr>
            </w:pPr>
            <w:r>
              <w:rPr>
                <w:sz w:val="4"/>
                <w:szCs w:val="4"/>
              </w:rPr>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23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532" w:type="dxa"/>
            <w:tcBorders/>
            <w:vAlign w:val="bottom"/>
          </w:tcPr>
          <w:p>
            <w:pPr>
              <w:pStyle w:val="TableContents"/>
              <w:bidi w:val="0"/>
              <w:spacing w:before="0" w:after="283"/>
              <w:jc w:val="right"/>
              <w:rPr/>
            </w:pPr>
            <w:r>
              <w:rPr/>
              <w:t>10</w:t>
            </w:r>
          </w:p>
        </w:tc>
        <w:tc>
          <w:tcPr>
            <w:tcW w:w="19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307"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474" w:type="dxa"/>
            <w:tcBorders/>
            <w:vAlign w:val="bottom"/>
          </w:tcPr>
          <w:p>
            <w:pPr>
              <w:pStyle w:val="TableContents"/>
              <w:bidi w:val="0"/>
              <w:spacing w:before="0" w:after="283"/>
              <w:jc w:val="right"/>
              <w:rPr/>
            </w:pPr>
            <w:r>
              <w:rPr/>
              <w:t>1</w:t>
            </w:r>
          </w:p>
        </w:tc>
        <w:tc>
          <w:tcPr>
            <w:tcW w:w="306"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475"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Non-designated hedges</w:t>
            </w:r>
          </w:p>
        </w:tc>
        <w:tc>
          <w:tcPr>
            <w:tcW w:w="23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534"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sz w:val="4"/>
                <w:szCs w:val="4"/>
              </w:rPr>
            </w:pPr>
            <w:r>
              <w:rPr>
                <w:sz w:val="4"/>
                <w:szCs w:val="4"/>
              </w:rPr>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23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53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307"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474" w:type="dxa"/>
            <w:tcBorders/>
            <w:vAlign w:val="bottom"/>
          </w:tcPr>
          <w:p>
            <w:pPr>
              <w:pStyle w:val="TableContents"/>
              <w:bidi w:val="0"/>
              <w:spacing w:before="0" w:after="283"/>
              <w:jc w:val="right"/>
              <w:rPr/>
            </w:pPr>
            <w:r>
              <w:rPr/>
              <w:t>  </w:t>
            </w:r>
          </w:p>
        </w:tc>
        <w:tc>
          <w:tcPr>
            <w:tcW w:w="306"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475" w:type="dxa"/>
            <w:tcBorders/>
            <w:vAlign w:val="bottom"/>
          </w:tcPr>
          <w:p>
            <w:pPr>
              <w:pStyle w:val="TableContents"/>
              <w:bidi w:val="0"/>
              <w:spacing w:before="0" w:after="283"/>
              <w:jc w:val="right"/>
              <w:rPr/>
            </w:pPr>
            <w:r>
              <w:rPr/>
              <w:t>9</w:t>
            </w:r>
          </w:p>
        </w:tc>
        <w:tc>
          <w:tcPr>
            <w:tcW w:w="18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Cash Flow Hedge Gains (Losses) </w:t>
      </w:r>
    </w:p>
    <w:p>
      <w:pPr>
        <w:pStyle w:val="TextBody"/>
        <w:bidi w:val="0"/>
        <w:spacing w:before="120" w:after="0"/>
        <w:jc w:val="left"/>
        <w:rPr>
          <w:rFonts w:ascii="Times New Roman" w:hAnsi="Times New Roman"/>
          <w:sz w:val="20"/>
        </w:rPr>
      </w:pPr>
      <w:r>
        <w:rPr>
          <w:rFonts w:ascii="Times New Roman" w:hAnsi="Times New Roman"/>
          <w:sz w:val="20"/>
        </w:rPr>
        <w:t>The following table presents net gains (losses) on foreign currency forward contracts designated as cash flow hedges:</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58"/>
        <w:gridCol w:w="374"/>
        <w:gridCol w:w="343"/>
        <w:gridCol w:w="503"/>
        <w:gridCol w:w="375"/>
        <w:gridCol w:w="520"/>
        <w:gridCol w:w="343"/>
        <w:gridCol w:w="343"/>
        <w:gridCol w:w="140"/>
        <w:gridCol w:w="520"/>
        <w:gridCol w:w="343"/>
        <w:gridCol w:w="344"/>
        <w:gridCol w:w="66"/>
      </w:tblGrid>
      <w:tr>
        <w:trPr/>
        <w:tc>
          <w:tcPr>
            <w:tcW w:w="4358"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5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774"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Fiscal Year Ended March 31,    </w:t>
            </w:r>
          </w:p>
        </w:tc>
        <w:tc>
          <w:tcPr>
            <w:tcW w:w="66" w:type="dxa"/>
            <w:tcBorders/>
            <w:vAlign w:val="bottom"/>
          </w:tcPr>
          <w:p>
            <w:pPr>
              <w:pStyle w:val="TableContents"/>
              <w:bidi w:val="0"/>
              <w:spacing w:before="0" w:after="283"/>
              <w:jc w:val="left"/>
              <w:rPr/>
            </w:pPr>
            <w:r>
              <w:rPr/>
              <w:t> </w:t>
            </w:r>
          </w:p>
        </w:tc>
      </w:tr>
      <w:tr>
        <w:trPr/>
        <w:tc>
          <w:tcPr>
            <w:tcW w:w="43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74"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6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4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Statements of Comprehensive Income: </w:t>
            </w:r>
          </w:p>
        </w:tc>
        <w:tc>
          <w:tcPr>
            <w:tcW w:w="374"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503"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Gains reclassified in Accumulated other comprehensive income on cash flow hedge derivatives</w:t>
            </w:r>
          </w:p>
        </w:tc>
        <w:tc>
          <w:tcPr>
            <w:tcW w:w="374"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503" w:type="dxa"/>
            <w:tcBorders/>
            <w:vAlign w:val="bottom"/>
          </w:tcPr>
          <w:p>
            <w:pPr>
              <w:pStyle w:val="TableContents"/>
              <w:bidi w:val="0"/>
              <w:spacing w:before="0" w:after="283"/>
              <w:jc w:val="right"/>
              <w:rPr/>
            </w:pPr>
            <w:r>
              <w:rPr/>
              <w:t>5</w:t>
            </w:r>
          </w:p>
        </w:tc>
        <w:tc>
          <w:tcPr>
            <w:tcW w:w="3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343"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3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reclassified from Accumulated other comprehensive income into income</w:t>
            </w:r>
          </w:p>
        </w:tc>
        <w:tc>
          <w:tcPr>
            <w:tcW w:w="374"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5</w:t>
            </w:r>
          </w:p>
        </w:tc>
        <w:tc>
          <w:tcPr>
            <w:tcW w:w="375"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Tax expense on cash flow hedges</w:t>
            </w:r>
          </w:p>
        </w:tc>
        <w:tc>
          <w:tcPr>
            <w:tcW w:w="374"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right"/>
              <w:rPr/>
            </w:pPr>
            <w:r>
              <w:rPr/>
              <w:t>(2</w:t>
            </w:r>
          </w:p>
        </w:tc>
        <w:tc>
          <w:tcPr>
            <w:tcW w:w="3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358"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503" w:type="dxa"/>
            <w:tcBorders/>
            <w:vAlign w:val="bottom"/>
          </w:tcPr>
          <w:p>
            <w:pPr>
              <w:pStyle w:val="TableContents"/>
              <w:pBdr>
                <w:top w:val="single" w:sz="2" w:space="1" w:color="000000"/>
              </w:pBdr>
              <w:bidi w:val="0"/>
              <w:spacing w:before="0" w:after="0"/>
              <w:jc w:val="left"/>
              <w:rPr/>
            </w:pPr>
            <w:r>
              <w:rPr/>
              <w:t> </w:t>
            </w:r>
          </w:p>
        </w:tc>
        <w:tc>
          <w:tcPr>
            <w:tcW w:w="375" w:type="dxa"/>
            <w:tcBorders/>
            <w:vAlign w:val="center"/>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Net change in fair value of the effective portion of </w:t>
              <w:br/>
              <w:t>designated cash flow hedges, net of tax(1)</w:t>
            </w:r>
          </w:p>
        </w:tc>
        <w:tc>
          <w:tcPr>
            <w:tcW w:w="374"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503" w:type="dxa"/>
            <w:tcBorders/>
            <w:shd w:fill="CCEEFF" w:val="clear"/>
            <w:vAlign w:val="bottom"/>
          </w:tcPr>
          <w:p>
            <w:pPr>
              <w:pStyle w:val="TableContents"/>
              <w:bidi w:val="0"/>
              <w:spacing w:before="0" w:after="283"/>
              <w:jc w:val="right"/>
              <w:rPr/>
            </w:pPr>
            <w:r>
              <w:rPr/>
              <w:t>8</w:t>
            </w:r>
          </w:p>
        </w:tc>
        <w:tc>
          <w:tcPr>
            <w:tcW w:w="375"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343"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34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rHeight w:val="120" w:hRule="atLeast"/>
        </w:trPr>
        <w:tc>
          <w:tcPr>
            <w:tcW w:w="4358"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346" w:type="dxa"/>
            <w:gridSpan w:val="4"/>
            <w:tcBorders/>
            <w:vAlign w:val="center"/>
          </w:tcPr>
          <w:p>
            <w:pPr>
              <w:pStyle w:val="TableContents"/>
              <w:bidi w:val="0"/>
              <w:spacing w:before="0" w:after="283"/>
              <w:jc w:val="left"/>
              <w:rPr>
                <w:sz w:val="4"/>
                <w:szCs w:val="4"/>
              </w:rPr>
            </w:pPr>
            <w:r>
              <w:rPr>
                <w:sz w:val="4"/>
                <w:szCs w:val="4"/>
              </w:rPr>
            </w:r>
          </w:p>
        </w:tc>
        <w:tc>
          <w:tcPr>
            <w:tcW w:w="1273" w:type="dxa"/>
            <w:gridSpan w:val="4"/>
            <w:tcBorders/>
            <w:vAlign w:val="center"/>
          </w:tcPr>
          <w:p>
            <w:pPr>
              <w:pStyle w:val="TableContents"/>
              <w:bidi w:val="0"/>
              <w:spacing w:before="0" w:after="283"/>
              <w:jc w:val="left"/>
              <w:rPr>
                <w:sz w:val="4"/>
                <w:szCs w:val="4"/>
              </w:rPr>
            </w:pPr>
            <w:r>
              <w:rPr>
                <w:sz w:val="4"/>
                <w:szCs w:val="4"/>
              </w:rPr>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Income Statements, before tax:</w:t>
            </w:r>
          </w:p>
        </w:tc>
        <w:tc>
          <w:tcPr>
            <w:tcW w:w="374"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4"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503" w:type="dxa"/>
            <w:tcBorders/>
            <w:shd w:fill="CCEEFF" w:val="clear"/>
            <w:vAlign w:val="bottom"/>
          </w:tcPr>
          <w:p>
            <w:pPr>
              <w:pStyle w:val="TableContents"/>
              <w:bidi w:val="0"/>
              <w:spacing w:before="0" w:after="283"/>
              <w:jc w:val="right"/>
              <w:rPr/>
            </w:pPr>
            <w:r>
              <w:rPr/>
              <w:t>(3</w:t>
            </w:r>
          </w:p>
        </w:tc>
        <w:tc>
          <w:tcPr>
            <w:tcW w:w="375"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343"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34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74"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503" w:type="dxa"/>
            <w:tcBorders/>
            <w:vAlign w:val="bottom"/>
          </w:tcPr>
          <w:p>
            <w:pPr>
              <w:pStyle w:val="TableContents"/>
              <w:bidi w:val="0"/>
              <w:spacing w:before="0" w:after="283"/>
              <w:jc w:val="right"/>
              <w:rPr/>
            </w:pPr>
            <w:r>
              <w:rPr/>
              <w:t>(2</w:t>
            </w:r>
          </w:p>
        </w:tc>
        <w:tc>
          <w:tcPr>
            <w:tcW w:w="3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343"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3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reported in Accumulated other comprehensive income at the reporting date are expected to be reclassified into earnings within the next 12 months.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Non-designated Hedging Instrument Gains (Losses) </w:t>
      </w:r>
    </w:p>
    <w:p>
      <w:pPr>
        <w:pStyle w:val="TextBody"/>
        <w:bidi w:val="0"/>
        <w:spacing w:before="120" w:after="0"/>
        <w:jc w:val="left"/>
        <w:rPr>
          <w:rFonts w:ascii="Times New Roman" w:hAnsi="Times New Roman"/>
          <w:sz w:val="20"/>
        </w:rPr>
      </w:pPr>
      <w:r>
        <w:rPr>
          <w:rFonts w:ascii="Times New Roman" w:hAnsi="Times New Roman"/>
          <w:sz w:val="20"/>
        </w:rPr>
        <w:t>The following table presents net gains (losses) on derivatives not designated as hedging instruments recorded in non-operating income (loss), net on the Consolidated Income Statements:</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51"/>
        <w:gridCol w:w="450"/>
        <w:gridCol w:w="231"/>
        <w:gridCol w:w="556"/>
        <w:gridCol w:w="256"/>
        <w:gridCol w:w="521"/>
        <w:gridCol w:w="231"/>
        <w:gridCol w:w="556"/>
        <w:gridCol w:w="256"/>
        <w:gridCol w:w="520"/>
        <w:gridCol w:w="231"/>
        <w:gridCol w:w="446"/>
        <w:gridCol w:w="67"/>
      </w:tblGrid>
      <w:tr>
        <w:trPr/>
        <w:tc>
          <w:tcPr>
            <w:tcW w:w="4251"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5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3804"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Fiscal Year ended March 31,    </w:t>
            </w:r>
          </w:p>
        </w:tc>
        <w:tc>
          <w:tcPr>
            <w:tcW w:w="67" w:type="dxa"/>
            <w:tcBorders/>
            <w:vAlign w:val="bottom"/>
          </w:tcPr>
          <w:p>
            <w:pPr>
              <w:pStyle w:val="TableContents"/>
              <w:bidi w:val="0"/>
              <w:spacing w:before="0" w:after="283"/>
              <w:jc w:val="left"/>
              <w:rPr/>
            </w:pPr>
            <w:r>
              <w:rPr/>
              <w:t> </w:t>
            </w:r>
          </w:p>
        </w:tc>
      </w:tr>
      <w:tr>
        <w:trPr/>
        <w:tc>
          <w:tcPr>
            <w:tcW w:w="42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50"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56"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56"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6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7" w:type="dxa"/>
            <w:tcBorders/>
            <w:vAlign w:val="bottom"/>
          </w:tcPr>
          <w:p>
            <w:pPr>
              <w:pStyle w:val="TableContents"/>
              <w:bidi w:val="0"/>
              <w:spacing w:before="0" w:after="283"/>
              <w:jc w:val="left"/>
              <w:rPr/>
            </w:pPr>
            <w:r>
              <w:rPr/>
              <w:t> </w:t>
            </w:r>
          </w:p>
        </w:tc>
      </w:tr>
      <w:tr>
        <w:trPr/>
        <w:tc>
          <w:tcPr>
            <w:tcW w:w="4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 </w:t>
            </w:r>
          </w:p>
        </w:tc>
        <w:tc>
          <w:tcPr>
            <w:tcW w:w="4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(30</w:t>
            </w:r>
          </w:p>
        </w:tc>
        <w:tc>
          <w:tcPr>
            <w:tcW w:w="256"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(17</w:t>
            </w:r>
          </w:p>
        </w:tc>
        <w:tc>
          <w:tcPr>
            <w:tcW w:w="256"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21</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classifies foreign currency forward contracts as Level 2 fair value measurements pursuant to the fair value hierarchy. See Note 13, </w:t>
      </w:r>
      <w:r>
        <w:rPr>
          <w:rFonts w:ascii="Times New Roman" w:hAnsi="Times New Roman"/>
          <w:i/>
          <w:sz w:val="20"/>
        </w:rPr>
        <w:t>Fair Value</w:t>
      </w:r>
      <w:r>
        <w:rPr>
          <w:rFonts w:ascii="Times New Roman" w:hAnsi="Times New Roman"/>
          <w:sz w:val="20"/>
        </w:rPr>
        <w:t xml:space="preserve"> for further details.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measurement levels for any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fair value hierarchy for the liability measured and recognized at fair value as of March 31, 2023 and 2022 on a recurring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4"/>
        <w:gridCol w:w="203"/>
        <w:gridCol w:w="377"/>
        <w:gridCol w:w="378"/>
        <w:gridCol w:w="60"/>
        <w:gridCol w:w="203"/>
        <w:gridCol w:w="377"/>
        <w:gridCol w:w="378"/>
        <w:gridCol w:w="60"/>
        <w:gridCol w:w="203"/>
        <w:gridCol w:w="377"/>
        <w:gridCol w:w="378"/>
        <w:gridCol w:w="60"/>
        <w:gridCol w:w="203"/>
        <w:gridCol w:w="288"/>
        <w:gridCol w:w="287"/>
        <w:gridCol w:w="60"/>
        <w:gridCol w:w="203"/>
        <w:gridCol w:w="377"/>
        <w:gridCol w:w="378"/>
        <w:gridCol w:w="60"/>
        <w:gridCol w:w="203"/>
        <w:gridCol w:w="377"/>
        <w:gridCol w:w="378"/>
        <w:gridCol w:w="60"/>
        <w:gridCol w:w="203"/>
        <w:gridCol w:w="377"/>
        <w:gridCol w:w="378"/>
        <w:gridCol w:w="60"/>
        <w:gridCol w:w="203"/>
        <w:gridCol w:w="288"/>
        <w:gridCol w:w="287"/>
        <w:gridCol w:w="67"/>
      </w:tblGrid>
      <w:tr>
        <w:trPr/>
        <w:tc>
          <w:tcPr>
            <w:tcW w:w="241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41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521"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7" w:type="dxa"/>
            <w:tcBorders/>
            <w:vAlign w:val="bottom"/>
          </w:tcPr>
          <w:p>
            <w:pPr>
              <w:pStyle w:val="TableContents"/>
              <w:bidi w:val="0"/>
              <w:spacing w:before="0" w:after="283"/>
              <w:jc w:val="left"/>
              <w:rPr/>
            </w:pPr>
            <w:r>
              <w:rPr/>
              <w:t> </w:t>
            </w:r>
          </w:p>
        </w:tc>
      </w:tr>
      <w:tr>
        <w:trPr/>
        <w:tc>
          <w:tcPr>
            <w:tcW w:w="241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62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62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24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03"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24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Financial liabilities</w:t>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414"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28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287" w:type="dxa"/>
            <w:tcBorders/>
            <w:vAlign w:val="bottom"/>
          </w:tcPr>
          <w:p>
            <w:pPr>
              <w:pStyle w:val="TableContents"/>
              <w:bidi w:val="0"/>
              <w:spacing w:before="0" w:after="283"/>
              <w:jc w:val="right"/>
              <w:rPr/>
            </w:pPr>
            <w:r>
              <w:rPr/>
              <w:t>9</w:t>
            </w:r>
          </w:p>
        </w:tc>
        <w:tc>
          <w:tcPr>
            <w:tcW w:w="67" w:type="dxa"/>
            <w:tcBorders/>
            <w:vAlign w:val="bottom"/>
          </w:tcPr>
          <w:p>
            <w:pPr>
              <w:pStyle w:val="TableContents"/>
              <w:bidi w:val="0"/>
              <w:spacing w:before="0" w:after="283"/>
              <w:jc w:val="left"/>
              <w:rPr/>
            </w:pPr>
            <w:r>
              <w:rPr/>
              <w:t> </w:t>
            </w:r>
          </w:p>
        </w:tc>
      </w:tr>
      <w:tr>
        <w:trPr/>
        <w:tc>
          <w:tcPr>
            <w:tcW w:w="24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4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financial liabilities</w:t>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28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287" w:type="dxa"/>
            <w:tcBorders/>
            <w:shd w:fill="CCEEFF" w:val="clear"/>
            <w:vAlign w:val="bottom"/>
          </w:tcPr>
          <w:p>
            <w:pPr>
              <w:pStyle w:val="TableContents"/>
              <w:bidi w:val="0"/>
              <w:spacing w:before="0" w:after="283"/>
              <w:jc w:val="right"/>
              <w:rPr/>
            </w:pPr>
            <w:r>
              <w:rPr/>
              <w:t>9</w:t>
            </w:r>
          </w:p>
        </w:tc>
        <w:tc>
          <w:tcPr>
            <w:tcW w:w="67" w:type="dxa"/>
            <w:tcBorders/>
            <w:shd w:fill="CCEEFF" w:val="clear"/>
            <w:vAlign w:val="bottom"/>
          </w:tcPr>
          <w:p>
            <w:pPr>
              <w:pStyle w:val="TableContents"/>
              <w:bidi w:val="0"/>
              <w:spacing w:before="0" w:after="283"/>
              <w:jc w:val="left"/>
              <w:rPr/>
            </w:pPr>
            <w:r>
              <w:rPr/>
              <w:t> </w:t>
            </w:r>
          </w:p>
        </w:tc>
      </w:tr>
      <w:tr>
        <w:trPr/>
        <w:tc>
          <w:tcPr>
            <w:tcW w:w="24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present the Companys fair value hierarchy for assets measured and recognized at fair value, excluding investments where the NAV practical expedient has been elected as of March 31, 2023 and 2022 on a recurring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5"/>
        <w:gridCol w:w="162"/>
        <w:gridCol w:w="209"/>
        <w:gridCol w:w="578"/>
        <w:gridCol w:w="60"/>
        <w:gridCol w:w="162"/>
        <w:gridCol w:w="264"/>
        <w:gridCol w:w="496"/>
        <w:gridCol w:w="60"/>
        <w:gridCol w:w="162"/>
        <w:gridCol w:w="209"/>
        <w:gridCol w:w="578"/>
        <w:gridCol w:w="60"/>
        <w:gridCol w:w="162"/>
        <w:gridCol w:w="140"/>
        <w:gridCol w:w="585"/>
        <w:gridCol w:w="60"/>
        <w:gridCol w:w="161"/>
        <w:gridCol w:w="209"/>
        <w:gridCol w:w="578"/>
        <w:gridCol w:w="60"/>
        <w:gridCol w:w="162"/>
        <w:gridCol w:w="393"/>
        <w:gridCol w:w="394"/>
        <w:gridCol w:w="60"/>
        <w:gridCol w:w="162"/>
        <w:gridCol w:w="209"/>
        <w:gridCol w:w="578"/>
        <w:gridCol w:w="60"/>
        <w:gridCol w:w="162"/>
        <w:gridCol w:w="140"/>
        <w:gridCol w:w="585"/>
        <w:gridCol w:w="70"/>
      </w:tblGrid>
      <w:tr>
        <w:trPr/>
        <w:tc>
          <w:tcPr>
            <w:tcW w:w="227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98"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70" w:type="dxa"/>
            <w:tcBorders/>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72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75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70" w:type="dxa"/>
            <w:tcBorders/>
            <w:vAlign w:val="bottom"/>
          </w:tcPr>
          <w:p>
            <w:pPr>
              <w:pStyle w:val="TableContents"/>
              <w:bidi w:val="0"/>
              <w:spacing w:before="0" w:after="283"/>
              <w:jc w:val="left"/>
              <w:rPr/>
            </w:pPr>
            <w:r>
              <w:rPr/>
              <w:t> </w:t>
            </w:r>
          </w:p>
        </w:tc>
      </w:tr>
      <w:tr>
        <w:trPr/>
        <w:tc>
          <w:tcPr>
            <w:tcW w:w="22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2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Financial assets</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275"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investments(1)</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661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661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631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631</w:t>
            </w:r>
          </w:p>
        </w:tc>
        <w:tc>
          <w:tcPr>
            <w:tcW w:w="70" w:type="dxa"/>
            <w:tcBorders/>
            <w:vAlign w:val="bottom"/>
          </w:tcPr>
          <w:p>
            <w:pPr>
              <w:pStyle w:val="TableContents"/>
              <w:bidi w:val="0"/>
              <w:spacing w:before="0" w:after="283"/>
              <w:jc w:val="left"/>
              <w:rPr/>
            </w:pPr>
            <w:r>
              <w:rPr/>
              <w:t> </w:t>
            </w:r>
          </w:p>
        </w:tc>
      </w:tr>
      <w:tr>
        <w:trPr/>
        <w:tc>
          <w:tcPr>
            <w:tcW w:w="2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method investments(2)</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482</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482</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524</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524</w:t>
            </w:r>
          </w:p>
        </w:tc>
        <w:tc>
          <w:tcPr>
            <w:tcW w:w="70" w:type="dxa"/>
            <w:tcBorders/>
            <w:shd w:fill="CCEEFF" w:val="clear"/>
            <w:vAlign w:val="bottom"/>
          </w:tcPr>
          <w:p>
            <w:pPr>
              <w:pStyle w:val="TableContents"/>
              <w:bidi w:val="0"/>
              <w:spacing w:before="0" w:after="283"/>
              <w:jc w:val="left"/>
              <w:rPr/>
            </w:pPr>
            <w:r>
              <w:rPr/>
              <w:t> </w:t>
            </w:r>
          </w:p>
        </w:tc>
      </w:tr>
      <w:tr>
        <w:trPr/>
        <w:tc>
          <w:tcPr>
            <w:tcW w:w="227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 receivable</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29</w:t>
            </w:r>
          </w:p>
        </w:tc>
        <w:tc>
          <w:tcPr>
            <w:tcW w:w="70" w:type="dxa"/>
            <w:tcBorders/>
            <w:vAlign w:val="bottom"/>
          </w:tcPr>
          <w:p>
            <w:pPr>
              <w:pStyle w:val="TableContents"/>
              <w:bidi w:val="0"/>
              <w:spacing w:before="0" w:after="283"/>
              <w:jc w:val="left"/>
              <w:rPr/>
            </w:pPr>
            <w:r>
              <w:rPr/>
              <w:t> </w:t>
            </w:r>
          </w:p>
        </w:tc>
      </w:tr>
      <w:tr>
        <w:trPr/>
        <w:tc>
          <w:tcPr>
            <w:tcW w:w="2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27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financial assets</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661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513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1,184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631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553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1,184</w:t>
            </w:r>
          </w:p>
        </w:tc>
        <w:tc>
          <w:tcPr>
            <w:tcW w:w="70" w:type="dxa"/>
            <w:tcBorders/>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investments represent term deposits with banks with a maturity between three and 12 months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Subtopic 820-10, investments that are measured at fair value using the NAV practical expedient are not classified in the fair value hierarchy.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summarizes changes in the fair value, along with other activity associated with the Companys Level 3 financial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Method Investments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4"/>
        <w:gridCol w:w="375"/>
        <w:gridCol w:w="140"/>
        <w:gridCol w:w="381"/>
        <w:gridCol w:w="166"/>
        <w:gridCol w:w="375"/>
        <w:gridCol w:w="140"/>
        <w:gridCol w:w="565"/>
        <w:gridCol w:w="159"/>
      </w:tblGrid>
      <w:tr>
        <w:trPr/>
        <w:tc>
          <w:tcPr>
            <w:tcW w:w="5454"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54"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767" w:type="dxa"/>
            <w:gridSpan w:val="6"/>
            <w:tcBorders/>
            <w:vAlign w:val="bottom"/>
          </w:tcPr>
          <w:p>
            <w:pPr>
              <w:pStyle w:val="TableContents"/>
              <w:bidi w:val="0"/>
              <w:spacing w:before="0" w:after="283"/>
              <w:jc w:val="center"/>
              <w:rPr>
                <w:b/>
              </w:rPr>
            </w:pPr>
            <w:r>
              <w:rPr>
                <w:b/>
              </w:rPr>
              <w:t>As of March 31,</w:t>
            </w:r>
          </w:p>
        </w:tc>
        <w:tc>
          <w:tcPr>
            <w:tcW w:w="159" w:type="dxa"/>
            <w:tcBorders/>
            <w:vAlign w:val="bottom"/>
          </w:tcPr>
          <w:p>
            <w:pPr>
              <w:pStyle w:val="TableContents"/>
              <w:bidi w:val="0"/>
              <w:spacing w:before="0" w:after="283"/>
              <w:jc w:val="left"/>
              <w:rPr/>
            </w:pPr>
            <w:r>
              <w:rPr/>
              <w:t> </w:t>
            </w:r>
          </w:p>
        </w:tc>
      </w:tr>
      <w:tr>
        <w:trPr/>
        <w:tc>
          <w:tcPr>
            <w:tcW w:w="54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75"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54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of financial assets at the beginning of the year</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524</w:t>
            </w:r>
          </w:p>
        </w:tc>
        <w:tc>
          <w:tcPr>
            <w:tcW w:w="16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1,428</w:t>
            </w:r>
          </w:p>
        </w:tc>
        <w:tc>
          <w:tcPr>
            <w:tcW w:w="159" w:type="dxa"/>
            <w:tcBorders/>
            <w:shd w:fill="CCEEFF" w:val="clear"/>
            <w:vAlign w:val="bottom"/>
          </w:tcPr>
          <w:p>
            <w:pPr>
              <w:pStyle w:val="TableContents"/>
              <w:bidi w:val="0"/>
              <w:spacing w:before="0" w:after="283"/>
              <w:jc w:val="left"/>
              <w:rPr/>
            </w:pPr>
            <w:r>
              <w:rPr/>
              <w:t> </w:t>
            </w:r>
          </w:p>
        </w:tc>
      </w:tr>
      <w:tr>
        <w:trPr/>
        <w:tc>
          <w:tcPr>
            <w:tcW w:w="5454" w:type="dxa"/>
            <w:tcBorders/>
          </w:tcPr>
          <w:p>
            <w:pPr>
              <w:pStyle w:val="TableContents"/>
              <w:bidi w:val="0"/>
              <w:spacing w:before="0" w:after="0"/>
              <w:jc w:val="left"/>
              <w:rPr>
                <w:rFonts w:ascii="Times New Roman" w:hAnsi="Times New Roman"/>
                <w:sz w:val="20"/>
              </w:rPr>
            </w:pPr>
            <w:r>
              <w:rPr>
                <w:rFonts w:ascii="Times New Roman" w:hAnsi="Times New Roman"/>
                <w:sz w:val="20"/>
              </w:rPr>
              <w:t>Additions, net of contributions from shareholders of the Company</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(losses) recognized in the income statement</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(42</w:t>
            </w:r>
          </w:p>
        </w:tc>
        <w:tc>
          <w:tcPr>
            <w:tcW w:w="16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72</w:t>
            </w:r>
          </w:p>
        </w:tc>
        <w:tc>
          <w:tcPr>
            <w:tcW w:w="159" w:type="dxa"/>
            <w:tcBorders/>
            <w:shd w:fill="CCEEFF" w:val="clear"/>
            <w:vAlign w:val="bottom"/>
          </w:tcPr>
          <w:p>
            <w:pPr>
              <w:pStyle w:val="TableContents"/>
              <w:bidi w:val="0"/>
              <w:spacing w:before="0" w:after="283"/>
              <w:jc w:val="left"/>
              <w:rPr/>
            </w:pPr>
            <w:r>
              <w:rPr/>
              <w:t> </w:t>
            </w:r>
          </w:p>
        </w:tc>
      </w:tr>
      <w:tr>
        <w:trPr/>
        <w:tc>
          <w:tcPr>
            <w:tcW w:w="545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shareholders of the Company</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(976</w:t>
            </w:r>
          </w:p>
        </w:tc>
        <w:tc>
          <w:tcPr>
            <w:tcW w:w="159" w:type="dxa"/>
            <w:tcBorders/>
            <w:vAlign w:val="bottom"/>
          </w:tcPr>
          <w:p>
            <w:pPr>
              <w:pStyle w:val="TableContents"/>
              <w:bidi w:val="0"/>
              <w:spacing w:before="0" w:after="283"/>
              <w:jc w:val="left"/>
              <w:rPr/>
            </w:pPr>
            <w:r>
              <w:rPr/>
              <w:t>) </w:t>
            </w:r>
          </w:p>
        </w:tc>
      </w:tr>
      <w:tr>
        <w:trPr/>
        <w:tc>
          <w:tcPr>
            <w:tcW w:w="5454"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4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at the end of the year</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482</w:t>
            </w:r>
          </w:p>
        </w:tc>
        <w:tc>
          <w:tcPr>
            <w:tcW w:w="16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524</w:t>
            </w:r>
          </w:p>
        </w:tc>
        <w:tc>
          <w:tcPr>
            <w:tcW w:w="159" w:type="dxa"/>
            <w:tcBorders/>
            <w:shd w:fill="CCEEFF" w:val="clear"/>
            <w:vAlign w:val="bottom"/>
          </w:tcPr>
          <w:p>
            <w:pPr>
              <w:pStyle w:val="TableContents"/>
              <w:bidi w:val="0"/>
              <w:spacing w:before="0" w:after="283"/>
              <w:jc w:val="left"/>
              <w:rPr/>
            </w:pPr>
            <w:r>
              <w:rPr/>
              <w:t> </w:t>
            </w:r>
          </w:p>
        </w:tc>
      </w:tr>
      <w:tr>
        <w:trPr/>
        <w:tc>
          <w:tcPr>
            <w:tcW w:w="5454"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Loans Receivable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16"/>
        <w:gridCol w:w="504"/>
        <w:gridCol w:w="233"/>
        <w:gridCol w:w="272"/>
        <w:gridCol w:w="61"/>
        <w:gridCol w:w="506"/>
        <w:gridCol w:w="229"/>
        <w:gridCol w:w="276"/>
        <w:gridCol w:w="158"/>
      </w:tblGrid>
      <w:tr>
        <w:trPr/>
        <w:tc>
          <w:tcPr>
            <w:tcW w:w="5516"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6"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577" w:type="dxa"/>
            <w:gridSpan w:val="6"/>
            <w:tcBorders/>
            <w:vAlign w:val="bottom"/>
          </w:tcPr>
          <w:p>
            <w:pPr>
              <w:pStyle w:val="TableContents"/>
              <w:bidi w:val="0"/>
              <w:spacing w:before="0" w:after="283"/>
              <w:jc w:val="center"/>
              <w:rPr>
                <w:b/>
              </w:rPr>
            </w:pPr>
            <w:r>
              <w:rPr>
                <w:b/>
              </w:rPr>
              <w:t>As of March 31,</w:t>
            </w:r>
          </w:p>
        </w:tc>
        <w:tc>
          <w:tcPr>
            <w:tcW w:w="158"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504"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1"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of financial assets at the beginning of the year</w:t>
            </w:r>
          </w:p>
        </w:tc>
        <w:tc>
          <w:tcPr>
            <w:tcW w:w="50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right"/>
              <w:rPr/>
            </w:pPr>
            <w:r>
              <w:rPr/>
              <w:t>29</w:t>
            </w:r>
          </w:p>
        </w:tc>
        <w:tc>
          <w:tcPr>
            <w:tcW w:w="61"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5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right"/>
              <w:rPr/>
            </w:pPr>
            <w:r>
              <w:rPr/>
              <w:t>29</w:t>
            </w:r>
          </w:p>
        </w:tc>
        <w:tc>
          <w:tcPr>
            <w:tcW w:w="158"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Converted into equity</w:t>
            </w:r>
          </w:p>
        </w:tc>
        <w:tc>
          <w:tcPr>
            <w:tcW w:w="50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gains recognized in the income statement</w:t>
            </w:r>
          </w:p>
        </w:tc>
        <w:tc>
          <w:tcPr>
            <w:tcW w:w="5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at the end of the year</w:t>
            </w:r>
          </w:p>
        </w:tc>
        <w:tc>
          <w:tcPr>
            <w:tcW w:w="50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right"/>
              <w:rPr/>
            </w:pPr>
            <w:r>
              <w:rPr/>
              <w:t>31</w:t>
            </w:r>
          </w:p>
        </w:tc>
        <w:tc>
          <w:tcPr>
            <w:tcW w:w="61"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below for a description of the valuation techniques and inputs used in the fair value measurement of Level 3 investments including equity method investments, convertible loans receivable, and currency exchange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elected the fair value option in accordance with the guidance in ASC 825, </w:t>
      </w:r>
      <w:r>
        <w:rPr>
          <w:rFonts w:ascii="Times New Roman" w:hAnsi="Times New Roman"/>
          <w:i/>
          <w:sz w:val="20"/>
        </w:rPr>
        <w:t>Financial Instruments</w:t>
      </w:r>
      <w:r>
        <w:rPr>
          <w:rFonts w:ascii="Times New Roman" w:hAnsi="Times New Roman"/>
          <w:sz w:val="20"/>
        </w:rPr>
        <w:t xml:space="preserve"> (ASC 825) for its investments in Arm China,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(i) the market-calibration approach based on the guideline public company method and/or (ii) subject to availability of sufficient information, the income approach based on the discounted cash flow method and iii) the probability-weighted, expected return (PWER) approach. </w:t>
      </w:r>
    </w:p>
    <w:p>
      <w:pPr>
        <w:pStyle w:val="TextBody"/>
        <w:bidi w:val="0"/>
        <w:spacing w:before="240" w:after="0"/>
        <w:jc w:val="left"/>
        <w:rPr>
          <w:rFonts w:ascii="Times New Roman" w:hAnsi="Times New Roman"/>
          <w:sz w:val="20"/>
        </w:rPr>
      </w:pPr>
      <w:r>
        <w:rPr>
          <w:rFonts w:ascii="Times New Roman" w:hAnsi="Times New Roman"/>
          <w:sz w:val="20"/>
        </w:rPr>
        <w:t xml:space="preserve">The market-calibration approach considers valuation multiples that are calibrated to the valuation as of the prior valuation date (i.e., quarterly) based on: (a) 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 </w:t>
      </w:r>
    </w:p>
    <w:p>
      <w:pPr>
        <w:pStyle w:val="TextBody"/>
        <w:bidi w:val="0"/>
        <w:spacing w:before="240" w:after="0"/>
        <w:jc w:val="left"/>
        <w:rPr>
          <w:rFonts w:ascii="Times New Roman" w:hAnsi="Times New Roman"/>
          <w:sz w:val="20"/>
        </w:rPr>
      </w:pPr>
      <w:r>
        <w:rPr>
          <w:rFonts w:ascii="Times New Roman" w:hAnsi="Times New Roman"/>
          <w:sz w:val="20"/>
        </w:rPr>
        <w:t xml:space="preserve">Prior to March 31, 2022, the income approach was used to measure the fair value of Ampere. For the fiscal year ended March 31, 2023, the PWERM approach was used for the fair value measurement. 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quantitative information related to certain key assumptions utilized in the valuation of equity method investments accounted for under the fair value option: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01"/>
        <w:gridCol w:w="226"/>
        <w:gridCol w:w="113"/>
        <w:gridCol w:w="943"/>
        <w:gridCol w:w="60"/>
        <w:gridCol w:w="157"/>
        <w:gridCol w:w="2132"/>
        <w:gridCol w:w="157"/>
        <w:gridCol w:w="2323"/>
        <w:gridCol w:w="157"/>
        <w:gridCol w:w="2036"/>
      </w:tblGrid>
      <w:tr>
        <w:trPr/>
        <w:tc>
          <w:tcPr>
            <w:tcW w:w="190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 of March 31, 2023</w:t>
            </w:r>
          </w:p>
        </w:tc>
      </w:tr>
      <w:tr>
        <w:trPr/>
        <w:tc>
          <w:tcPr>
            <w:tcW w:w="19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26"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32" w:type="dxa"/>
            <w:tcBorders>
              <w:bottom w:val="single" w:sz="8" w:space="0" w:color="000000"/>
            </w:tcBorders>
            <w:tcMar>
              <w:bottom w:w="28" w:type="dxa"/>
            </w:tcMar>
            <w:vAlign w:val="bottom"/>
          </w:tcPr>
          <w:p>
            <w:pPr>
              <w:pStyle w:val="TableContents"/>
              <w:bidi w:val="0"/>
              <w:spacing w:before="0" w:after="283"/>
              <w:jc w:val="center"/>
              <w:rPr/>
            </w:pPr>
            <w:r>
              <w:rPr>
                <w:b/>
              </w:rPr>
              <w:t>Valuation</w:t>
            </w:r>
            <w:r>
              <w:rPr/>
              <w:br/>
            </w:r>
            <w:r>
              <w:rPr>
                <w:b/>
              </w:rPr>
              <w:t>Technique</w:t>
            </w:r>
          </w:p>
        </w:tc>
        <w:tc>
          <w:tcPr>
            <w:tcW w:w="157" w:type="dxa"/>
            <w:tcBorders/>
            <w:vAlign w:val="bottom"/>
          </w:tcPr>
          <w:p>
            <w:pPr>
              <w:pStyle w:val="TableContents"/>
              <w:bidi w:val="0"/>
              <w:spacing w:before="0" w:after="283"/>
              <w:jc w:val="left"/>
              <w:rPr/>
            </w:pPr>
            <w:r>
              <w:rPr/>
              <w:t>  </w:t>
            </w:r>
          </w:p>
        </w:tc>
        <w:tc>
          <w:tcPr>
            <w:tcW w:w="2323" w:type="dxa"/>
            <w:tcBorders>
              <w:bottom w:val="single" w:sz="8" w:space="0" w:color="000000"/>
            </w:tcBorders>
            <w:tcMar>
              <w:bottom w:w="28" w:type="dxa"/>
            </w:tcMar>
            <w:vAlign w:val="bottom"/>
          </w:tcPr>
          <w:p>
            <w:pPr>
              <w:pStyle w:val="TableContents"/>
              <w:bidi w:val="0"/>
              <w:spacing w:before="0" w:after="283"/>
              <w:jc w:val="center"/>
              <w:rPr/>
            </w:pPr>
            <w:r>
              <w:rPr>
                <w:b/>
              </w:rPr>
              <w:t>Unobservable</w:t>
            </w:r>
            <w:r>
              <w:rPr/>
              <w:br/>
            </w:r>
            <w:r>
              <w:rPr>
                <w:b/>
              </w:rPr>
              <w:t>Inputs</w:t>
            </w:r>
          </w:p>
        </w:tc>
        <w:tc>
          <w:tcPr>
            <w:tcW w:w="157" w:type="dxa"/>
            <w:tcBorders/>
            <w:vAlign w:val="bottom"/>
          </w:tcPr>
          <w:p>
            <w:pPr>
              <w:pStyle w:val="TableContents"/>
              <w:bidi w:val="0"/>
              <w:spacing w:before="0" w:after="283"/>
              <w:jc w:val="left"/>
              <w:rPr/>
            </w:pPr>
            <w:r>
              <w:rPr/>
              <w:t>  </w:t>
            </w:r>
          </w:p>
        </w:tc>
        <w:tc>
          <w:tcPr>
            <w:tcW w:w="2036" w:type="dxa"/>
            <w:tcBorders>
              <w:bottom w:val="single" w:sz="8" w:space="0" w:color="000000"/>
            </w:tcBorders>
            <w:tcMar>
              <w:bottom w:w="28" w:type="dxa"/>
            </w:tcMar>
            <w:vAlign w:val="bottom"/>
          </w:tcPr>
          <w:p>
            <w:pPr>
              <w:pStyle w:val="TableContents"/>
              <w:bidi w:val="0"/>
              <w:spacing w:before="0" w:after="283"/>
              <w:jc w:val="center"/>
              <w:rPr>
                <w:b/>
              </w:rPr>
            </w:pPr>
            <w:r>
              <w:rPr>
                <w:b/>
              </w:rPr>
              <w:t>Range of Estimates</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Equity Method Investments</w:t>
            </w:r>
          </w:p>
        </w:tc>
        <w:tc>
          <w:tcPr>
            <w:tcW w:w="22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$482</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32" w:type="dxa"/>
            <w:tcBorders/>
            <w:vAlign w:val="bottom"/>
          </w:tcPr>
          <w:p>
            <w:pPr>
              <w:pStyle w:val="TableContents"/>
              <w:bidi w:val="0"/>
              <w:spacing w:before="0" w:after="283"/>
              <w:jc w:val="center"/>
              <w:rPr/>
            </w:pPr>
            <w:r>
              <w:rPr/>
              <w:t>Acetone </w:t>
              <w:br/>
              <w:t>Market-Calibration or</w:t>
              <w:br/>
              <w:t>discounted cash flow</w:t>
            </w:r>
          </w:p>
        </w:tc>
        <w:tc>
          <w:tcPr>
            <w:tcW w:w="157" w:type="dxa"/>
            <w:tcBorders/>
            <w:vAlign w:val="bottom"/>
          </w:tcPr>
          <w:p>
            <w:pPr>
              <w:pStyle w:val="TableContents"/>
              <w:bidi w:val="0"/>
              <w:spacing w:before="0" w:after="283"/>
              <w:jc w:val="left"/>
              <w:rPr/>
            </w:pPr>
            <w:r>
              <w:rPr/>
              <w:t>  </w:t>
            </w:r>
          </w:p>
        </w:tc>
        <w:tc>
          <w:tcPr>
            <w:tcW w:w="2323" w:type="dxa"/>
            <w:tcBorders/>
            <w:vAlign w:val="bottom"/>
          </w:tcPr>
          <w:p>
            <w:pPr>
              <w:pStyle w:val="TableContents"/>
              <w:bidi w:val="0"/>
              <w:spacing w:before="0" w:after="283"/>
              <w:jc w:val="center"/>
              <w:rPr/>
            </w:pPr>
            <w:r>
              <w:rPr/>
              <w:t>LTM Revenue Multiple</w:t>
            </w:r>
          </w:p>
        </w:tc>
        <w:tc>
          <w:tcPr>
            <w:tcW w:w="157" w:type="dxa"/>
            <w:tcBorders/>
            <w:vAlign w:val="bottom"/>
          </w:tcPr>
          <w:p>
            <w:pPr>
              <w:pStyle w:val="TableContents"/>
              <w:bidi w:val="0"/>
              <w:spacing w:before="0" w:after="283"/>
              <w:jc w:val="left"/>
              <w:rPr/>
            </w:pPr>
            <w:r>
              <w:rPr/>
              <w:t>  </w:t>
            </w:r>
          </w:p>
        </w:tc>
        <w:tc>
          <w:tcPr>
            <w:tcW w:w="2036" w:type="dxa"/>
            <w:tcBorders/>
            <w:vAlign w:val="bottom"/>
          </w:tcPr>
          <w:p>
            <w:pPr>
              <w:pStyle w:val="TableContents"/>
              <w:bidi w:val="0"/>
              <w:spacing w:before="0" w:after="283"/>
              <w:jc w:val="center"/>
              <w:rPr/>
            </w:pPr>
            <w:r>
              <w:rPr/>
              <w:t>2.1x  2.3x </w:t>
            </w:r>
          </w:p>
        </w:tc>
      </w:tr>
      <w:tr>
        <w:trPr/>
        <w:tc>
          <w:tcPr>
            <w:tcW w:w="1901"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132" w:type="dxa"/>
            <w:tcBorders/>
            <w:vAlign w:val="bottom"/>
          </w:tcPr>
          <w:p>
            <w:pPr>
              <w:pStyle w:val="TableContents"/>
              <w:bidi w:val="0"/>
              <w:spacing w:before="0" w:after="283"/>
              <w:jc w:val="center"/>
              <w:rPr/>
            </w:pPr>
            <w:r>
              <w:rPr/>
              <w:t>Ampere- PWER</w:t>
            </w:r>
          </w:p>
        </w:tc>
        <w:tc>
          <w:tcPr>
            <w:tcW w:w="157" w:type="dxa"/>
            <w:tcBorders/>
            <w:vAlign w:val="bottom"/>
          </w:tcPr>
          <w:p>
            <w:pPr>
              <w:pStyle w:val="TableContents"/>
              <w:bidi w:val="0"/>
              <w:spacing w:before="0" w:after="283"/>
              <w:jc w:val="left"/>
              <w:rPr/>
            </w:pPr>
            <w:r>
              <w:rPr/>
              <w:t>  </w:t>
            </w:r>
          </w:p>
        </w:tc>
        <w:tc>
          <w:tcPr>
            <w:tcW w:w="2323" w:type="dxa"/>
            <w:tcBorders/>
            <w:vAlign w:val="bottom"/>
          </w:tcPr>
          <w:p>
            <w:pPr>
              <w:pStyle w:val="TableContents"/>
              <w:bidi w:val="0"/>
              <w:spacing w:before="0" w:after="283"/>
              <w:jc w:val="center"/>
              <w:rPr/>
            </w:pPr>
            <w:r>
              <w:rPr/>
              <w:t>Probability of success</w:t>
              <w:br/>
              <w:t>IPO, time to future exit</w:t>
              <w:br/>
              <w:t>scenario, discount rate</w:t>
            </w:r>
          </w:p>
        </w:tc>
        <w:tc>
          <w:tcPr>
            <w:tcW w:w="157" w:type="dxa"/>
            <w:tcBorders/>
            <w:vAlign w:val="bottom"/>
          </w:tcPr>
          <w:p>
            <w:pPr>
              <w:pStyle w:val="TableContents"/>
              <w:bidi w:val="0"/>
              <w:spacing w:before="0" w:after="283"/>
              <w:jc w:val="left"/>
              <w:rPr/>
            </w:pPr>
            <w:r>
              <w:rPr/>
              <w:t>  </w:t>
            </w:r>
          </w:p>
        </w:tc>
        <w:tc>
          <w:tcPr>
            <w:tcW w:w="2036" w:type="dxa"/>
            <w:tcBorders/>
            <w:vAlign w:val="bottom"/>
          </w:tcPr>
          <w:p>
            <w:pPr>
              <w:pStyle w:val="TableContents"/>
              <w:bidi w:val="0"/>
              <w:spacing w:before="0" w:after="283"/>
              <w:jc w:val="center"/>
              <w:rPr/>
            </w:pPr>
            <w:r>
              <w:rPr/>
              <w:t>Probability weighted</w:t>
              <w:br/>
              <w:t> 100%, Time to</w:t>
              <w:br/>
              <w:t>future exit scenario</w:t>
              <w:br/>
              <w:t> 1.3 years, discount</w:t>
              <w:br/>
              <w:t>rate  18.61%</w:t>
            </w:r>
          </w:p>
        </w:tc>
      </w:tr>
      <w:tr>
        <w:trPr>
          <w:trHeight w:val="240" w:hRule="atLeast"/>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 of March 31, 2022</w:t>
            </w:r>
          </w:p>
        </w:tc>
      </w:tr>
      <w:tr>
        <w:trPr/>
        <w:tc>
          <w:tcPr>
            <w:tcW w:w="19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26"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32" w:type="dxa"/>
            <w:tcBorders>
              <w:bottom w:val="single" w:sz="8" w:space="0" w:color="000000"/>
            </w:tcBorders>
            <w:tcMar>
              <w:bottom w:w="28" w:type="dxa"/>
            </w:tcMar>
            <w:vAlign w:val="bottom"/>
          </w:tcPr>
          <w:p>
            <w:pPr>
              <w:pStyle w:val="TableContents"/>
              <w:bidi w:val="0"/>
              <w:spacing w:before="0" w:after="283"/>
              <w:jc w:val="center"/>
              <w:rPr/>
            </w:pPr>
            <w:r>
              <w:rPr>
                <w:b/>
              </w:rPr>
              <w:t>Valuation</w:t>
            </w:r>
            <w:r>
              <w:rPr/>
              <w:br/>
            </w:r>
            <w:r>
              <w:rPr>
                <w:b/>
              </w:rPr>
              <w:t>Technique</w:t>
            </w:r>
          </w:p>
        </w:tc>
        <w:tc>
          <w:tcPr>
            <w:tcW w:w="157" w:type="dxa"/>
            <w:tcBorders/>
            <w:vAlign w:val="bottom"/>
          </w:tcPr>
          <w:p>
            <w:pPr>
              <w:pStyle w:val="TableContents"/>
              <w:bidi w:val="0"/>
              <w:spacing w:before="0" w:after="283"/>
              <w:jc w:val="left"/>
              <w:rPr/>
            </w:pPr>
            <w:r>
              <w:rPr/>
              <w:t>  </w:t>
            </w:r>
          </w:p>
        </w:tc>
        <w:tc>
          <w:tcPr>
            <w:tcW w:w="2323" w:type="dxa"/>
            <w:tcBorders>
              <w:bottom w:val="single" w:sz="8" w:space="0" w:color="000000"/>
            </w:tcBorders>
            <w:tcMar>
              <w:bottom w:w="28" w:type="dxa"/>
            </w:tcMar>
            <w:vAlign w:val="bottom"/>
          </w:tcPr>
          <w:p>
            <w:pPr>
              <w:pStyle w:val="TableContents"/>
              <w:bidi w:val="0"/>
              <w:spacing w:before="0" w:after="283"/>
              <w:jc w:val="center"/>
              <w:rPr/>
            </w:pPr>
            <w:r>
              <w:rPr>
                <w:b/>
              </w:rPr>
              <w:t>Unobservable</w:t>
            </w:r>
            <w:r>
              <w:rPr/>
              <w:br/>
            </w:r>
            <w:r>
              <w:rPr>
                <w:b/>
              </w:rPr>
              <w:t>Inputs</w:t>
            </w:r>
          </w:p>
        </w:tc>
        <w:tc>
          <w:tcPr>
            <w:tcW w:w="157" w:type="dxa"/>
            <w:tcBorders/>
            <w:vAlign w:val="bottom"/>
          </w:tcPr>
          <w:p>
            <w:pPr>
              <w:pStyle w:val="TableContents"/>
              <w:bidi w:val="0"/>
              <w:spacing w:before="0" w:after="283"/>
              <w:jc w:val="left"/>
              <w:rPr/>
            </w:pPr>
            <w:r>
              <w:rPr/>
              <w:t>  </w:t>
            </w:r>
          </w:p>
        </w:tc>
        <w:tc>
          <w:tcPr>
            <w:tcW w:w="2036" w:type="dxa"/>
            <w:tcBorders>
              <w:bottom w:val="single" w:sz="8" w:space="0" w:color="000000"/>
            </w:tcBorders>
            <w:tcMar>
              <w:bottom w:w="28" w:type="dxa"/>
            </w:tcMar>
            <w:vAlign w:val="bottom"/>
          </w:tcPr>
          <w:p>
            <w:pPr>
              <w:pStyle w:val="TableContents"/>
              <w:bidi w:val="0"/>
              <w:spacing w:before="0" w:after="283"/>
              <w:jc w:val="center"/>
              <w:rPr>
                <w:b/>
              </w:rPr>
            </w:pPr>
            <w:r>
              <w:rPr>
                <w:b/>
              </w:rPr>
              <w:t>Range of Estimates</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Equity Method Investments</w:t>
            </w:r>
          </w:p>
        </w:tc>
        <w:tc>
          <w:tcPr>
            <w:tcW w:w="22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$524</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32" w:type="dxa"/>
            <w:tcBorders/>
            <w:vAlign w:val="bottom"/>
          </w:tcPr>
          <w:p>
            <w:pPr>
              <w:pStyle w:val="TableContents"/>
              <w:bidi w:val="0"/>
              <w:spacing w:before="0" w:after="283"/>
              <w:jc w:val="center"/>
              <w:rPr/>
            </w:pPr>
            <w:r>
              <w:rPr/>
              <w:t>Market-Calibration or</w:t>
              <w:br/>
              <w:t>discounted cash flow</w:t>
            </w:r>
          </w:p>
        </w:tc>
        <w:tc>
          <w:tcPr>
            <w:tcW w:w="157" w:type="dxa"/>
            <w:tcBorders/>
            <w:vAlign w:val="bottom"/>
          </w:tcPr>
          <w:p>
            <w:pPr>
              <w:pStyle w:val="TableContents"/>
              <w:bidi w:val="0"/>
              <w:spacing w:before="0" w:after="283"/>
              <w:jc w:val="left"/>
              <w:rPr/>
            </w:pPr>
            <w:r>
              <w:rPr/>
              <w:t>  </w:t>
            </w:r>
          </w:p>
        </w:tc>
        <w:tc>
          <w:tcPr>
            <w:tcW w:w="2323" w:type="dxa"/>
            <w:tcBorders/>
            <w:vAlign w:val="bottom"/>
          </w:tcPr>
          <w:p>
            <w:pPr>
              <w:pStyle w:val="TableContents"/>
              <w:bidi w:val="0"/>
              <w:spacing w:before="0" w:after="283"/>
              <w:jc w:val="center"/>
              <w:rPr/>
            </w:pPr>
            <w:r>
              <w:rPr/>
              <w:t>LTM Revenue Multiple</w:t>
              <w:br/>
              <w:t>or projected cash flows</w:t>
            </w:r>
          </w:p>
        </w:tc>
        <w:tc>
          <w:tcPr>
            <w:tcW w:w="157" w:type="dxa"/>
            <w:tcBorders/>
            <w:vAlign w:val="bottom"/>
          </w:tcPr>
          <w:p>
            <w:pPr>
              <w:pStyle w:val="TableContents"/>
              <w:bidi w:val="0"/>
              <w:spacing w:before="0" w:after="283"/>
              <w:jc w:val="left"/>
              <w:rPr/>
            </w:pPr>
            <w:r>
              <w:rPr/>
              <w:t>  </w:t>
            </w:r>
          </w:p>
        </w:tc>
        <w:tc>
          <w:tcPr>
            <w:tcW w:w="2036" w:type="dxa"/>
            <w:tcBorders/>
            <w:vAlign w:val="bottom"/>
          </w:tcPr>
          <w:p>
            <w:pPr>
              <w:pStyle w:val="TableContents"/>
              <w:bidi w:val="0"/>
              <w:spacing w:before="0" w:after="283"/>
              <w:jc w:val="center"/>
              <w:rPr/>
            </w:pPr>
            <w:r>
              <w:rPr/>
              <w:t>2.6x  3.1x or</w:t>
              <w:br/>
              <w:t>probability weighted</w:t>
              <w:br/>
              <w:t>cash flows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Convertible Loans ReceivableAmpere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the Company acquired a $29.0 million convertible promissory note in Ampere, which is included in other non-current assets on the Consolidated Balance Sheets. As of March 31, 2023, the Companys maximum exposure to loss are the amounts invested in, and advanced to, Ampere. As of March 31, 2023 and 2022, the Company has not converted any of its convertible promissory note into equity.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 </w:t>
      </w:r>
    </w:p>
    <w:p>
      <w:pPr>
        <w:pStyle w:val="TextBody"/>
        <w:bidi w:val="0"/>
        <w:spacing w:before="240" w:after="0"/>
        <w:jc w:val="left"/>
        <w:rPr>
          <w:rFonts w:ascii="Times New Roman" w:hAnsi="Times New Roman"/>
          <w:sz w:val="20"/>
        </w:rPr>
      </w:pPr>
      <w:r>
        <w:rPr>
          <w:rFonts w:ascii="Times New Roman" w:hAnsi="Times New Roman"/>
          <w:sz w:val="20"/>
        </w:rPr>
        <w:t xml:space="preserve">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 </w:t>
      </w:r>
    </w:p>
    <w:p>
      <w:pPr>
        <w:pStyle w:val="TextBody"/>
        <w:bidi w:val="0"/>
        <w:spacing w:before="240" w:after="0"/>
        <w:jc w:val="left"/>
        <w:rPr>
          <w:rFonts w:ascii="Times New Roman" w:hAnsi="Times New Roman"/>
          <w:sz w:val="20"/>
        </w:rPr>
      </w:pPr>
      <w:r>
        <w:rPr>
          <w:rFonts w:ascii="Times New Roman" w:hAnsi="Times New Roman"/>
          <w:sz w:val="20"/>
        </w:rPr>
        <w:t xml:space="preserve">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March 31, 2023 and 2022, the Company has not recognized any credit losses related to this convertible loan.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calculated using significant unobservable inputs did not differ materially from the amortized cost basis for the fiscal year ended March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Currency Exchange Contracts </w:t>
      </w:r>
    </w:p>
    <w:p>
      <w:pPr>
        <w:pStyle w:val="TextBody"/>
        <w:bidi w:val="0"/>
        <w:spacing w:before="120" w:after="0"/>
        <w:jc w:val="left"/>
        <w:rPr>
          <w:rFonts w:ascii="Times New Roman" w:hAnsi="Times New Roman"/>
          <w:sz w:val="20"/>
        </w:rPr>
      </w:pPr>
      <w:r>
        <w:rPr>
          <w:rFonts w:ascii="Times New Roman" w:hAnsi="Times New Roman"/>
          <w:sz w:val="20"/>
        </w:rPr>
        <w:t xml:space="preserve">For currency exchange contracts, these contracts are valued at the present value of future cash flows based on forward exchange rates at the balance sheet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Equity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Cash Dividends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2021, a cash dividend of $750.0 million ($0.73 per ordinary share) was declared and paid to ordinary shareholders. No other dividends were declared or paid in the reporting periods presented in the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Shareholder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In June 2021, the Company distributed its ownership in Treasure Data to the immediate shareholders of the Company at a value of $44.2 million. See Note 4, </w:t>
      </w:r>
      <w:r>
        <w:rPr>
          <w:rFonts w:ascii="Times New Roman" w:hAnsi="Times New Roman"/>
          <w:i/>
          <w:sz w:val="20"/>
        </w:rPr>
        <w:t>Discontinued Operations</w:t>
      </w:r>
      <w:r>
        <w:rPr>
          <w:rFonts w:ascii="Times New Roman" w:hAnsi="Times New Roman"/>
          <w:sz w:val="20"/>
        </w:rPr>
        <w:t xml:space="preserve">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March 2022, the Company distributed its ownership in Arm China to the immediate shareholders of the Company, which represented a non-cash distribution of $975.7 million. See Note 10, </w:t>
      </w:r>
      <w:r>
        <w:rPr>
          <w:rFonts w:ascii="Times New Roman" w:hAnsi="Times New Roman"/>
          <w:i/>
          <w:sz w:val="20"/>
        </w:rPr>
        <w:t>Equity Investments</w:t>
      </w:r>
      <w:r>
        <w:rPr>
          <w:rFonts w:ascii="Times New Roman" w:hAnsi="Times New Roman"/>
          <w:sz w:val="20"/>
        </w:rPr>
        <w:t xml:space="preserve"> for further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Restructuring and Other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March 2022, the Company announced a restructuring plan to align its workforce with strategic business activities and to improve efficiencies in its operations. As a result of the restructuring plan,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recognized a liability of $25.8 million as of March 31, 2022. The liability of $25.8 million is included in other current liabilities on the Consolidated Balance Sheets, of which $17.4 million related to estimated one-time employee termination benefit costs and $8.4 million related to costs associated with existing benefit arrangements. For the fiscal years ended March 31, 2023 and 2022, the Company recognized restructuring expenses of $1.5 million and $25.8 million in restructuring and related costs on the Consolidated Income Statements in connection with these activities. Restructuring activities were completed and the outstanding restructuring liability settled in the fiscal year ended March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had the following share-based payment arrangements during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Share UnitsThe Arm Limited All Employee Plan 2019 (2019 AEP)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2019, an RSU plan was established for all employees of the Company. Vesting of these RSUs under the 2019 AEP requires the continuous service of the employees through the vesting date, is subject to the achievement of a market condition target, and vesting occurs on the earliest of the following: (1) the occurrence of one of various events comprising a change in control of the Company, (2) an initial public offering, or (3) the passage of time with the date being March 9, 2026. The market condition target is tied to the valuation of the Company upon vesting. The plan allows for either share or cash settlement of the RSUs at the discretion of the Companys remuneration committee. Upon the occurrence of a change in control or an initial public offering, and at the discretion of the Companys remuneration committee, each RSU converts into one ordinary share on the vesting date. Conversely, upon the passage of time, each RSU is settled in cash at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For all periods presented, a change in control or an initial public offering is generally not considered probable until it has occurred. Accordingly, the RSUs will only be settled in cash upon the passage of time and are accounted as liability-classified awards. The Company also maintains a subplan for employees of its subsidiary, Arm Technology Israel Ltd. (Arm Israel), in which RSUs will be settled in cash at the vesting date upon the occurrence of a change in control, initial public offering or the passage of time with a long-stop date of March 9, 2026. </w:t>
      </w:r>
    </w:p>
    <w:p>
      <w:pPr>
        <w:pStyle w:val="TextBody"/>
        <w:bidi w:val="0"/>
        <w:spacing w:before="240" w:after="0"/>
        <w:jc w:val="left"/>
        <w:rPr>
          <w:rFonts w:ascii="Times New Roman" w:hAnsi="Times New Roman"/>
          <w:sz w:val="20"/>
        </w:rPr>
      </w:pPr>
      <w:r>
        <w:rPr>
          <w:rFonts w:ascii="Times New Roman" w:hAnsi="Times New Roman"/>
          <w:sz w:val="20"/>
        </w:rPr>
        <w:t xml:space="preserve">Vesting requires continuous service until the passage of time and employees may elect not to participate in the plan. RSUs are settled in cash at the vesting date and neither carry rights to dividends nor voting rights. Awards are forfeited if an employee leaves the Company before the RSUs vest. For all periods presented, the aggregate nominal amount of shares over which the Companys remuneration committee may grant awards under the 2019 AEP will be limited so that it does not exceed at any time an amount equal to 2.2 percent of the aggregate nominal amount of the Companys fully diluted equity share capital. As of March 31, 2023, 2022 and 2021, 11,601,185, 13,507,360 and 14,817,424 RSUs were outstanding,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2023, 2022, and 2021, $56.0 million, 30.8 million and $37.5 million of share-based compensation cost respectively, and $11.6 million, $5.4 million and $3.2 million of tax benefit, respectively, was recognized. As of March 31, 2023 and 2022, $114.2 million and $74.0 million was recognized as a liability for the liability-classified RSUs under the 2019 AEP in the non-current portion of accrued compensation and share-based compensation on the Consolidated Balance Sheets, respectively. As of March 31, 2023, there was $156.5 million of total unrecognized compensation cost related to awards issued under the 2019 AEP expected to be recognized over a weighted-average period of 2.94 years.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starting from May 2022 through June 2022, the Companys remuneration committee modified the terms of the 2019 AEP to accelerate the vesting for approximately 435 employees affected by restructuring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activities initiated in the year ended March 31, 2022. The affected participants of the plan were provided the option to i) settle all unvested RSUs for a cash payment equivalent to the product of (a) a fixed amount as determined by the Companys remuneration committee (b) 50% of the number of RSUs held by the participant, or ii) retain the RSUs until they become vested pursuant to the original vesting terms. The Company accounted for this acceleration as a modification of vesting in connection with a settlement which resulted in the recognition of incremental share-based compensation cost. For the year ended March 31, 2023, the Company recognized incremental share-based compensation cost of $11.8 million related to the cash receipt option and $2.2 million related to the RSUs retention option.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identifies the RSU activity under the 2019 AEP for all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16"/>
        <w:gridCol w:w="215"/>
        <w:gridCol w:w="60"/>
        <w:gridCol w:w="1117"/>
        <w:gridCol w:w="60"/>
        <w:gridCol w:w="215"/>
        <w:gridCol w:w="319"/>
        <w:gridCol w:w="1298"/>
        <w:gridCol w:w="60"/>
        <w:gridCol w:w="215"/>
        <w:gridCol w:w="467"/>
        <w:gridCol w:w="1266"/>
        <w:gridCol w:w="64"/>
      </w:tblGrid>
      <w:tr>
        <w:trPr/>
        <w:tc>
          <w:tcPr>
            <w:tcW w:w="3216"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RSU amounts)</w:t>
            </w:r>
          </w:p>
        </w:tc>
        <w:tc>
          <w:tcPr>
            <w:tcW w:w="215"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RSUs</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 RSU</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Fair Value</w:t>
            </w:r>
          </w:p>
        </w:tc>
        <w:tc>
          <w:tcPr>
            <w:tcW w:w="64"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14,187,295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15.48</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220</w:t>
            </w:r>
          </w:p>
        </w:tc>
        <w:tc>
          <w:tcPr>
            <w:tcW w:w="64"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1,473,851</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843,722</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14,817,424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19.02</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282</w:t>
            </w:r>
          </w:p>
        </w:tc>
        <w:tc>
          <w:tcPr>
            <w:tcW w:w="64"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567,315</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1,877,379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13,507,360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20.02</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270</w:t>
            </w:r>
          </w:p>
        </w:tc>
        <w:tc>
          <w:tcPr>
            <w:tcW w:w="64"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198,081</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426,685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1,677,572</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11,601,185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b/>
                <w:sz w:val="20"/>
              </w:rPr>
            </w:pPr>
            <w:r>
              <w:rPr>
                <w:rFonts w:ascii="Times New Roman" w:hAnsi="Times New Roman"/>
                <w:b/>
                <w:sz w:val="20"/>
              </w:rPr>
              <w:t>Expected to vest as of March 31, 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11,601,185</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23.33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271</w:t>
            </w:r>
          </w:p>
        </w:tc>
        <w:tc>
          <w:tcPr>
            <w:tcW w:w="64" w:type="dxa"/>
            <w:tcBorders/>
            <w:vAlign w:val="bottom"/>
          </w:tcPr>
          <w:p>
            <w:pPr>
              <w:pStyle w:val="TableContents"/>
              <w:bidi w:val="0"/>
              <w:spacing w:before="0" w:after="283"/>
              <w:jc w:val="left"/>
              <w:rPr/>
            </w:pPr>
            <w:r>
              <w:rPr/>
              <w:t> </w:t>
            </w:r>
          </w:p>
        </w:tc>
      </w:tr>
      <w:tr>
        <w:trPr/>
        <w:tc>
          <w:tcPr>
            <w:tcW w:w="321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2023, liability-classified share-based awards paid totaled $15.9 million related to the RSUs that had vesting conditions accelerated pursuant to restructuring activities, of which $11.8 million of share-based compensation cost was recognized in the current year. The Company did not have any payments arising from normal course vesting events for liability-classified share-based awards for the years ended March 31, 2023, 2022 and 2021. The fair value of RSUs vested for the fiscal year ended March 31, 2023 was $16.2 million. As of March 31, 2022, none of the RSUs under the 2019 AEP had vested.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2021, fair value of the RSUs was estimated using a discounted cash flow approach based on the expected value for the Company as a result of a business combination, which was considered likely as of March 31, 2021. The expected payment was discounted using a risk-free rate of return based on the spot yield on U.S. Treasury Bonds with a tenor equal to six months.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assumptions used for the RSUs under the 2019 AEP for the fiscal year ended </w:t>
      </w:r>
    </w:p>
    <w:p>
      <w:pPr>
        <w:pStyle w:val="TextBody"/>
        <w:bidi w:val="0"/>
        <w:spacing w:before="0" w:after="0"/>
        <w:jc w:val="left"/>
        <w:rPr>
          <w:rFonts w:ascii="Times New Roman" w:hAnsi="Times New Roman"/>
          <w:sz w:val="20"/>
        </w:rPr>
      </w:pPr>
      <w:r>
        <w:rPr>
          <w:rFonts w:ascii="Times New Roman" w:hAnsi="Times New Roman"/>
          <w:sz w:val="20"/>
        </w:rPr>
        <w:t xml:space="preserve">March 31, 2021: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87"/>
        <w:gridCol w:w="427"/>
        <w:gridCol w:w="60"/>
        <w:gridCol w:w="780"/>
        <w:gridCol w:w="285"/>
      </w:tblGrid>
      <w:tr>
        <w:trPr/>
        <w:tc>
          <w:tcPr>
            <w:tcW w:w="5387"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free interest rate</w:t>
            </w:r>
          </w:p>
        </w:tc>
        <w:tc>
          <w:tcPr>
            <w:tcW w:w="4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0.05</w:t>
            </w:r>
          </w:p>
        </w:tc>
        <w:tc>
          <w:tcPr>
            <w:tcW w:w="285" w:type="dxa"/>
            <w:tcBorders/>
            <w:shd w:fill="CCEEFF" w:val="clear"/>
            <w:vAlign w:val="bottom"/>
          </w:tcPr>
          <w:p>
            <w:pPr>
              <w:pStyle w:val="TableContents"/>
              <w:bidi w:val="0"/>
              <w:spacing w:before="0" w:after="283"/>
              <w:jc w:val="left"/>
              <w:rPr/>
            </w:pPr>
            <w:r>
              <w:rPr/>
              <w:t>% </w:t>
            </w:r>
          </w:p>
        </w:tc>
      </w:tr>
      <w:tr>
        <w:trPr/>
        <w:tc>
          <w:tcPr>
            <w:tcW w:w="5387"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event (in years)</w:t>
            </w:r>
          </w:p>
        </w:tc>
        <w:tc>
          <w:tcPr>
            <w:tcW w:w="4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0.5</w:t>
            </w:r>
          </w:p>
        </w:tc>
        <w:tc>
          <w:tcPr>
            <w:tcW w:w="285" w:type="dxa"/>
            <w:tcBorders/>
            <w:vAlign w:val="bottom"/>
          </w:tcPr>
          <w:p>
            <w:pPr>
              <w:pStyle w:val="TableContents"/>
              <w:bidi w:val="0"/>
              <w:spacing w:before="0" w:after="283"/>
              <w:jc w:val="left"/>
              <w:rPr/>
            </w:pPr>
            <w:r>
              <w:rPr/>
              <w:t> </w:t>
            </w:r>
          </w:p>
        </w:tc>
      </w:tr>
      <w:tr>
        <w:trPr/>
        <w:tc>
          <w:tcPr>
            <w:tcW w:w="5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Factor</w:t>
            </w:r>
          </w:p>
        </w:tc>
        <w:tc>
          <w:tcPr>
            <w:tcW w:w="4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0.9998</w:t>
            </w:r>
          </w:p>
        </w:tc>
        <w:tc>
          <w:tcPr>
            <w:tcW w:w="28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fiscal year ended March 31, 2023 and 2022,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the Companys best estimate for the effects of non-transferability and exercise restrictions (including the probability of meeting market conditions attached to the RSUs).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assumptions used for the RSUs under the 2019 AEP for the relevant periods: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79"/>
        <w:gridCol w:w="506"/>
        <w:gridCol w:w="238"/>
        <w:gridCol w:w="994"/>
        <w:gridCol w:w="471"/>
        <w:gridCol w:w="453"/>
        <w:gridCol w:w="238"/>
        <w:gridCol w:w="997"/>
        <w:gridCol w:w="279"/>
      </w:tblGrid>
      <w:tr>
        <w:trPr/>
        <w:tc>
          <w:tcPr>
            <w:tcW w:w="3579"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79"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33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279" w:type="dxa"/>
            <w:tcBorders/>
            <w:vAlign w:val="bottom"/>
          </w:tcPr>
          <w:p>
            <w:pPr>
              <w:pStyle w:val="TableContents"/>
              <w:bidi w:val="0"/>
              <w:spacing w:before="0" w:after="283"/>
              <w:jc w:val="left"/>
              <w:rPr/>
            </w:pPr>
            <w:r>
              <w:rPr/>
              <w:t> </w:t>
            </w:r>
          </w:p>
        </w:tc>
      </w:tr>
      <w:tr>
        <w:trPr/>
        <w:tc>
          <w:tcPr>
            <w:tcW w:w="35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2019 AEP RSUs</w:t>
            </w:r>
          </w:p>
        </w:tc>
        <w:tc>
          <w:tcPr>
            <w:tcW w:w="506"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471"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79" w:type="dxa"/>
            <w:tcBorders/>
            <w:vAlign w:val="bottom"/>
          </w:tcPr>
          <w:p>
            <w:pPr>
              <w:pStyle w:val="TableContents"/>
              <w:bidi w:val="0"/>
              <w:spacing w:before="0" w:after="283"/>
              <w:jc w:val="left"/>
              <w:rPr/>
            </w:pPr>
            <w:r>
              <w:rPr/>
              <w:t> </w:t>
            </w:r>
          </w:p>
        </w:tc>
      </w:tr>
      <w:tr>
        <w:trPr/>
        <w:tc>
          <w:tcPr>
            <w:tcW w:w="3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share price</w:t>
            </w:r>
          </w:p>
        </w:tc>
        <w:tc>
          <w:tcPr>
            <w:tcW w:w="506"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41.51</w:t>
            </w:r>
          </w:p>
        </w:tc>
        <w:tc>
          <w:tcPr>
            <w:tcW w:w="471"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39.27</w:t>
            </w:r>
          </w:p>
        </w:tc>
        <w:tc>
          <w:tcPr>
            <w:tcW w:w="279" w:type="dxa"/>
            <w:tcBorders/>
            <w:shd w:fill="CCEEFF" w:val="clear"/>
            <w:vAlign w:val="bottom"/>
          </w:tcPr>
          <w:p>
            <w:pPr>
              <w:pStyle w:val="TableContents"/>
              <w:bidi w:val="0"/>
              <w:spacing w:before="0" w:after="283"/>
              <w:jc w:val="left"/>
              <w:rPr/>
            </w:pPr>
            <w:r>
              <w:rPr/>
              <w:t> </w:t>
            </w:r>
          </w:p>
        </w:tc>
      </w:tr>
      <w:tr>
        <w:trPr/>
        <w:tc>
          <w:tcPr>
            <w:tcW w:w="3579"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until liquidity event</w:t>
            </w:r>
          </w:p>
        </w:tc>
        <w:tc>
          <w:tcPr>
            <w:tcW w:w="50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40</w:t>
            </w:r>
          </w:p>
        </w:tc>
        <w:tc>
          <w:tcPr>
            <w:tcW w:w="471"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35</w:t>
            </w:r>
          </w:p>
        </w:tc>
        <w:tc>
          <w:tcPr>
            <w:tcW w:w="279" w:type="dxa"/>
            <w:tcBorders/>
            <w:vAlign w:val="bottom"/>
          </w:tcPr>
          <w:p>
            <w:pPr>
              <w:pStyle w:val="TableContents"/>
              <w:bidi w:val="0"/>
              <w:spacing w:before="0" w:after="283"/>
              <w:jc w:val="left"/>
              <w:rPr/>
            </w:pPr>
            <w:r>
              <w:rPr/>
              <w:t>% </w:t>
            </w:r>
          </w:p>
        </w:tc>
      </w:tr>
      <w:tr>
        <w:trPr/>
        <w:tc>
          <w:tcPr>
            <w:tcW w:w="3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 to liquidity event (in years)</w:t>
            </w:r>
          </w:p>
        </w:tc>
        <w:tc>
          <w:tcPr>
            <w:tcW w:w="506"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0.5</w:t>
            </w:r>
          </w:p>
        </w:tc>
        <w:tc>
          <w:tcPr>
            <w:tcW w:w="471"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1.0</w:t>
            </w:r>
          </w:p>
        </w:tc>
        <w:tc>
          <w:tcPr>
            <w:tcW w:w="279" w:type="dxa"/>
            <w:tcBorders/>
            <w:shd w:fill="CCEEFF" w:val="clear"/>
            <w:vAlign w:val="bottom"/>
          </w:tcPr>
          <w:p>
            <w:pPr>
              <w:pStyle w:val="TableContents"/>
              <w:bidi w:val="0"/>
              <w:spacing w:before="0" w:after="283"/>
              <w:jc w:val="left"/>
              <w:rPr/>
            </w:pPr>
            <w:r>
              <w:rPr/>
              <w:t> </w:t>
            </w:r>
          </w:p>
        </w:tc>
      </w:tr>
      <w:tr>
        <w:trPr/>
        <w:tc>
          <w:tcPr>
            <w:tcW w:w="3579"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50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471"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0.00</w:t>
            </w:r>
          </w:p>
        </w:tc>
        <w:tc>
          <w:tcPr>
            <w:tcW w:w="279" w:type="dxa"/>
            <w:tcBorders/>
            <w:vAlign w:val="bottom"/>
          </w:tcPr>
          <w:p>
            <w:pPr>
              <w:pStyle w:val="TableContents"/>
              <w:bidi w:val="0"/>
              <w:spacing w:before="0" w:after="283"/>
              <w:jc w:val="left"/>
              <w:rPr/>
            </w:pPr>
            <w:r>
              <w:rPr/>
              <w:t>% </w:t>
            </w:r>
          </w:p>
        </w:tc>
      </w:tr>
      <w:tr>
        <w:trPr/>
        <w:tc>
          <w:tcPr>
            <w:tcW w:w="3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free interest rate</w:t>
            </w:r>
          </w:p>
        </w:tc>
        <w:tc>
          <w:tcPr>
            <w:tcW w:w="506"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4.94</w:t>
            </w:r>
          </w:p>
        </w:tc>
        <w:tc>
          <w:tcPr>
            <w:tcW w:w="471"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1.60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Share UnitsExecutive IPO Plan (2019 EIP) </w:t>
      </w:r>
    </w:p>
    <w:p>
      <w:pPr>
        <w:pStyle w:val="TextBody"/>
        <w:bidi w:val="0"/>
        <w:spacing w:before="120" w:after="0"/>
        <w:jc w:val="left"/>
        <w:rPr>
          <w:rFonts w:ascii="Times New Roman" w:hAnsi="Times New Roman"/>
          <w:sz w:val="20"/>
        </w:rPr>
      </w:pPr>
      <w:r>
        <w:rPr>
          <w:rFonts w:ascii="Times New Roman" w:hAnsi="Times New Roman"/>
          <w:sz w:val="20"/>
        </w:rPr>
        <w:t xml:space="preserve">In April 2020, a RSU plan was put in place for certain of our executive officers. The vesting of these RSUs under the 2019 EIP requires the continuous service of the employees through the vesting date, was originally subjected to the achievement of a market-condition target, and vesting occurs on the earliest of the following: (1) the occurrence of one of various events comprising a change in control of the Company, (2) an initial public offering, or (3) the passage of time with the date being March 9, 2026. At inception of the plan, the market condition target was tied to the valuation of the Company upon vesting. In September 2022, the Company modified the 2019 EIP to remove the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2019 EIP allows for either share or cash settlement of the RSUs at the discretion of the Companys remuneration committee. Upon the occurrence of a change in control or an initial public offering, and at the discretion of the Companys remuneration committee, each RSU converts into one ordinary share on the vesting date. Conversely, upon the passage of time, each RSU is settled in cash at the vesting date. For all periods presented, a change in control or an initial public offering is generally not considered probable until it has occurred. Accordingly, the RSUs would only be settled in cash upon the passage of time and were accounted as liability-classified awards. Employees require continuous service until the passage of time and may elect not to participate in the 2019 EIP. RSUs are settled in cash at the vesting date and neither carry rights to dividends nor voting rights. Awards are forfeited if an employee leaves the Company before the RSUs vest. For all periods presented, the aggregate nominal amount of shares over which the Companys remuneration committee may grant awards under the 2019 EIP will be limited so that it does not exceed at any time an amount equal to 0.3 percent of the aggregate nominal amount of the Companys fully diluted equity share capital. As of March 31, 2023, 2022 and 2021, 192,999, 903,925 and 2,214,568 RSUs were outstanding,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2022, the Company modified the 2019 EIP to remove the market conditions which were tied to the valuation of the Company upon the vesting of the RSUs. All other terms under the 2019 EIP remained unchanged as a result of this modification and the RSUs remained as liability-classified awards. The incremental share-based compensation cost was measured as the excess of the fair value of the modified RSUs over the fair value of the original RSUs immediately before their terms were modified at modification. As of the modification date, incremental share-based compensation cost recognized was $4.5 million.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the Companys remuneration committee approved the cancellation of 355,463 outstanding RSUs issued to an executive participant under the 2019 EIP in exchange for a fixed monetary $20.0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special RSU award (Special RSU Award) issued under the 2022 Arm Limited RSU Award Plan. The incremental compensation cost of both the 2019 EIP and the Special RSU Award combined was measured by comparing the fair value of the award immediately before and after the modification. The Company accounted for this acceleration for the modification as a cumulative adjustment to the liability. As of the modification date, the net incremental compensation cost for the modified award was $4.1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2023, 2022 and 2021, $0.1 million, $(0.5) million and $4.1 million, of share-based compensation cost (credit) was recognized in connection with awards issued under the 2019 EIP. The share-based compensation cost decrease and credit for the fiscal years ended March 31, 2023 and 2022 were attributable to the replacement awards issued in December 2022 and executive departures, respectively. There were no tax impacts related to the 2019 EIP RSUs for the fiscal years ended March 31, 2022. For the fiscal year ended March 31, 2023 and 2021, the tax expense and benefit recorded was $0.4 million and $0.7 million, respectively. As of March 31, 2023 and 2022, $3.6 million and $3.5 million, was recognized in the non-current portion of accrued compensation and share-based compensation on the Consolidated Balance Sheets, respectively. As of March 31, 2023, there was $3.6 million of total unrecognized compensation cost related to liability-classified RSUs under the 2019 EIP expected to be recognized over a weighted-average period of 2.94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identifies the RSU activity under the 2019 EIP for the relevant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01"/>
        <w:gridCol w:w="229"/>
        <w:gridCol w:w="60"/>
        <w:gridCol w:w="993"/>
        <w:gridCol w:w="60"/>
        <w:gridCol w:w="229"/>
        <w:gridCol w:w="319"/>
        <w:gridCol w:w="1290"/>
        <w:gridCol w:w="60"/>
        <w:gridCol w:w="229"/>
        <w:gridCol w:w="602"/>
        <w:gridCol w:w="1134"/>
        <w:gridCol w:w="66"/>
      </w:tblGrid>
      <w:tr>
        <w:trPr/>
        <w:tc>
          <w:tcPr>
            <w:tcW w:w="3301"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RSU amounts)</w:t>
            </w:r>
          </w:p>
        </w:tc>
        <w:tc>
          <w:tcPr>
            <w:tcW w:w="229"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RSUs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 RSU</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Fair Value</w:t>
            </w:r>
          </w:p>
        </w:tc>
        <w:tc>
          <w:tcPr>
            <w:tcW w:w="66" w:type="dxa"/>
            <w:tcBorders/>
            <w:vAlign w:val="bottom"/>
          </w:tcPr>
          <w:p>
            <w:pPr>
              <w:pStyle w:val="TableContents"/>
              <w:bidi w:val="0"/>
              <w:spacing w:before="0" w:after="283"/>
              <w:jc w:val="left"/>
              <w:rPr/>
            </w:pPr>
            <w:r>
              <w:rPr/>
              <w:t> </w:t>
            </w:r>
          </w:p>
        </w:tc>
      </w:tr>
      <w:tr>
        <w:trPr/>
        <w:tc>
          <w:tcPr>
            <w:tcW w:w="33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2020</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30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2,592,286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301"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377,718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2021</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2,214,568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11.17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25</w:t>
            </w:r>
          </w:p>
        </w:tc>
        <w:tc>
          <w:tcPr>
            <w:tcW w:w="66" w:type="dxa"/>
            <w:tcBorders/>
            <w:shd w:fill="CCEEFF" w:val="clear"/>
            <w:vAlign w:val="bottom"/>
          </w:tcPr>
          <w:p>
            <w:pPr>
              <w:pStyle w:val="TableContents"/>
              <w:bidi w:val="0"/>
              <w:spacing w:before="0" w:after="283"/>
              <w:jc w:val="left"/>
              <w:rPr/>
            </w:pPr>
            <w:r>
              <w:rPr/>
              <w:t> </w:t>
            </w:r>
          </w:p>
        </w:tc>
      </w:tr>
      <w:tr>
        <w:trPr/>
        <w:tc>
          <w:tcPr>
            <w:tcW w:w="330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301"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1,310,643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2022</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903,925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11.77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11</w:t>
            </w:r>
          </w:p>
        </w:tc>
        <w:tc>
          <w:tcPr>
            <w:tcW w:w="66" w:type="dxa"/>
            <w:tcBorders/>
            <w:shd w:fill="CCEEFF" w:val="clear"/>
            <w:vAlign w:val="bottom"/>
          </w:tcPr>
          <w:p>
            <w:pPr>
              <w:pStyle w:val="TableContents"/>
              <w:bidi w:val="0"/>
              <w:spacing w:before="0" w:after="283"/>
              <w:jc w:val="left"/>
              <w:rPr/>
            </w:pPr>
            <w:r>
              <w:rPr/>
              <w:t> </w:t>
            </w:r>
          </w:p>
        </w:tc>
      </w:tr>
      <w:tr>
        <w:trPr/>
        <w:tc>
          <w:tcPr>
            <w:tcW w:w="330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301"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710,926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2023</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192,999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30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01" w:type="dxa"/>
            <w:tcBorders/>
          </w:tcPr>
          <w:p>
            <w:pPr>
              <w:pStyle w:val="TableContents"/>
              <w:bidi w:val="0"/>
              <w:spacing w:before="0" w:after="0"/>
              <w:jc w:val="left"/>
              <w:rPr>
                <w:rFonts w:ascii="Times New Roman" w:hAnsi="Times New Roman"/>
                <w:b/>
                <w:sz w:val="20"/>
              </w:rPr>
            </w:pPr>
            <w:r>
              <w:rPr>
                <w:rFonts w:ascii="Times New Roman" w:hAnsi="Times New Roman"/>
                <w:b/>
                <w:sz w:val="20"/>
              </w:rPr>
              <w:t>Expected to vest as of March 31, 2023</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192,999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1290" w:type="dxa"/>
            <w:tcBorders/>
            <w:vAlign w:val="bottom"/>
          </w:tcPr>
          <w:p>
            <w:pPr>
              <w:pStyle w:val="TableContents"/>
              <w:bidi w:val="0"/>
              <w:spacing w:before="0" w:after="283"/>
              <w:jc w:val="right"/>
              <w:rPr/>
            </w:pPr>
            <w:r>
              <w:rPr/>
              <w:t>37.43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7</w:t>
            </w:r>
          </w:p>
        </w:tc>
        <w:tc>
          <w:tcPr>
            <w:tcW w:w="66" w:type="dxa"/>
            <w:tcBorders/>
            <w:vAlign w:val="bottom"/>
          </w:tcPr>
          <w:p>
            <w:pPr>
              <w:pStyle w:val="TableContents"/>
              <w:bidi w:val="0"/>
              <w:spacing w:before="0" w:after="283"/>
              <w:jc w:val="left"/>
              <w:rPr/>
            </w:pPr>
            <w:r>
              <w:rPr/>
              <w:t> </w:t>
            </w:r>
          </w:p>
        </w:tc>
      </w:tr>
      <w:tr>
        <w:trPr/>
        <w:tc>
          <w:tcPr>
            <w:tcW w:w="330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did not have any payments for the liability-classified share-based awards for all periods presented. As of March 31, 2023, 2022 and 2021, none of the RSUs under the 2019 EIP have vested.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2021, fair value of the RSUs was estimated using a discounted cash flow approach based on the expected value for the Company as a result of a business combination, which was considered likely as of March 31, 2021. The expected payment was discounted using a risk-free rate of return based on the spot yield on U.S. Treasury Bonds with tenor equal to six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assumptions used for the RSUs under the 2019 EIP for the fiscal year ended </w:t>
      </w:r>
    </w:p>
    <w:p>
      <w:pPr>
        <w:pStyle w:val="TextBody"/>
        <w:bidi w:val="0"/>
        <w:spacing w:before="0" w:after="0"/>
        <w:jc w:val="left"/>
        <w:rPr>
          <w:rFonts w:ascii="Times New Roman" w:hAnsi="Times New Roman"/>
          <w:sz w:val="20"/>
        </w:rPr>
      </w:pPr>
      <w:r>
        <w:rPr>
          <w:rFonts w:ascii="Times New Roman" w:hAnsi="Times New Roman"/>
          <w:sz w:val="20"/>
        </w:rPr>
        <w:t xml:space="preserve">March 31, 2021: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0"/>
        <w:gridCol w:w="419"/>
        <w:gridCol w:w="60"/>
        <w:gridCol w:w="770"/>
        <w:gridCol w:w="280"/>
      </w:tblGrid>
      <w:tr>
        <w:trPr/>
        <w:tc>
          <w:tcPr>
            <w:tcW w:w="541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free interest rate</w:t>
            </w:r>
          </w:p>
        </w:tc>
        <w:tc>
          <w:tcPr>
            <w:tcW w:w="4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0.05</w:t>
            </w:r>
          </w:p>
        </w:tc>
        <w:tc>
          <w:tcPr>
            <w:tcW w:w="280"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Times New Roman" w:hAnsi="Times New Roman"/>
                <w:sz w:val="20"/>
              </w:rPr>
            </w:pPr>
            <w:r>
              <w:rPr>
                <w:rFonts w:ascii="Times New Roman" w:hAnsi="Times New Roman"/>
                <w:sz w:val="20"/>
              </w:rPr>
              <w:t>Time to transaction (in years)</w:t>
            </w:r>
          </w:p>
        </w:tc>
        <w:tc>
          <w:tcPr>
            <w:tcW w:w="4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0.5</w:t>
            </w:r>
          </w:p>
        </w:tc>
        <w:tc>
          <w:tcPr>
            <w:tcW w:w="280"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Factor</w:t>
            </w:r>
          </w:p>
        </w:tc>
        <w:tc>
          <w:tcPr>
            <w:tcW w:w="4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0.9998</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2022,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Companys best estimate for the effects of non-transferability and exercise restrictions (including the probability of meeting market conditions attached to the RSUs).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assumptions used for the RSUs under the 2019 EIP for the fiscal year ended March 31,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08"/>
        <w:gridCol w:w="534"/>
        <w:gridCol w:w="140"/>
        <w:gridCol w:w="572"/>
        <w:gridCol w:w="285"/>
      </w:tblGrid>
      <w:tr>
        <w:trPr/>
        <w:tc>
          <w:tcPr>
            <w:tcW w:w="5408" w:type="dxa"/>
            <w:tcBorders/>
            <w:vAlign w:val="center"/>
          </w:tcPr>
          <w:p>
            <w:pPr>
              <w:pStyle w:val="TableContents"/>
              <w:bidi w:val="0"/>
              <w:spacing w:before="0" w:after="283"/>
              <w:jc w:val="left"/>
              <w:rPr>
                <w:sz w:val="4"/>
                <w:szCs w:val="4"/>
              </w:rPr>
            </w:pPr>
            <w:r>
              <w:rPr>
                <w:sz w:val="4"/>
                <w:szCs w:val="4"/>
              </w:rPr>
            </w:r>
          </w:p>
        </w:tc>
        <w:tc>
          <w:tcPr>
            <w:tcW w:w="5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4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 price</w:t>
            </w:r>
          </w:p>
        </w:tc>
        <w:tc>
          <w:tcPr>
            <w:tcW w:w="5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39.27</w:t>
            </w:r>
          </w:p>
        </w:tc>
        <w:tc>
          <w:tcPr>
            <w:tcW w:w="285" w:type="dxa"/>
            <w:tcBorders/>
            <w:shd w:fill="CCEEFF" w:val="clear"/>
            <w:vAlign w:val="bottom"/>
          </w:tcPr>
          <w:p>
            <w:pPr>
              <w:pStyle w:val="TableContents"/>
              <w:bidi w:val="0"/>
              <w:spacing w:before="0" w:after="283"/>
              <w:jc w:val="left"/>
              <w:rPr/>
            </w:pPr>
            <w:r>
              <w:rPr/>
              <w:t> </w:t>
            </w:r>
          </w:p>
        </w:tc>
      </w:tr>
      <w:tr>
        <w:trPr/>
        <w:tc>
          <w:tcPr>
            <w:tcW w:w="5408"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until liquidity event</w:t>
            </w:r>
          </w:p>
        </w:tc>
        <w:tc>
          <w:tcPr>
            <w:tcW w:w="5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35</w:t>
            </w:r>
          </w:p>
        </w:tc>
        <w:tc>
          <w:tcPr>
            <w:tcW w:w="285" w:type="dxa"/>
            <w:tcBorders/>
            <w:vAlign w:val="bottom"/>
          </w:tcPr>
          <w:p>
            <w:pPr>
              <w:pStyle w:val="TableContents"/>
              <w:bidi w:val="0"/>
              <w:spacing w:before="0" w:after="283"/>
              <w:jc w:val="left"/>
              <w:rPr/>
            </w:pPr>
            <w:r>
              <w:rPr/>
              <w:t>% </w:t>
            </w:r>
          </w:p>
        </w:tc>
      </w:tr>
      <w:tr>
        <w:trPr/>
        <w:tc>
          <w:tcPr>
            <w:tcW w:w="54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 to liquidity event</w:t>
            </w:r>
          </w:p>
        </w:tc>
        <w:tc>
          <w:tcPr>
            <w:tcW w:w="5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w:t>
            </w:r>
          </w:p>
        </w:tc>
        <w:tc>
          <w:tcPr>
            <w:tcW w:w="285" w:type="dxa"/>
            <w:tcBorders/>
            <w:shd w:fill="CCEEFF" w:val="clear"/>
            <w:vAlign w:val="bottom"/>
          </w:tcPr>
          <w:p>
            <w:pPr>
              <w:pStyle w:val="TableContents"/>
              <w:bidi w:val="0"/>
              <w:spacing w:before="0" w:after="283"/>
              <w:jc w:val="left"/>
              <w:rPr/>
            </w:pPr>
            <w:r>
              <w:rPr/>
              <w:t> </w:t>
            </w:r>
          </w:p>
        </w:tc>
      </w:tr>
      <w:tr>
        <w:trPr/>
        <w:tc>
          <w:tcPr>
            <w:tcW w:w="5408"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5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0.00</w:t>
            </w:r>
          </w:p>
        </w:tc>
        <w:tc>
          <w:tcPr>
            <w:tcW w:w="285" w:type="dxa"/>
            <w:tcBorders/>
            <w:vAlign w:val="bottom"/>
          </w:tcPr>
          <w:p>
            <w:pPr>
              <w:pStyle w:val="TableContents"/>
              <w:bidi w:val="0"/>
              <w:spacing w:before="0" w:after="283"/>
              <w:jc w:val="left"/>
              <w:rPr/>
            </w:pPr>
            <w:r>
              <w:rPr/>
              <w:t>% </w:t>
            </w:r>
          </w:p>
        </w:tc>
      </w:tr>
      <w:tr>
        <w:trPr/>
        <w:tc>
          <w:tcPr>
            <w:tcW w:w="54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free interest rate</w:t>
            </w:r>
          </w:p>
        </w:tc>
        <w:tc>
          <w:tcPr>
            <w:tcW w:w="5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1.60</w:t>
            </w:r>
          </w:p>
        </w:tc>
        <w:tc>
          <w:tcPr>
            <w:tcW w:w="28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inputs used for both the discounted cash flow approach and the Monte Carlo simulation model are the same as those used for the 2019 AEP for years ended March 31, 2021 and 2022, respectively. The fair value of the RSUs is adjusted for the different market conditions for each share-based plan for years ended March 31, 2021 and 2022.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2023, the Company used the income approach and market-calibration approach based on comparable publicly traded companies in similar lines of businesses. Cash flow assumptions used in income approach considers historical and forecasted revenue, earnings before interest, taxes, depreciation and amortization (EBITDA) and other relevant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assumptions used for the RSUs under the 2019 EIP for the fiscal year ended March 31, 2023: </w:t>
      </w:r>
    </w:p>
    <w:p>
      <w:pPr>
        <w:pStyle w:val="TextBody"/>
        <w:bidi w:val="0"/>
        <w:spacing w:before="360" w:after="0"/>
        <w:jc w:val="left"/>
        <w:rPr>
          <w:rFonts w:ascii="Times New Roman" w:hAnsi="Times New Roman"/>
          <w:b/>
          <w:sz w:val="20"/>
        </w:rPr>
      </w:pPr>
      <w:r>
        <w:rPr>
          <w:rFonts w:ascii="Times New Roman" w:hAnsi="Times New Roman"/>
          <w:b/>
          <w:sz w:val="20"/>
        </w:rPr>
        <w:t xml:space="preserve">2019 EIP RSUs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30"/>
        <w:gridCol w:w="513"/>
        <w:gridCol w:w="140"/>
        <w:gridCol w:w="571"/>
        <w:gridCol w:w="285"/>
      </w:tblGrid>
      <w:tr>
        <w:trPr/>
        <w:tc>
          <w:tcPr>
            <w:tcW w:w="5430"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share price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41.51</w:t>
            </w:r>
          </w:p>
        </w:tc>
        <w:tc>
          <w:tcPr>
            <w:tcW w:w="285" w:type="dxa"/>
            <w:tcBorders/>
            <w:shd w:fill="CCEEFF" w:val="clear"/>
            <w:vAlign w:val="bottom"/>
          </w:tcPr>
          <w:p>
            <w:pPr>
              <w:pStyle w:val="TableContents"/>
              <w:bidi w:val="0"/>
              <w:spacing w:before="0" w:after="283"/>
              <w:jc w:val="left"/>
              <w:rPr/>
            </w:pPr>
            <w:r>
              <w:rPr/>
              <w:t> </w:t>
            </w:r>
          </w:p>
        </w:tc>
      </w:tr>
      <w:tr>
        <w:trPr/>
        <w:tc>
          <w:tcPr>
            <w:tcW w:w="5430"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2.50</w:t>
            </w:r>
          </w:p>
        </w:tc>
        <w:tc>
          <w:tcPr>
            <w:tcW w:w="285" w:type="dxa"/>
            <w:tcBorders/>
            <w:vAlign w:val="bottom"/>
          </w:tcPr>
          <w:p>
            <w:pPr>
              <w:pStyle w:val="TableContents"/>
              <w:bidi w:val="0"/>
              <w:spacing w:before="0" w:after="283"/>
              <w:jc w:val="left"/>
              <w:rPr/>
            </w:pPr>
            <w:r>
              <w:rPr/>
              <w:t>% </w:t>
            </w:r>
          </w:p>
        </w:tc>
      </w:tr>
      <w:tr>
        <w:trPr/>
        <w:tc>
          <w:tcPr>
            <w:tcW w:w="5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 to liquidity event (in years)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0.5</w:t>
            </w:r>
          </w:p>
        </w:tc>
        <w:tc>
          <w:tcPr>
            <w:tcW w:w="285" w:type="dxa"/>
            <w:tcBorders/>
            <w:shd w:fill="CCEEFF" w:val="clear"/>
            <w:vAlign w:val="bottom"/>
          </w:tcPr>
          <w:p>
            <w:pPr>
              <w:pStyle w:val="TableContents"/>
              <w:bidi w:val="0"/>
              <w:spacing w:before="0" w:after="283"/>
              <w:jc w:val="left"/>
              <w:rPr/>
            </w:pPr>
            <w:r>
              <w:rPr/>
              <w:t> </w:t>
            </w:r>
          </w:p>
        </w:tc>
      </w:tr>
      <w:tr>
        <w:trPr/>
        <w:tc>
          <w:tcPr>
            <w:tcW w:w="5430" w:type="dxa"/>
            <w:tcBorders/>
          </w:tcPr>
          <w:p>
            <w:pPr>
              <w:pStyle w:val="TableContents"/>
              <w:bidi w:val="0"/>
              <w:spacing w:before="0" w:after="0"/>
              <w:jc w:val="left"/>
              <w:rPr>
                <w:rFonts w:ascii="Times New Roman" w:hAnsi="Times New Roman"/>
                <w:sz w:val="20"/>
              </w:rPr>
            </w:pPr>
            <w:r>
              <w:rPr>
                <w:rFonts w:ascii="Times New Roman" w:hAnsi="Times New Roman"/>
                <w:sz w:val="20"/>
              </w:rPr>
              <w:t>Discount for lack of marketability</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7.50</w:t>
            </w:r>
          </w:p>
        </w:tc>
        <w:tc>
          <w:tcPr>
            <w:tcW w:w="28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Phantom Share Scheme (Cash-Settled) </w:t>
      </w:r>
    </w:p>
    <w:p>
      <w:pPr>
        <w:pStyle w:val="TextBody"/>
        <w:bidi w:val="0"/>
        <w:spacing w:before="120" w:after="0"/>
        <w:jc w:val="left"/>
        <w:rPr>
          <w:rFonts w:ascii="Times New Roman" w:hAnsi="Times New Roman"/>
          <w:sz w:val="20"/>
        </w:rPr>
      </w:pPr>
      <w:r>
        <w:rPr>
          <w:rFonts w:ascii="Times New Roman" w:hAnsi="Times New Roman"/>
          <w:sz w:val="20"/>
        </w:rPr>
        <w:t xml:space="preserve">In April 2017, a cash-settled share-based payment plan was put in place for certain of our executive officers. Under this plan, the employees are granted a cash award annually on April 1, which vests over a three-year service period subject to continuous service and satisfaction of certain Company performance conditions. The cash amount which the employee is entitled to receive if employed at the end of the three-year period is 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linked to the share price of the Companys ultimate parent, SoftBank Group. The number of Phantom Shares that vest is also linked to certain Company strategic performance conditions. The strategic performance conditions are non-market based vesting conditions and, as a result, the conditions do not affect the fair value of Phantom Shares at each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strategic performance conditions are operational in nature and measure performance in areas such as product development, customer design wins and market share across different technologies and markets. The conditions are linked directly to the Companys strategic objectives, rather than any financial or other measures.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there were no Phantom Shares outstanding. As of March 31, 2022 and 2021, 64,862 and 224,268 Phantom Shares were outstanding, respectively. The Company recognized a (credit) for share-based compensation cost of $(0.5) million and $(3.1) million in connection with the Phantom Shares for the fiscal years ended March 31, 2023, and 2022, respectively. The share-based compensation credit for the fiscal year ended March 31, 2023 and 2022 was attributable to executive departures. For the fiscal year ended March 31, 2021, the Company recognized share-based compensation cost of $11.1 million. The tax expense recorded for the Phantom Shares was $0.5 million and tax benefit was $2.3 million for the fiscal years ended March 31, 2022 and 2021, respectively. There was no tax expense or benefit recorded for the year ended March 31, 2023.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total outstanding liability of $1.1 million was recognized in accrued compensation and benefits on the Consolidated Balance Sheets. As of March 31, 2022, the Company recognized a liability of $3.0 million in accrued compensation and benefits and non-current portion of accrued compensation and share-based compensation on the Consolidated Balance Sheets, respectively. As of March 31, 2023, there was no unrecognized compensation cost as all of the outstanding Phantom Shares have vested.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identifies the Phantom Shares activity for all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96"/>
        <w:gridCol w:w="207"/>
        <w:gridCol w:w="78"/>
        <w:gridCol w:w="1060"/>
        <w:gridCol w:w="60"/>
        <w:gridCol w:w="207"/>
        <w:gridCol w:w="340"/>
        <w:gridCol w:w="1369"/>
        <w:gridCol w:w="60"/>
        <w:gridCol w:w="207"/>
        <w:gridCol w:w="602"/>
        <w:gridCol w:w="1121"/>
        <w:gridCol w:w="65"/>
      </w:tblGrid>
      <w:tr>
        <w:trPr/>
        <w:tc>
          <w:tcPr>
            <w:tcW w:w="319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share amounts)</w:t>
            </w:r>
          </w:p>
        </w:tc>
        <w:tc>
          <w:tcPr>
            <w:tcW w:w="20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 Share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Fair Value</w:t>
            </w:r>
          </w:p>
        </w:tc>
        <w:tc>
          <w:tcPr>
            <w:tcW w:w="65"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2020</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211,075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19.59</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4</w:t>
            </w:r>
          </w:p>
        </w:tc>
        <w:tc>
          <w:tcPr>
            <w:tcW w:w="65"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134,076</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84,618</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3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36,265</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2021</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224,268</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58.41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13</w:t>
            </w:r>
          </w:p>
        </w:tc>
        <w:tc>
          <w:tcPr>
            <w:tcW w:w="65"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17,844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32,198</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3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145,052</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2022</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64,862</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39.83</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3</w:t>
            </w:r>
          </w:p>
        </w:tc>
        <w:tc>
          <w:tcPr>
            <w:tcW w:w="65"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27,503</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3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37,359</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3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2023</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13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b/>
                <w:sz w:val="20"/>
              </w:rPr>
            </w:pPr>
            <w:r>
              <w:rPr>
                <w:rFonts w:ascii="Times New Roman" w:hAnsi="Times New Roman"/>
                <w:b/>
                <w:sz w:val="20"/>
              </w:rPr>
              <w:t>Expected to vest as of March 31, 2023</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w:t>
            </w:r>
          </w:p>
        </w:tc>
        <w:tc>
          <w:tcPr>
            <w:tcW w:w="13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13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Phantom Shares are required to be settled in cash and therefore are recorded on the Consolidated Balance Sheets as a liability until settled. For the fiscal years ended March 31, 2023, 2022 and 2021, liability-classified share-based awards paid totaled $1.5 million, $7.1 million and $2.6 million, respectively. For the fiscal years ended March 31, 2023, 2022 and 2021, the total number of Phantom Shares vested were 27,503, 32,198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84,618, respectively. The fair value of the Phantom Shares vested were $1.1 million, $1.5 million and $7.1 million for fiscal years ended March 31, 2023, 2022 and 2021, respectively. As of March 31, 2023, the total amount vested but unpaid was $1.1 million. The fair value of Phantom Shares measured at each reporting date was $38.84, $39.83 and $58.41 for the fiscal years ended March 31, 2023, 2022 and 2021,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Share Units2022 Arm Limited RSU Award Plan ( 2022 RSU Plan) </w:t>
      </w:r>
    </w:p>
    <w:p>
      <w:pPr>
        <w:pStyle w:val="TextBody"/>
        <w:bidi w:val="0"/>
        <w:spacing w:before="120" w:after="0"/>
        <w:jc w:val="left"/>
        <w:rPr>
          <w:rFonts w:ascii="Times New Roman" w:hAnsi="Times New Roman"/>
          <w:sz w:val="20"/>
        </w:rPr>
      </w:pPr>
      <w:r>
        <w:rPr>
          <w:rFonts w:ascii="Times New Roman" w:hAnsi="Times New Roman"/>
          <w:sz w:val="20"/>
        </w:rPr>
        <w:t xml:space="preserve">In June 2022, the 2022 RSU Plan was established to grant RSUs to all employees of the Company (All Employee Awards). Employees may elect not to participate in the plan. The RSUs vest in tranches, require continuous service through the vesting date and are subject to graded vesting over time. The 2022 RSU Plan provides vesting schedules applicable prior to and after an initial public offering. For all periods, an initial public offering is generally not considered probable until it has occurred. Accordingly, the RSUs are currently probable of vesting based on the vesting schedule applicable prior to an initial public offering over a three-year period and will vest by tranche through March 2025. </w:t>
      </w:r>
    </w:p>
    <w:p>
      <w:pPr>
        <w:pStyle w:val="TextBody"/>
        <w:bidi w:val="0"/>
        <w:spacing w:before="240" w:after="0"/>
        <w:jc w:val="left"/>
        <w:rPr>
          <w:rFonts w:ascii="Times New Roman" w:hAnsi="Times New Roman"/>
          <w:sz w:val="20"/>
        </w:rPr>
      </w:pPr>
      <w:r>
        <w:rPr>
          <w:rFonts w:ascii="Times New Roman" w:hAnsi="Times New Roman"/>
          <w:sz w:val="20"/>
        </w:rPr>
        <w:t xml:space="preserve">The 2022 RSU Plan allows for either cash or share settlement of the RSUs by tranche at the discretion of the Companys remuneration committee. At the time of issuance, the Company intended to settle the RSUs in shares at the vesting date and such RSUs are accounted for as equity-classified awards. The Company recognizes share based compensation cost using the straight-line method over the service period of the award except for performance grants with specific performance criteria, net of estimated forfeitures. These RSUs neither carry rights to dividends nor voting rights until the shares are issued or transferred to the recipient. Awards are forfeited if an employee leaves the Company before the RSUs vest. For all periods presented, the aggregate nominal amount of shares over which the Companys remuneration committee may grant awards under the 2022 RSU Plan will be limited so that it does not exceed at any time an amount equal to 4.0 percent of the aggregate nominal amount of the Companys fully diluted equity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additional awards under the 2022 RSU Plan to new hires, starting in September 2022 (New Starter Awards). The New Starter Awards share substantially the same terms as the existing RSUs for All Employee Awards with changes limited to the vesting schedules. The New Starter Awards require continuous service through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granted additional RSUs to all employees and new hires of its subsidiary, Arm Israel, starting in February 2023 (the Israel Awards). The Israel Awards share substantially have the same terms as the existing RSUs for All Employee Awards and New Starter Awards with changes limited to the vesting schedules. The Israel Awards require continuous service through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2022, the Company determined that it would settle the first tranche of the RSUs outstanding that vest in March and May 2023 by paying cash instead of issuing equity. Other than the change in intent regarding form of settlement, no other terms or conditions regarding the RSUs were changed. The Company accounted for this change as a modification in accordance with ASC 718, </w:t>
      </w:r>
      <w:r>
        <w:rPr>
          <w:rFonts w:ascii="Times New Roman" w:hAnsi="Times New Roman"/>
          <w:i/>
          <w:sz w:val="20"/>
        </w:rPr>
        <w:t>CompensationStock Compensation,</w:t>
      </w:r>
      <w:r>
        <w:rPr>
          <w:rFonts w:ascii="Times New Roman" w:hAnsi="Times New Roman"/>
          <w:sz w:val="20"/>
        </w:rPr>
        <w:t xml:space="preserve"> and reclassified the affected portion of the award from equity to liability and will remeasure the award at fair value at each reporting period through the date of settlement with consideration that total compensation cost cannot be less than the grant-date fair-value-based measure of the original award. As a result of the modification, the Company recognized $2.1 million of incremental share-based compensation cost at the time of the modification and recorded $31.7 million as a reclassification from equity to liability upon modification. 5,539 of employees were affected by this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identifies the RSU activity under the 2022 RSU Plan for all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49"/>
        <w:gridCol w:w="340"/>
        <w:gridCol w:w="60"/>
        <w:gridCol w:w="1107"/>
        <w:gridCol w:w="60"/>
        <w:gridCol w:w="340"/>
        <w:gridCol w:w="382"/>
        <w:gridCol w:w="1553"/>
        <w:gridCol w:w="64"/>
      </w:tblGrid>
      <w:tr>
        <w:trPr/>
        <w:tc>
          <w:tcPr>
            <w:tcW w:w="3849"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RSU amounts)</w:t>
            </w:r>
          </w:p>
        </w:tc>
        <w:tc>
          <w:tcPr>
            <w:tcW w:w="340"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RSUs</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 Fair</w:t>
              <w:br/>
              <w:t>Value per Share</w:t>
            </w:r>
          </w:p>
        </w:tc>
        <w:tc>
          <w:tcPr>
            <w:tcW w:w="64" w:type="dxa"/>
            <w:tcBorders/>
            <w:vAlign w:val="bottom"/>
          </w:tcPr>
          <w:p>
            <w:pPr>
              <w:pStyle w:val="TableContents"/>
              <w:bidi w:val="0"/>
              <w:spacing w:before="0" w:after="283"/>
              <w:jc w:val="left"/>
              <w:rPr/>
            </w:pPr>
            <w:r>
              <w:rPr/>
              <w:t> </w:t>
            </w:r>
          </w:p>
        </w:tc>
      </w:tr>
      <w:tr>
        <w:trPr/>
        <w:tc>
          <w:tcPr>
            <w:tcW w:w="38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2022</w:t>
            </w:r>
          </w:p>
        </w:tc>
        <w:tc>
          <w:tcPr>
            <w:tcW w:w="3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5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84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18,011,664</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pPr>
            <w:r>
              <w:rPr/>
              <w:t>35.03</w:t>
            </w:r>
          </w:p>
        </w:tc>
        <w:tc>
          <w:tcPr>
            <w:tcW w:w="64" w:type="dxa"/>
            <w:tcBorders/>
            <w:vAlign w:val="bottom"/>
          </w:tcPr>
          <w:p>
            <w:pPr>
              <w:pStyle w:val="TableContents"/>
              <w:bidi w:val="0"/>
              <w:spacing w:before="0" w:after="283"/>
              <w:jc w:val="left"/>
              <w:rPr/>
            </w:pPr>
            <w:r>
              <w:rPr/>
              <w:t> </w:t>
            </w:r>
          </w:p>
        </w:tc>
      </w:tr>
      <w:tr>
        <w:trPr/>
        <w:tc>
          <w:tcPr>
            <w:tcW w:w="3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5,500,361</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pPr>
            <w:r>
              <w:rPr/>
              <w:t>33.37</w:t>
            </w:r>
          </w:p>
        </w:tc>
        <w:tc>
          <w:tcPr>
            <w:tcW w:w="64" w:type="dxa"/>
            <w:tcBorders/>
            <w:shd w:fill="CCEEFF" w:val="clear"/>
            <w:vAlign w:val="bottom"/>
          </w:tcPr>
          <w:p>
            <w:pPr>
              <w:pStyle w:val="TableContents"/>
              <w:bidi w:val="0"/>
              <w:spacing w:before="0" w:after="283"/>
              <w:jc w:val="left"/>
              <w:rPr/>
            </w:pPr>
            <w:r>
              <w:rPr/>
              <w:t> </w:t>
            </w:r>
          </w:p>
        </w:tc>
      </w:tr>
      <w:tr>
        <w:trPr/>
        <w:tc>
          <w:tcPr>
            <w:tcW w:w="3849"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1,381,569</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pPr>
            <w:r>
              <w:rPr/>
              <w:t>34.88</w:t>
            </w:r>
          </w:p>
        </w:tc>
        <w:tc>
          <w:tcPr>
            <w:tcW w:w="64" w:type="dxa"/>
            <w:tcBorders/>
            <w:vAlign w:val="bottom"/>
          </w:tcPr>
          <w:p>
            <w:pPr>
              <w:pStyle w:val="TableContents"/>
              <w:bidi w:val="0"/>
              <w:spacing w:before="0" w:after="283"/>
              <w:jc w:val="left"/>
              <w:rPr/>
            </w:pPr>
            <w:r>
              <w:rPr/>
              <w:t> </w:t>
            </w:r>
          </w:p>
        </w:tc>
      </w:tr>
      <w:tr>
        <w:trPr/>
        <w:tc>
          <w:tcPr>
            <w:tcW w:w="3849"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2023</w:t>
            </w:r>
          </w:p>
        </w:tc>
        <w:tc>
          <w:tcPr>
            <w:tcW w:w="3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11,129,734</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53" w:type="dxa"/>
            <w:tcBorders/>
            <w:shd w:fill="CCEEFF" w:val="clear"/>
            <w:vAlign w:val="bottom"/>
          </w:tcPr>
          <w:p>
            <w:pPr>
              <w:pStyle w:val="TableContents"/>
              <w:bidi w:val="0"/>
              <w:spacing w:before="0" w:after="283"/>
              <w:jc w:val="right"/>
              <w:rPr/>
            </w:pPr>
            <w:r>
              <w:rPr/>
              <w:t>35.87</w:t>
            </w:r>
          </w:p>
        </w:tc>
        <w:tc>
          <w:tcPr>
            <w:tcW w:w="64" w:type="dxa"/>
            <w:tcBorders/>
            <w:shd w:fill="CCEEFF" w:val="clear"/>
            <w:vAlign w:val="bottom"/>
          </w:tcPr>
          <w:p>
            <w:pPr>
              <w:pStyle w:val="TableContents"/>
              <w:bidi w:val="0"/>
              <w:spacing w:before="0" w:after="283"/>
              <w:jc w:val="left"/>
              <w:rPr/>
            </w:pPr>
            <w:r>
              <w:rPr/>
              <w:t> </w:t>
            </w:r>
          </w:p>
        </w:tc>
      </w:tr>
      <w:tr>
        <w:trPr/>
        <w:tc>
          <w:tcPr>
            <w:tcW w:w="3849"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49" w:type="dxa"/>
            <w:tcBorders/>
          </w:tcPr>
          <w:p>
            <w:pPr>
              <w:pStyle w:val="TableContents"/>
              <w:bidi w:val="0"/>
              <w:spacing w:before="0" w:after="0"/>
              <w:jc w:val="left"/>
              <w:rPr>
                <w:rFonts w:ascii="Times New Roman" w:hAnsi="Times New Roman"/>
                <w:b/>
                <w:sz w:val="20"/>
              </w:rPr>
            </w:pPr>
            <w:r>
              <w:rPr>
                <w:rFonts w:ascii="Times New Roman" w:hAnsi="Times New Roman"/>
                <w:b/>
                <w:sz w:val="20"/>
              </w:rPr>
              <w:t>Expected to vest as of March 31, 2023</w:t>
            </w:r>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11,129,734</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553" w:type="dxa"/>
            <w:tcBorders/>
            <w:vAlign w:val="bottom"/>
          </w:tcPr>
          <w:p>
            <w:pPr>
              <w:pStyle w:val="TableContents"/>
              <w:bidi w:val="0"/>
              <w:spacing w:before="0" w:after="283"/>
              <w:jc w:val="right"/>
              <w:rPr/>
            </w:pPr>
            <w:r>
              <w:rPr/>
              <w:t>35.87</w:t>
            </w:r>
          </w:p>
        </w:tc>
        <w:tc>
          <w:tcPr>
            <w:tcW w:w="64" w:type="dxa"/>
            <w:tcBorders/>
            <w:vAlign w:val="bottom"/>
          </w:tcPr>
          <w:p>
            <w:pPr>
              <w:pStyle w:val="TableContents"/>
              <w:bidi w:val="0"/>
              <w:spacing w:before="0" w:after="283"/>
              <w:jc w:val="left"/>
              <w:rPr/>
            </w:pPr>
            <w:r>
              <w:rPr/>
              <w:t> </w:t>
            </w:r>
          </w:p>
        </w:tc>
      </w:tr>
      <w:tr>
        <w:trPr/>
        <w:tc>
          <w:tcPr>
            <w:tcW w:w="3849"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RSUs reclassified from equity to liability was 5,226,149 which had a weighted average grant date fair value per RSU of $33.10. As of March 31, 2023, the total outstanding shares related to liability-classified and expected to vest awards was 284,036 with the weighted average fair value per RSU of $40.47. For the fiscal year ended March 31, 2023, $234.8 million and $1.9 million of share-based compensation cost was recognized in connection with the liability-classified and equity-classified awards issued under the 2022 RSU Plan, respectively. The tax benefit recorded for the fiscal year ended March 31, 2023 was $30.4 million. As of March 31, 2023, $234.8 million, was recognized as current liability in accrued compensation and benefits on the Consolidated Balance Sheets. As of March 31, 2023, the total amount vested related to liability-classified awards but unpaid was $228.3 million. No equity-classified RSUs vested under the 2022 RSU Plan during the fiscal year ended March 31, 2023. As of March 31, 2023, there was $392.7 million of total unrecognized compensation cost expected to be recognized over a weighted-average period of 2.0 years.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2023, the Company used the income approach and market-calibration approach based on comparable publicly traded companies in similar lines of businesses. Cash flow assumptions used in the income approach considers historical and forecasted revenue, earnings before interest, taxes, depreciation and amortization (EBITDA) and other relevant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assumptions used for the RSUs under the 2022 RSU Plan for the fiscal year ended March 31, 2023: </w:t>
      </w:r>
    </w:p>
    <w:p>
      <w:pPr>
        <w:pStyle w:val="TextBody"/>
        <w:bidi w:val="0"/>
        <w:spacing w:before="360" w:after="0"/>
        <w:jc w:val="left"/>
        <w:rPr>
          <w:rFonts w:ascii="Times New Roman" w:hAnsi="Times New Roman"/>
          <w:b/>
          <w:sz w:val="20"/>
        </w:rPr>
      </w:pPr>
      <w:r>
        <w:rPr>
          <w:rFonts w:ascii="Times New Roman" w:hAnsi="Times New Roman"/>
          <w:b/>
          <w:sz w:val="20"/>
        </w:rPr>
        <w:t xml:space="preserve">2022 RSU Plan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00"/>
        <w:gridCol w:w="469"/>
        <w:gridCol w:w="1470"/>
      </w:tblGrid>
      <w:tr>
        <w:trPr/>
        <w:tc>
          <w:tcPr>
            <w:tcW w:w="5000"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share price</w:t>
            </w:r>
          </w:p>
        </w:tc>
        <w:tc>
          <w:tcPr>
            <w:tcW w:w="469"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center"/>
              <w:rPr/>
            </w:pPr>
            <w:r>
              <w:rPr/>
              <w:t>$35.16  $39.67</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469"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center"/>
              <w:rPr/>
            </w:pPr>
            <w:r>
              <w:rPr/>
              <w:t>2.50%</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per RSU</w:t>
            </w:r>
          </w:p>
        </w:tc>
        <w:tc>
          <w:tcPr>
            <w:tcW w:w="469"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center"/>
              <w:rPr/>
            </w:pPr>
            <w:r>
              <w:rPr/>
              <w:t>$33.13  $39.67</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event (in years)</w:t>
            </w:r>
          </w:p>
        </w:tc>
        <w:tc>
          <w:tcPr>
            <w:tcW w:w="469"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center"/>
              <w:rPr/>
            </w:pPr>
            <w:r>
              <w:rPr/>
              <w:t>0.5  0.9</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for lack of marketability</w:t>
            </w:r>
          </w:p>
        </w:tc>
        <w:tc>
          <w:tcPr>
            <w:tcW w:w="469"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center"/>
              <w:rPr/>
            </w:pPr>
            <w:r>
              <w:rPr/>
              <w:t>0.00%  7.50%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Awards Granted under the 2022 RSU PlanExecutive Awards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2022, the Company issued two types of executive awards (the Annual Awards and Launch Awards) under the 2022 RSU Plan to certain of our executive officers (collectively, the Executive Awards). These Executive Awards under the 2022 RSU Plan have total award values based on fixed monetary amounts known at inception and do not carry rights to dividends nor voting rights. The Executive Awards entitle participants to a fixed amount of cash or, upon the occurrence of a change in control or an initial public offering, ordinary shares of the Company at the discretion of the Companys remuneration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Launch Awards vest in tranches and require continuous service through the vesting dates and are subject to graded vesting over a period of three years. The Company also granted Launch Awards with customized vesting schedules to certain members of the Executive Committee with a potential fixed monetary amount of $55.0 million at the grant date. These customized awards vest upon (1) the occurrence of one of various events comprising a change in control of the Company, (2) an initial public offering, and (3) March 9, 2026. </w:t>
      </w:r>
    </w:p>
    <w:p>
      <w:pPr>
        <w:pStyle w:val="TextBody"/>
        <w:bidi w:val="0"/>
        <w:spacing w:before="240" w:after="0"/>
        <w:jc w:val="left"/>
        <w:rPr>
          <w:rFonts w:ascii="Times New Roman" w:hAnsi="Times New Roman"/>
          <w:sz w:val="20"/>
        </w:rPr>
      </w:pPr>
      <w:r>
        <w:rPr>
          <w:rFonts w:ascii="Times New Roman" w:hAnsi="Times New Roman"/>
          <w:sz w:val="20"/>
        </w:rPr>
        <w:t xml:space="preserve">Annual Awards include a portion that vests over a three-year continuous service period and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original fixed monetary amount of the award depending on the achievement of annual performance metrics. </w:t>
      </w:r>
    </w:p>
    <w:p>
      <w:pPr>
        <w:pStyle w:val="TextBody"/>
        <w:bidi w:val="0"/>
        <w:spacing w:before="240" w:after="0"/>
        <w:jc w:val="left"/>
        <w:rPr>
          <w:rFonts w:ascii="Times New Roman" w:hAnsi="Times New Roman"/>
          <w:sz w:val="20"/>
        </w:rPr>
      </w:pPr>
      <w:r>
        <w:rPr>
          <w:rFonts w:ascii="Times New Roman" w:hAnsi="Times New Roman"/>
          <w:sz w:val="20"/>
        </w:rPr>
        <w:t xml:space="preserve">Upon an initial public offering, and at the discretion of the Companys remuneration committee, each Executive Award could be converted into a variable number of shares based on the closing share price of the Company at the initial public offering date. As of March 31, 2023, awards are expected to settle in cash at the vesting date. Awards are forfeited if an employee leaves the Company before the awards vest.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2023, $32.2 million in share-based compensation cost and $6.2 million of tax benefit, was recognized in connection with the Executive Awards granted under the 2022 RSU Plan. As of March 31, 2023, $32.2 million was recognized as a liability comprising $18.4 million and $13.8 million in the current portion and non-current liability, respectively for the liability-classified Executive Awards granted under the 2022 RSU Plan on the Consolidated Balance Sheets. As of March 31, 2023, there was $62.8 million of total unrecognized compensation cost related to liability-classified Executive Awards expected to be recognized over a weighted-average period of 2.6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have any payments arising from normal course vesting events for liability-classified awards for the fiscal year ended March 31, 2023. As of March 31, 2023, none of the Executive Awards granted under the 2022 RSU Plan have vested. The table below shows the Companys commitment for potential payments and the liability recognized as of March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77"/>
        <w:gridCol w:w="361"/>
        <w:gridCol w:w="542"/>
        <w:gridCol w:w="1010"/>
        <w:gridCol w:w="60"/>
        <w:gridCol w:w="361"/>
        <w:gridCol w:w="658"/>
        <w:gridCol w:w="1222"/>
        <w:gridCol w:w="64"/>
      </w:tblGrid>
      <w:tr>
        <w:trPr/>
        <w:tc>
          <w:tcPr>
            <w:tcW w:w="347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4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Executive Award (in millions)</w:t>
            </w:r>
          </w:p>
        </w:tc>
        <w:tc>
          <w:tcPr>
            <w:tcW w:w="361"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Potential Fixed</w:t>
              <w:br/>
              <w:t>Monetary</w:t>
              <w:br/>
              <w:t>Amount</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Accrued Liability(1)</w:t>
            </w:r>
          </w:p>
        </w:tc>
        <w:tc>
          <w:tcPr>
            <w:tcW w:w="64" w:type="dxa"/>
            <w:tcBorders/>
            <w:vAlign w:val="bottom"/>
          </w:tcPr>
          <w:p>
            <w:pPr>
              <w:pStyle w:val="TableContents"/>
              <w:bidi w:val="0"/>
              <w:spacing w:before="0" w:after="283"/>
              <w:jc w:val="left"/>
              <w:rPr/>
            </w:pPr>
            <w:r>
              <w:rPr/>
              <w:t> </w:t>
            </w:r>
          </w:p>
        </w:tc>
      </w:tr>
      <w:tr>
        <w:trPr/>
        <w:tc>
          <w:tcPr>
            <w:tcW w:w="3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Launch Awards</w:t>
            </w:r>
          </w:p>
        </w:tc>
        <w:tc>
          <w:tcPr>
            <w:tcW w:w="361"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80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23</w:t>
            </w:r>
          </w:p>
        </w:tc>
        <w:tc>
          <w:tcPr>
            <w:tcW w:w="64" w:type="dxa"/>
            <w:tcBorders/>
            <w:shd w:fill="CCEEFF" w:val="clear"/>
            <w:vAlign w:val="bottom"/>
          </w:tcPr>
          <w:p>
            <w:pPr>
              <w:pStyle w:val="TableContents"/>
              <w:bidi w:val="0"/>
              <w:spacing w:before="0" w:after="283"/>
              <w:jc w:val="left"/>
              <w:rPr/>
            </w:pPr>
            <w:r>
              <w:rPr/>
              <w:t> </w:t>
            </w:r>
          </w:p>
        </w:tc>
      </w:tr>
      <w:tr>
        <w:trPr/>
        <w:tc>
          <w:tcPr>
            <w:tcW w:w="3477" w:type="dxa"/>
            <w:tcBorders/>
          </w:tcPr>
          <w:p>
            <w:pPr>
              <w:pStyle w:val="TableContents"/>
              <w:bidi w:val="0"/>
              <w:spacing w:before="0" w:after="0"/>
              <w:jc w:val="left"/>
              <w:rPr>
                <w:rFonts w:ascii="Times New Roman" w:hAnsi="Times New Roman"/>
                <w:sz w:val="20"/>
              </w:rPr>
            </w:pPr>
            <w:r>
              <w:rPr>
                <w:rFonts w:ascii="Times New Roman" w:hAnsi="Times New Roman"/>
                <w:sz w:val="20"/>
              </w:rPr>
              <w:t>Annual Awards</w:t>
            </w:r>
          </w:p>
        </w:tc>
        <w:tc>
          <w:tcPr>
            <w:tcW w:w="361"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3477"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542"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1"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32</w:t>
            </w:r>
          </w:p>
        </w:tc>
        <w:tc>
          <w:tcPr>
            <w:tcW w:w="64" w:type="dxa"/>
            <w:tcBorders/>
            <w:shd w:fill="CCEEFF" w:val="clear"/>
            <w:vAlign w:val="bottom"/>
          </w:tcPr>
          <w:p>
            <w:pPr>
              <w:pStyle w:val="TableContents"/>
              <w:bidi w:val="0"/>
              <w:spacing w:before="0" w:after="283"/>
              <w:jc w:val="left"/>
              <w:rPr/>
            </w:pPr>
            <w:r>
              <w:rPr/>
              <w:t> </w:t>
            </w:r>
          </w:p>
        </w:tc>
      </w:tr>
      <w:tr>
        <w:trPr/>
        <w:tc>
          <w:tcPr>
            <w:tcW w:w="3477"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542"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amount recorded for performance-based awards that probable of achievement.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Arm Non-Executive Directors RSU Award Plan (NED Plan)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the Company established the NED Plan for non-executive directors. The RSU awards issued under the NED Plan (the NED Awards) are subject to time-based vesting and continued service of the non-executive directors. The NED Plan allows for either cash or share settlement of the awards at the discretion of the Companys remuneration committee. As of March 31, 2023, the Company accounted for the NED Awards as liability-classified awards.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RSUs granted and outstanding for the fiscal year ended March 31, 2023 was 13,340. All RSUs have vested and unpaid as of fiscal year March 31, 2023, and are expected to be settled in cash. For the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ended and as of March 31, 2023, the share-based compensation cost and liability recognized was immaterial to the Companys Consolidated Income Statement and Consolidated Balance Sheets,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Cost </w:t>
      </w:r>
    </w:p>
    <w:p>
      <w:pPr>
        <w:pStyle w:val="TextBody"/>
        <w:bidi w:val="0"/>
        <w:spacing w:before="120" w:after="0"/>
        <w:jc w:val="left"/>
        <w:rPr>
          <w:rFonts w:ascii="Times New Roman" w:hAnsi="Times New Roman"/>
          <w:sz w:val="20"/>
        </w:rPr>
      </w:pPr>
      <w:r>
        <w:rPr>
          <w:rFonts w:ascii="Times New Roman" w:hAnsi="Times New Roman"/>
          <w:sz w:val="20"/>
        </w:rPr>
        <w:t xml:space="preserve">A summary of share-based compensation cost recognized on the Consolidated Income Statements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59"/>
        <w:gridCol w:w="435"/>
        <w:gridCol w:w="263"/>
        <w:gridCol w:w="722"/>
        <w:gridCol w:w="105"/>
        <w:gridCol w:w="521"/>
        <w:gridCol w:w="342"/>
        <w:gridCol w:w="647"/>
        <w:gridCol w:w="105"/>
        <w:gridCol w:w="521"/>
        <w:gridCol w:w="340"/>
        <w:gridCol w:w="647"/>
        <w:gridCol w:w="65"/>
      </w:tblGrid>
      <w:tr>
        <w:trPr/>
        <w:tc>
          <w:tcPr>
            <w:tcW w:w="3859"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21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65" w:type="dxa"/>
            <w:tcBorders/>
            <w:vAlign w:val="bottom"/>
          </w:tcPr>
          <w:p>
            <w:pPr>
              <w:pStyle w:val="TableContents"/>
              <w:bidi w:val="0"/>
              <w:spacing w:before="0" w:after="283"/>
              <w:jc w:val="left"/>
              <w:rPr/>
            </w:pPr>
            <w:r>
              <w:rPr/>
              <w:t> </w:t>
            </w:r>
          </w:p>
        </w:tc>
      </w:tr>
      <w:tr>
        <w:trPr/>
        <w:tc>
          <w:tcPr>
            <w:tcW w:w="38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35"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0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0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65"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43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12</w:t>
            </w:r>
          </w:p>
        </w:tc>
        <w:tc>
          <w:tcPr>
            <w:tcW w:w="105"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1</w:t>
            </w:r>
          </w:p>
        </w:tc>
        <w:tc>
          <w:tcPr>
            <w:tcW w:w="105"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2</w:t>
            </w:r>
          </w:p>
        </w:tc>
        <w:tc>
          <w:tcPr>
            <w:tcW w:w="65"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43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102</w:t>
            </w:r>
          </w:p>
        </w:tc>
        <w:tc>
          <w:tcPr>
            <w:tcW w:w="10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7</w:t>
            </w:r>
          </w:p>
        </w:tc>
        <w:tc>
          <w:tcPr>
            <w:tcW w:w="10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3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212</w:t>
            </w:r>
          </w:p>
        </w:tc>
        <w:tc>
          <w:tcPr>
            <w:tcW w:w="105"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18</w:t>
            </w:r>
          </w:p>
        </w:tc>
        <w:tc>
          <w:tcPr>
            <w:tcW w:w="105"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23</w:t>
            </w:r>
          </w:p>
        </w:tc>
        <w:tc>
          <w:tcPr>
            <w:tcW w:w="65" w:type="dxa"/>
            <w:tcBorders/>
            <w:shd w:fill="CCEEFF" w:val="clear"/>
            <w:vAlign w:val="bottom"/>
          </w:tcPr>
          <w:p>
            <w:pPr>
              <w:pStyle w:val="TableContents"/>
              <w:bidi w:val="0"/>
              <w:spacing w:before="0" w:after="283"/>
              <w:jc w:val="left"/>
              <w:rPr/>
            </w:pPr>
            <w:r>
              <w:rPr/>
              <w:t> </w:t>
            </w:r>
          </w:p>
        </w:tc>
      </w:tr>
      <w:tr>
        <w:trPr/>
        <w:tc>
          <w:tcPr>
            <w:tcW w:w="3859"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3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326</w:t>
            </w:r>
          </w:p>
        </w:tc>
        <w:tc>
          <w:tcPr>
            <w:tcW w:w="10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26</w:t>
            </w:r>
          </w:p>
        </w:tc>
        <w:tc>
          <w:tcPr>
            <w:tcW w:w="10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3859"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share-based compensation cost was capitalized during the fiscal years ended March 31, 2023, 2022 and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components of income before provision for income taxes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94"/>
        <w:gridCol w:w="356"/>
        <w:gridCol w:w="233"/>
        <w:gridCol w:w="637"/>
        <w:gridCol w:w="100"/>
        <w:gridCol w:w="423"/>
        <w:gridCol w:w="233"/>
        <w:gridCol w:w="637"/>
        <w:gridCol w:w="100"/>
        <w:gridCol w:w="423"/>
        <w:gridCol w:w="233"/>
        <w:gridCol w:w="639"/>
        <w:gridCol w:w="64"/>
      </w:tblGrid>
      <w:tr>
        <w:trPr/>
        <w:tc>
          <w:tcPr>
            <w:tcW w:w="449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94"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56" w:type="dxa"/>
            <w:tcBorders/>
            <w:vAlign w:val="bottom"/>
          </w:tcPr>
          <w:p>
            <w:pPr>
              <w:pStyle w:val="TableContents"/>
              <w:bidi w:val="0"/>
              <w:spacing w:before="0" w:after="283"/>
              <w:jc w:val="left"/>
              <w:rPr/>
            </w:pPr>
            <w:r>
              <w:rPr/>
              <w:t>  </w:t>
            </w:r>
          </w:p>
        </w:tc>
        <w:tc>
          <w:tcPr>
            <w:tcW w:w="3658"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Fiscal Year Ended March 31,    </w:t>
            </w:r>
          </w:p>
        </w:tc>
        <w:tc>
          <w:tcPr>
            <w:tcW w:w="64" w:type="dxa"/>
            <w:tcBorders/>
            <w:vAlign w:val="bottom"/>
          </w:tcPr>
          <w:p>
            <w:pPr>
              <w:pStyle w:val="TableContents"/>
              <w:bidi w:val="0"/>
              <w:spacing w:before="0" w:after="283"/>
              <w:jc w:val="left"/>
              <w:rPr/>
            </w:pPr>
            <w:r>
              <w:rPr/>
              <w:t> </w:t>
            </w:r>
          </w:p>
        </w:tc>
      </w:tr>
      <w:tr>
        <w:trPr/>
        <w:tc>
          <w:tcPr>
            <w:tcW w:w="4494" w:type="dxa"/>
            <w:vMerge w:val="continue"/>
            <w:tcBorders/>
            <w:vAlign w:val="bottom"/>
          </w:tcPr>
          <w:p>
            <w:pPr>
              <w:pStyle w:val="Normal"/>
              <w:bidi w:val="0"/>
              <w:jc w:val="left"/>
              <w:rPr/>
            </w:pPr>
            <w:r>
              <w:rPr/>
            </w:r>
          </w:p>
        </w:tc>
        <w:tc>
          <w:tcPr>
            <w:tcW w:w="356"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4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35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427</w:t>
            </w:r>
          </w:p>
        </w:tc>
        <w:tc>
          <w:tcPr>
            <w:tcW w:w="10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608</w:t>
            </w:r>
          </w:p>
        </w:tc>
        <w:tc>
          <w:tcPr>
            <w:tcW w:w="10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639" w:type="dxa"/>
            <w:tcBorders/>
            <w:shd w:fill="CCEEFF" w:val="clear"/>
            <w:vAlign w:val="bottom"/>
          </w:tcPr>
          <w:p>
            <w:pPr>
              <w:pStyle w:val="TableContents"/>
              <w:bidi w:val="0"/>
              <w:spacing w:before="0" w:after="283"/>
              <w:jc w:val="right"/>
              <w:rPr/>
            </w:pPr>
            <w:r>
              <w:rPr/>
              <w:t>468</w:t>
            </w:r>
          </w:p>
        </w:tc>
        <w:tc>
          <w:tcPr>
            <w:tcW w:w="64" w:type="dxa"/>
            <w:tcBorders/>
            <w:shd w:fill="CCEEFF" w:val="clear"/>
            <w:vAlign w:val="bottom"/>
          </w:tcPr>
          <w:p>
            <w:pPr>
              <w:pStyle w:val="TableContents"/>
              <w:bidi w:val="0"/>
              <w:spacing w:before="0" w:after="283"/>
              <w:jc w:val="left"/>
              <w:rPr/>
            </w:pPr>
            <w:r>
              <w:rPr/>
              <w:t> </w:t>
            </w:r>
          </w:p>
        </w:tc>
      </w:tr>
      <w:tr>
        <w:trPr/>
        <w:tc>
          <w:tcPr>
            <w:tcW w:w="4494"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5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244</w:t>
            </w:r>
          </w:p>
        </w:tc>
        <w:tc>
          <w:tcPr>
            <w:tcW w:w="1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178</w:t>
            </w:r>
          </w:p>
        </w:tc>
        <w:tc>
          <w:tcPr>
            <w:tcW w:w="1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229</w:t>
            </w:r>
          </w:p>
        </w:tc>
        <w:tc>
          <w:tcPr>
            <w:tcW w:w="64" w:type="dxa"/>
            <w:tcBorders/>
            <w:vAlign w:val="bottom"/>
          </w:tcPr>
          <w:p>
            <w:pPr>
              <w:pStyle w:val="TableContents"/>
              <w:bidi w:val="0"/>
              <w:spacing w:before="0" w:after="283"/>
              <w:jc w:val="left"/>
              <w:rPr/>
            </w:pPr>
            <w:r>
              <w:rPr/>
              <w:t> </w:t>
            </w:r>
          </w:p>
        </w:tc>
      </w:tr>
      <w:tr>
        <w:trPr/>
        <w:tc>
          <w:tcPr>
            <w:tcW w:w="4494"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from continuing operations before income taxes</w:t>
            </w:r>
          </w:p>
        </w:tc>
        <w:tc>
          <w:tcPr>
            <w:tcW w:w="35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671</w:t>
            </w:r>
          </w:p>
        </w:tc>
        <w:tc>
          <w:tcPr>
            <w:tcW w:w="10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786</w:t>
            </w:r>
          </w:p>
        </w:tc>
        <w:tc>
          <w:tcPr>
            <w:tcW w:w="10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639" w:type="dxa"/>
            <w:tcBorders/>
            <w:shd w:fill="CCEEFF" w:val="clear"/>
            <w:vAlign w:val="bottom"/>
          </w:tcPr>
          <w:p>
            <w:pPr>
              <w:pStyle w:val="TableContents"/>
              <w:bidi w:val="0"/>
              <w:spacing w:before="0" w:after="283"/>
              <w:jc w:val="right"/>
              <w:rPr/>
            </w:pPr>
            <w:r>
              <w:rPr/>
              <w:t>697</w:t>
            </w:r>
          </w:p>
        </w:tc>
        <w:tc>
          <w:tcPr>
            <w:tcW w:w="64" w:type="dxa"/>
            <w:tcBorders/>
            <w:shd w:fill="CCEEFF" w:val="clear"/>
            <w:vAlign w:val="bottom"/>
          </w:tcPr>
          <w:p>
            <w:pPr>
              <w:pStyle w:val="TableContents"/>
              <w:bidi w:val="0"/>
              <w:spacing w:before="0" w:after="283"/>
              <w:jc w:val="left"/>
              <w:rPr/>
            </w:pPr>
            <w:r>
              <w:rPr/>
              <w:t> </w:t>
            </w:r>
          </w:p>
        </w:tc>
      </w:tr>
      <w:tr>
        <w:trPr/>
        <w:tc>
          <w:tcPr>
            <w:tcW w:w="4494"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 (benefit) for income taxes consists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84"/>
        <w:gridCol w:w="351"/>
        <w:gridCol w:w="205"/>
        <w:gridCol w:w="572"/>
        <w:gridCol w:w="227"/>
        <w:gridCol w:w="398"/>
        <w:gridCol w:w="205"/>
        <w:gridCol w:w="666"/>
        <w:gridCol w:w="227"/>
        <w:gridCol w:w="398"/>
        <w:gridCol w:w="204"/>
        <w:gridCol w:w="575"/>
        <w:gridCol w:w="160"/>
      </w:tblGrid>
      <w:tr>
        <w:trPr/>
        <w:tc>
          <w:tcPr>
            <w:tcW w:w="4384"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4"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51" w:type="dxa"/>
            <w:tcBorders/>
            <w:vAlign w:val="bottom"/>
          </w:tcPr>
          <w:p>
            <w:pPr>
              <w:pStyle w:val="TableContents"/>
              <w:bidi w:val="0"/>
              <w:spacing w:before="0" w:after="283"/>
              <w:jc w:val="left"/>
              <w:rPr/>
            </w:pPr>
            <w:r>
              <w:rPr/>
              <w:t>  </w:t>
            </w:r>
          </w:p>
        </w:tc>
        <w:tc>
          <w:tcPr>
            <w:tcW w:w="3677"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Fiscal Year Ended March 31,    </w:t>
            </w:r>
          </w:p>
        </w:tc>
        <w:tc>
          <w:tcPr>
            <w:tcW w:w="160" w:type="dxa"/>
            <w:tcBorders/>
            <w:vAlign w:val="bottom"/>
          </w:tcPr>
          <w:p>
            <w:pPr>
              <w:pStyle w:val="TableContents"/>
              <w:bidi w:val="0"/>
              <w:spacing w:before="0" w:after="283"/>
              <w:jc w:val="left"/>
              <w:rPr/>
            </w:pPr>
            <w:r>
              <w:rPr/>
              <w:t> </w:t>
            </w:r>
          </w:p>
        </w:tc>
      </w:tr>
      <w:tr>
        <w:trPr/>
        <w:tc>
          <w:tcPr>
            <w:tcW w:w="4384" w:type="dxa"/>
            <w:vMerge w:val="continue"/>
            <w:tcBorders/>
            <w:vAlign w:val="bottom"/>
          </w:tcPr>
          <w:p>
            <w:pPr>
              <w:pStyle w:val="Normal"/>
              <w:bidi w:val="0"/>
              <w:jc w:val="left"/>
              <w:rPr/>
            </w:pPr>
            <w:r>
              <w:rPr/>
            </w:r>
          </w:p>
        </w:tc>
        <w:tc>
          <w:tcPr>
            <w:tcW w:w="351" w:type="dxa"/>
            <w:tcBorders/>
            <w:vAlign w:val="bottom"/>
          </w:tcPr>
          <w:p>
            <w:pPr>
              <w:pStyle w:val="TableContents"/>
              <w:bidi w:val="0"/>
              <w:spacing w:before="0" w:after="283"/>
              <w:jc w:val="left"/>
              <w:rPr/>
            </w:pPr>
            <w:r>
              <w:rPr/>
              <w:t>  </w:t>
            </w:r>
          </w:p>
        </w:tc>
        <w:tc>
          <w:tcPr>
            <w:tcW w:w="7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5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35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87</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44</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30</w:t>
            </w:r>
          </w:p>
        </w:tc>
        <w:tc>
          <w:tcPr>
            <w:tcW w:w="160"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Foreign</w:t>
            </w:r>
          </w:p>
        </w:tc>
        <w:tc>
          <w:tcPr>
            <w:tcW w:w="35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94</w:t>
            </w:r>
          </w:p>
        </w:tc>
        <w:tc>
          <w:tcPr>
            <w:tcW w:w="22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146</w:t>
            </w:r>
          </w:p>
        </w:tc>
        <w:tc>
          <w:tcPr>
            <w:tcW w:w="22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143</w:t>
            </w:r>
          </w:p>
        </w:tc>
        <w:tc>
          <w:tcPr>
            <w:tcW w:w="160"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tax expense</w:t>
            </w:r>
          </w:p>
        </w:tc>
        <w:tc>
          <w:tcPr>
            <w:tcW w:w="35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181</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190</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173</w:t>
            </w:r>
          </w:p>
        </w:tc>
        <w:tc>
          <w:tcPr>
            <w:tcW w:w="160"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35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35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(25</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53</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63</w:t>
            </w:r>
          </w:p>
        </w:tc>
        <w:tc>
          <w:tcPr>
            <w:tcW w:w="160"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5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w:t>
            </w:r>
          </w:p>
        </w:tc>
        <w:tc>
          <w:tcPr>
            <w:tcW w:w="22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(133</w:t>
            </w:r>
          </w:p>
        </w:tc>
        <w:tc>
          <w:tcPr>
            <w:tcW w:w="22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(83</w:t>
            </w:r>
          </w:p>
        </w:tc>
        <w:tc>
          <w:tcPr>
            <w:tcW w:w="160"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benefit</w:t>
            </w:r>
          </w:p>
        </w:tc>
        <w:tc>
          <w:tcPr>
            <w:tcW w:w="35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(34</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(80</w:t>
            </w:r>
          </w:p>
        </w:tc>
        <w:tc>
          <w:tcPr>
            <w:tcW w:w="22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(20</w:t>
            </w:r>
          </w:p>
        </w:tc>
        <w:tc>
          <w:tcPr>
            <w:tcW w:w="160"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income tax expense</w:t>
            </w:r>
          </w:p>
        </w:tc>
        <w:tc>
          <w:tcPr>
            <w:tcW w:w="35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147</w:t>
            </w:r>
          </w:p>
        </w:tc>
        <w:tc>
          <w:tcPr>
            <w:tcW w:w="22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110</w:t>
            </w:r>
          </w:p>
        </w:tc>
        <w:tc>
          <w:tcPr>
            <w:tcW w:w="22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153</w:t>
            </w:r>
          </w:p>
        </w:tc>
        <w:tc>
          <w:tcPr>
            <w:tcW w:w="160"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reconciliation of the United Kingdom statutory income tax rate to the effective tax rate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92"/>
        <w:gridCol w:w="234"/>
        <w:gridCol w:w="218"/>
        <w:gridCol w:w="599"/>
        <w:gridCol w:w="241"/>
        <w:gridCol w:w="262"/>
        <w:gridCol w:w="218"/>
        <w:gridCol w:w="599"/>
        <w:gridCol w:w="241"/>
        <w:gridCol w:w="387"/>
        <w:gridCol w:w="218"/>
        <w:gridCol w:w="603"/>
        <w:gridCol w:w="160"/>
      </w:tblGrid>
      <w:tr>
        <w:trPr/>
        <w:tc>
          <w:tcPr>
            <w:tcW w:w="4592"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2"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34" w:type="dxa"/>
            <w:tcBorders/>
            <w:vAlign w:val="bottom"/>
          </w:tcPr>
          <w:p>
            <w:pPr>
              <w:pStyle w:val="TableContents"/>
              <w:bidi w:val="0"/>
              <w:spacing w:before="0" w:after="283"/>
              <w:jc w:val="left"/>
              <w:rPr/>
            </w:pPr>
            <w:r>
              <w:rPr/>
              <w:t> </w:t>
            </w:r>
          </w:p>
        </w:tc>
        <w:tc>
          <w:tcPr>
            <w:tcW w:w="3586"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Fiscal Year Ended March 31,    </w:t>
            </w:r>
          </w:p>
        </w:tc>
        <w:tc>
          <w:tcPr>
            <w:tcW w:w="160" w:type="dxa"/>
            <w:tcBorders/>
            <w:vAlign w:val="bottom"/>
          </w:tcPr>
          <w:p>
            <w:pPr>
              <w:pStyle w:val="TableContents"/>
              <w:bidi w:val="0"/>
              <w:spacing w:before="0" w:after="283"/>
              <w:jc w:val="left"/>
              <w:rPr/>
            </w:pPr>
            <w:r>
              <w:rPr/>
              <w:t> </w:t>
            </w:r>
          </w:p>
        </w:tc>
      </w:tr>
      <w:tr>
        <w:trPr/>
        <w:tc>
          <w:tcPr>
            <w:tcW w:w="4592" w:type="dxa"/>
            <w:vMerge w:val="continue"/>
            <w:tcBorders/>
            <w:vAlign w:val="bottom"/>
          </w:tcPr>
          <w:p>
            <w:pPr>
              <w:pStyle w:val="Normal"/>
              <w:bidi w:val="0"/>
              <w:jc w:val="left"/>
              <w:rPr/>
            </w:pPr>
            <w:r>
              <w:rPr/>
            </w:r>
          </w:p>
        </w:tc>
        <w:tc>
          <w:tcPr>
            <w:tcW w:w="234"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4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41"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 at statutory rate</w:t>
            </w:r>
          </w:p>
        </w:tc>
        <w:tc>
          <w:tcPr>
            <w:tcW w:w="23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599" w:type="dxa"/>
            <w:tcBorders/>
            <w:shd w:fill="CCEEFF" w:val="clear"/>
            <w:vAlign w:val="bottom"/>
          </w:tcPr>
          <w:p>
            <w:pPr>
              <w:pStyle w:val="TableContents"/>
              <w:bidi w:val="0"/>
              <w:spacing w:before="0" w:after="283"/>
              <w:jc w:val="right"/>
              <w:rPr/>
            </w:pPr>
            <w:r>
              <w:rPr/>
              <w:t>127</w:t>
            </w:r>
          </w:p>
        </w:tc>
        <w:tc>
          <w:tcPr>
            <w:tcW w:w="241"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599" w:type="dxa"/>
            <w:tcBorders/>
            <w:shd w:fill="CCEEFF" w:val="clear"/>
            <w:vAlign w:val="bottom"/>
          </w:tcPr>
          <w:p>
            <w:pPr>
              <w:pStyle w:val="TableContents"/>
              <w:bidi w:val="0"/>
              <w:spacing w:before="0" w:after="283"/>
              <w:jc w:val="right"/>
              <w:rPr/>
            </w:pPr>
            <w:r>
              <w:rPr/>
              <w:t>149</w:t>
            </w:r>
          </w:p>
        </w:tc>
        <w:tc>
          <w:tcPr>
            <w:tcW w:w="241"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603" w:type="dxa"/>
            <w:tcBorders/>
            <w:shd w:fill="CCEEFF" w:val="clear"/>
            <w:vAlign w:val="bottom"/>
          </w:tcPr>
          <w:p>
            <w:pPr>
              <w:pStyle w:val="TableContents"/>
              <w:bidi w:val="0"/>
              <w:spacing w:before="0" w:after="283"/>
              <w:jc w:val="right"/>
              <w:rPr/>
            </w:pPr>
            <w:r>
              <w:rPr/>
              <w:t>132</w:t>
            </w:r>
          </w:p>
        </w:tc>
        <w:tc>
          <w:tcPr>
            <w:tcW w:w="160"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Foreign tax rate differential</w:t>
            </w:r>
          </w:p>
        </w:tc>
        <w:tc>
          <w:tcPr>
            <w:tcW w:w="2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2</w:t>
            </w:r>
          </w:p>
        </w:tc>
        <w:tc>
          <w:tcPr>
            <w:tcW w:w="24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(8</w:t>
            </w:r>
          </w:p>
        </w:tc>
        <w:tc>
          <w:tcPr>
            <w:tcW w:w="241"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23</w:t>
            </w:r>
          </w:p>
        </w:tc>
        <w:tc>
          <w:tcPr>
            <w:tcW w:w="160"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w:t>
            </w:r>
          </w:p>
        </w:tc>
        <w:tc>
          <w:tcPr>
            <w:tcW w:w="23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(37</w:t>
            </w:r>
          </w:p>
        </w:tc>
        <w:tc>
          <w:tcPr>
            <w:tcW w:w="241"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(25</w:t>
            </w:r>
          </w:p>
        </w:tc>
        <w:tc>
          <w:tcPr>
            <w:tcW w:w="241"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(25</w:t>
            </w:r>
          </w:p>
        </w:tc>
        <w:tc>
          <w:tcPr>
            <w:tcW w:w="160"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allowances</w:t>
            </w:r>
          </w:p>
        </w:tc>
        <w:tc>
          <w:tcPr>
            <w:tcW w:w="2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5</w:t>
            </w:r>
          </w:p>
        </w:tc>
        <w:tc>
          <w:tcPr>
            <w:tcW w:w="24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(22</w:t>
            </w:r>
          </w:p>
        </w:tc>
        <w:tc>
          <w:tcPr>
            <w:tcW w:w="241"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(85</w:t>
            </w:r>
          </w:p>
        </w:tc>
        <w:tc>
          <w:tcPr>
            <w:tcW w:w="160"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Non-deductible/non-taxable items</w:t>
            </w:r>
          </w:p>
        </w:tc>
        <w:tc>
          <w:tcPr>
            <w:tcW w:w="23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3</w:t>
            </w:r>
          </w:p>
        </w:tc>
        <w:tc>
          <w:tcPr>
            <w:tcW w:w="241"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(3</w:t>
            </w:r>
          </w:p>
        </w:tc>
        <w:tc>
          <w:tcPr>
            <w:tcW w:w="241"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15</w:t>
            </w:r>
          </w:p>
        </w:tc>
        <w:tc>
          <w:tcPr>
            <w:tcW w:w="160"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Patent box benefit</w:t>
            </w:r>
          </w:p>
        </w:tc>
        <w:tc>
          <w:tcPr>
            <w:tcW w:w="2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(25</w:t>
            </w:r>
          </w:p>
        </w:tc>
        <w:tc>
          <w:tcPr>
            <w:tcW w:w="24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(69</w:t>
            </w:r>
          </w:p>
        </w:tc>
        <w:tc>
          <w:tcPr>
            <w:tcW w:w="241"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(33</w:t>
            </w:r>
          </w:p>
        </w:tc>
        <w:tc>
          <w:tcPr>
            <w:tcW w:w="160"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UK rate change</w:t>
            </w:r>
          </w:p>
        </w:tc>
        <w:tc>
          <w:tcPr>
            <w:tcW w:w="23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2</w:t>
            </w:r>
          </w:p>
        </w:tc>
        <w:tc>
          <w:tcPr>
            <w:tcW w:w="241"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64</w:t>
            </w:r>
          </w:p>
        </w:tc>
        <w:tc>
          <w:tcPr>
            <w:tcW w:w="241"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13</w:t>
            </w:r>
          </w:p>
        </w:tc>
        <w:tc>
          <w:tcPr>
            <w:tcW w:w="160"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2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72</w:t>
            </w:r>
          </w:p>
        </w:tc>
        <w:tc>
          <w:tcPr>
            <w:tcW w:w="24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32</w:t>
            </w:r>
          </w:p>
        </w:tc>
        <w:tc>
          <w:tcPr>
            <w:tcW w:w="241"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107</w:t>
            </w:r>
          </w:p>
        </w:tc>
        <w:tc>
          <w:tcPr>
            <w:tcW w:w="160"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Gains exempt from UK tax</w:t>
            </w:r>
          </w:p>
        </w:tc>
        <w:tc>
          <w:tcPr>
            <w:tcW w:w="23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(2</w:t>
            </w:r>
          </w:p>
        </w:tc>
        <w:tc>
          <w:tcPr>
            <w:tcW w:w="241"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(8</w:t>
            </w:r>
          </w:p>
        </w:tc>
        <w:tc>
          <w:tcPr>
            <w:tcW w:w="241"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6</w:t>
            </w:r>
          </w:p>
        </w:tc>
        <w:tc>
          <w:tcPr>
            <w:tcW w:w="160" w:type="dxa"/>
            <w:tcBorders/>
            <w:shd w:fill="CCEEFF" w:val="clear"/>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tax expense (benefit)</w:t>
            </w:r>
          </w:p>
        </w:tc>
        <w:tc>
          <w:tcPr>
            <w:tcW w:w="2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599" w:type="dxa"/>
            <w:tcBorders/>
            <w:vAlign w:val="bottom"/>
          </w:tcPr>
          <w:p>
            <w:pPr>
              <w:pStyle w:val="TableContents"/>
              <w:bidi w:val="0"/>
              <w:spacing w:before="0" w:after="283"/>
              <w:jc w:val="right"/>
              <w:rPr/>
            </w:pPr>
            <w:r>
              <w:rPr/>
              <w:t>147</w:t>
            </w:r>
          </w:p>
        </w:tc>
        <w:tc>
          <w:tcPr>
            <w:tcW w:w="24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599" w:type="dxa"/>
            <w:tcBorders/>
            <w:vAlign w:val="bottom"/>
          </w:tcPr>
          <w:p>
            <w:pPr>
              <w:pStyle w:val="TableContents"/>
              <w:bidi w:val="0"/>
              <w:spacing w:before="0" w:after="283"/>
              <w:jc w:val="right"/>
              <w:rPr/>
            </w:pPr>
            <w:r>
              <w:rPr/>
              <w:t>110</w:t>
            </w:r>
          </w:p>
        </w:tc>
        <w:tc>
          <w:tcPr>
            <w:tcW w:w="241"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603" w:type="dxa"/>
            <w:tcBorders/>
            <w:vAlign w:val="bottom"/>
          </w:tcPr>
          <w:p>
            <w:pPr>
              <w:pStyle w:val="TableContents"/>
              <w:bidi w:val="0"/>
              <w:spacing w:before="0" w:after="283"/>
              <w:jc w:val="right"/>
              <w:rPr/>
            </w:pPr>
            <w:r>
              <w:rPr/>
              <w:t>153</w:t>
            </w:r>
          </w:p>
        </w:tc>
        <w:tc>
          <w:tcPr>
            <w:tcW w:w="160"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 expense reported in the statement of profit and loss</w:t>
            </w:r>
          </w:p>
        </w:tc>
        <w:tc>
          <w:tcPr>
            <w:tcW w:w="23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147</w:t>
            </w:r>
          </w:p>
        </w:tc>
        <w:tc>
          <w:tcPr>
            <w:tcW w:w="241"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110</w:t>
            </w:r>
          </w:p>
        </w:tc>
        <w:tc>
          <w:tcPr>
            <w:tcW w:w="241"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153</w:t>
            </w:r>
          </w:p>
        </w:tc>
        <w:tc>
          <w:tcPr>
            <w:tcW w:w="160" w:type="dxa"/>
            <w:tcBorders/>
            <w:shd w:fill="CCEEFF" w:val="clear"/>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tax expense/(credit) attributable to discontinued operations</w:t>
            </w:r>
          </w:p>
        </w:tc>
        <w:tc>
          <w:tcPr>
            <w:tcW w:w="2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b/>
              </w:rPr>
            </w:pPr>
            <w:r>
              <w:rPr>
                <w:b/>
              </w:rPr>
              <w:t>  </w:t>
            </w:r>
          </w:p>
        </w:tc>
        <w:tc>
          <w:tcPr>
            <w:tcW w:w="24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28</w:t>
            </w:r>
          </w:p>
        </w:tc>
        <w:tc>
          <w:tcPr>
            <w:tcW w:w="241"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(38</w:t>
            </w:r>
          </w:p>
        </w:tc>
        <w:tc>
          <w:tcPr>
            <w:tcW w:w="1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of the statutory rate to the effective tax rate is performed at the UK current year statutory rate of 19%. In June 2021, legislation was enacted in the U.K. to increase the corporation tax rate to 25% with effect from April 2023. </w:t>
      </w:r>
    </w:p>
    <w:p>
      <w:pPr>
        <w:pStyle w:val="TextBody"/>
        <w:bidi w:val="0"/>
        <w:spacing w:before="240" w:after="0"/>
        <w:jc w:val="left"/>
        <w:rPr>
          <w:rFonts w:ascii="Times New Roman" w:hAnsi="Times New Roman"/>
          <w:sz w:val="20"/>
        </w:rPr>
      </w:pPr>
      <w:r>
        <w:rPr>
          <w:rFonts w:ascii="Times New Roman" w:hAnsi="Times New Roman"/>
          <w:sz w:val="20"/>
        </w:rPr>
        <w:t xml:space="preserve">Income tax expense was $147 million, $110 million and $153 million for the fiscal years ended March 31, 2023, 2022 and 2021, respectively. Arms effective tax rate for the fiscal years ended March 31, 2023, 2022 and 2021 was 22%, 14% and 22%, respectively. The Companys effective tax rate increased by 8% primarily due to significant irrecoverable withholding taxes in the fiscal year ended March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significant components of deferred tax assets and liabilities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86"/>
        <w:gridCol w:w="367"/>
        <w:gridCol w:w="152"/>
        <w:gridCol w:w="498"/>
        <w:gridCol w:w="168"/>
        <w:gridCol w:w="374"/>
        <w:gridCol w:w="152"/>
        <w:gridCol w:w="500"/>
        <w:gridCol w:w="158"/>
      </w:tblGrid>
      <w:tr>
        <w:trPr/>
        <w:tc>
          <w:tcPr>
            <w:tcW w:w="5386"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8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158" w:type="dxa"/>
            <w:tcBorders/>
            <w:vAlign w:val="bottom"/>
          </w:tcPr>
          <w:p>
            <w:pPr>
              <w:pStyle w:val="TableContents"/>
              <w:bidi w:val="0"/>
              <w:spacing w:before="0" w:after="283"/>
              <w:jc w:val="left"/>
              <w:rPr/>
            </w:pPr>
            <w:r>
              <w:rPr/>
              <w:t> </w:t>
            </w:r>
          </w:p>
        </w:tc>
      </w:tr>
      <w:tr>
        <w:trPr/>
        <w:tc>
          <w:tcPr>
            <w:tcW w:w="53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67"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3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13</w:t>
            </w:r>
          </w:p>
        </w:tc>
        <w:tc>
          <w:tcPr>
            <w:tcW w:w="16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t>14</w:t>
            </w:r>
          </w:p>
        </w:tc>
        <w:tc>
          <w:tcPr>
            <w:tcW w:w="158" w:type="dxa"/>
            <w:tcBorders/>
            <w:shd w:fill="CCEEFF" w:val="clear"/>
            <w:vAlign w:val="bottom"/>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23</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15</w:t>
            </w:r>
          </w:p>
        </w:tc>
        <w:tc>
          <w:tcPr>
            <w:tcW w:w="158" w:type="dxa"/>
            <w:tcBorders/>
            <w:vAlign w:val="bottom"/>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losses and R&amp;D tax credits</w:t>
            </w:r>
          </w:p>
        </w:tc>
        <w:tc>
          <w:tcPr>
            <w:tcW w:w="3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147</w:t>
            </w:r>
          </w:p>
        </w:tc>
        <w:tc>
          <w:tcPr>
            <w:tcW w:w="16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145</w:t>
            </w:r>
          </w:p>
        </w:tc>
        <w:tc>
          <w:tcPr>
            <w:tcW w:w="158" w:type="dxa"/>
            <w:tcBorders/>
            <w:shd w:fill="CCEEFF" w:val="clear"/>
            <w:vAlign w:val="bottom"/>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7</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30</w:t>
            </w:r>
          </w:p>
        </w:tc>
        <w:tc>
          <w:tcPr>
            <w:tcW w:w="16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Reserves and other liabilities</w:t>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27</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45</w:t>
            </w:r>
          </w:p>
        </w:tc>
        <w:tc>
          <w:tcPr>
            <w:tcW w:w="158" w:type="dxa"/>
            <w:tcBorders/>
            <w:vAlign w:val="bottom"/>
          </w:tcPr>
          <w:p>
            <w:pPr>
              <w:pStyle w:val="TableContents"/>
              <w:bidi w:val="0"/>
              <w:spacing w:before="0" w:after="283"/>
              <w:jc w:val="left"/>
              <w:rPr/>
            </w:pPr>
            <w:r>
              <w:rPr/>
              <w:t> </w:t>
            </w:r>
          </w:p>
        </w:tc>
      </w:tr>
      <w:tr>
        <w:trPr/>
        <w:tc>
          <w:tcPr>
            <w:tcW w:w="538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gross deferred tax assets</w:t>
            </w:r>
          </w:p>
        </w:tc>
        <w:tc>
          <w:tcPr>
            <w:tcW w:w="3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247</w:t>
            </w:r>
          </w:p>
        </w:tc>
        <w:tc>
          <w:tcPr>
            <w:tcW w:w="16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234</w:t>
            </w:r>
          </w:p>
        </w:tc>
        <w:tc>
          <w:tcPr>
            <w:tcW w:w="158" w:type="dxa"/>
            <w:tcBorders/>
            <w:shd w:fill="CCEEFF" w:val="clear"/>
            <w:vAlign w:val="bottom"/>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(21</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538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deferred tax assets, net of valuation allowance</w:t>
            </w:r>
          </w:p>
        </w:tc>
        <w:tc>
          <w:tcPr>
            <w:tcW w:w="3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226</w:t>
            </w:r>
          </w:p>
        </w:tc>
        <w:tc>
          <w:tcPr>
            <w:tcW w:w="16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218</w:t>
            </w:r>
          </w:p>
        </w:tc>
        <w:tc>
          <w:tcPr>
            <w:tcW w:w="158" w:type="dxa"/>
            <w:tcBorders/>
            <w:shd w:fill="CCEEFF" w:val="clear"/>
            <w:vAlign w:val="bottom"/>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(12</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intangibles</w:t>
            </w:r>
          </w:p>
        </w:tc>
        <w:tc>
          <w:tcPr>
            <w:tcW w:w="3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(6</w:t>
            </w:r>
          </w:p>
        </w:tc>
        <w:tc>
          <w:tcPr>
            <w:tcW w:w="16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Outside basis differences</w:t>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(110</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(116</w:t>
            </w:r>
          </w:p>
        </w:tc>
        <w:tc>
          <w:tcPr>
            <w:tcW w:w="158" w:type="dxa"/>
            <w:tcBorders/>
            <w:vAlign w:val="bottom"/>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Hedging reserve</w:t>
            </w:r>
          </w:p>
        </w:tc>
        <w:tc>
          <w:tcPr>
            <w:tcW w:w="3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(3</w:t>
            </w:r>
          </w:p>
        </w:tc>
        <w:tc>
          <w:tcPr>
            <w:tcW w:w="16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(218</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(224</w:t>
            </w:r>
          </w:p>
        </w:tc>
        <w:tc>
          <w:tcPr>
            <w:tcW w:w="158" w:type="dxa"/>
            <w:tcBorders/>
            <w:vAlign w:val="bottom"/>
          </w:tcPr>
          <w:p>
            <w:pPr>
              <w:pStyle w:val="TableContents"/>
              <w:bidi w:val="0"/>
              <w:spacing w:before="0" w:after="283"/>
              <w:jc w:val="left"/>
              <w:rPr/>
            </w:pPr>
            <w:r>
              <w:rPr/>
              <w:t>) </w:t>
            </w:r>
          </w:p>
        </w:tc>
      </w:tr>
      <w:tr>
        <w:trPr/>
        <w:tc>
          <w:tcPr>
            <w:tcW w:w="538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deferred tax liabilities</w:t>
            </w:r>
          </w:p>
        </w:tc>
        <w:tc>
          <w:tcPr>
            <w:tcW w:w="3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(349</w:t>
            </w:r>
          </w:p>
        </w:tc>
        <w:tc>
          <w:tcPr>
            <w:tcW w:w="16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(362</w:t>
            </w:r>
          </w:p>
        </w:tc>
        <w:tc>
          <w:tcPr>
            <w:tcW w:w="158" w:type="dxa"/>
            <w:tcBorders/>
            <w:shd w:fill="CCEEFF" w:val="clear"/>
            <w:vAlign w:val="bottom"/>
          </w:tcPr>
          <w:p>
            <w:pPr>
              <w:pStyle w:val="TableContents"/>
              <w:bidi w:val="0"/>
              <w:spacing w:before="0" w:after="283"/>
              <w:jc w:val="left"/>
              <w:rPr/>
            </w:pPr>
            <w:r>
              <w:rPr/>
              <w:t>) </w:t>
            </w:r>
          </w:p>
        </w:tc>
      </w:tr>
      <w:tr>
        <w:trPr/>
        <w:tc>
          <w:tcPr>
            <w:tcW w:w="538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deferred tax liabilities</w:t>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(123</w:t>
            </w:r>
          </w:p>
        </w:tc>
        <w:tc>
          <w:tcPr>
            <w:tcW w:w="16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t>(144</w:t>
            </w:r>
          </w:p>
        </w:tc>
        <w:tc>
          <w:tcPr>
            <w:tcW w:w="158" w:type="dxa"/>
            <w:tcBorders/>
            <w:vAlign w:val="bottom"/>
          </w:tcPr>
          <w:p>
            <w:pPr>
              <w:pStyle w:val="TableContents"/>
              <w:bidi w:val="0"/>
              <w:spacing w:before="0" w:after="283"/>
              <w:jc w:val="left"/>
              <w:rPr/>
            </w:pPr>
            <w:r>
              <w:rPr/>
              <w:t>) </w:t>
            </w:r>
          </w:p>
        </w:tc>
      </w:tr>
      <w:tr>
        <w:trPr/>
        <w:tc>
          <w:tcPr>
            <w:tcW w:w="538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50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Company had a United Kingdom corporate tax loss carryforward of $42 million ($10 million tax effected) and U.K. R&amp;D Expenditure Credits of $37 million. These tax losses have no expiration date. The Company has U.S. federal net operating loss carryforwards of approximately $14 million ($3 million tax effected) of which $1 million has no expiration date and $13 million ($3 million tax effected) will expire between fiscal years 2033 and 2038 if not utilized. The Company also has a tax asset in respect of state net operating losses of $46 million ($3 million net of federal benefit) which will expire between fiscal years 2025 and 2043 if not utilized. The Company has U.S. Federal tax credit carryforwards of $72 million which will expire between 2035 and 2043. In addition, the Company has state tax credits of $37 million ($29 million net of federal benefit) of which $22 million has no expiration date and $15 million will expire between 2037 and 2043.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Company has provided a valuation allowance on certain U.K. tax losses and US State R&amp;D tax credits. This is based on an analysis of historical taxable income, the projected reversal of deferred tax liabilities, projected taxable income and tax planning strategies. The Company believes, more likely than not, that it will have sufficient taxable income to utilize its remaining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Utilization of the U.S. federal net operating loss and tax credit carryforwards may be subject to annual limitations due to the ownership change limitations provided by the U.S. Internal Revenue Code of 1986, as amended, and similar state provisions. Such annual limitations could result in the expiration of the net operating loss and tax credit carryforwards before their utilization. The events that may cause ownership changes include, but are not limited to, a cumulative stock ownership change of greater than 50% over a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Company intends to indefinitely reinvest approximately $154 million of cumulative undistributed earnings of its U.S. subsidiaries and no deferred tax liability was recorded for these undistributed earnings.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changes in gross unrecognized tax benefits: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23"/>
        <w:gridCol w:w="413"/>
        <w:gridCol w:w="245"/>
        <w:gridCol w:w="455"/>
        <w:gridCol w:w="271"/>
        <w:gridCol w:w="497"/>
        <w:gridCol w:w="245"/>
        <w:gridCol w:w="591"/>
        <w:gridCol w:w="271"/>
        <w:gridCol w:w="497"/>
        <w:gridCol w:w="245"/>
        <w:gridCol w:w="461"/>
        <w:gridCol w:w="158"/>
      </w:tblGrid>
      <w:tr>
        <w:trPr/>
        <w:tc>
          <w:tcPr>
            <w:tcW w:w="4223"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23"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3778"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Fiscal Year Ended March 31,    </w:t>
            </w:r>
          </w:p>
        </w:tc>
        <w:tc>
          <w:tcPr>
            <w:tcW w:w="158" w:type="dxa"/>
            <w:tcBorders/>
            <w:vAlign w:val="bottom"/>
          </w:tcPr>
          <w:p>
            <w:pPr>
              <w:pStyle w:val="TableContents"/>
              <w:bidi w:val="0"/>
              <w:spacing w:before="0" w:after="283"/>
              <w:jc w:val="left"/>
              <w:rPr/>
            </w:pPr>
            <w:r>
              <w:rPr/>
              <w:t> </w:t>
            </w:r>
          </w:p>
        </w:tc>
      </w:tr>
      <w:tr>
        <w:trPr/>
        <w:tc>
          <w:tcPr>
            <w:tcW w:w="42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1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8" w:type="dxa"/>
            <w:tcBorders/>
            <w:vAlign w:val="bottom"/>
          </w:tcPr>
          <w:p>
            <w:pPr>
              <w:pStyle w:val="TableContents"/>
              <w:bidi w:val="0"/>
              <w:spacing w:before="0" w:after="283"/>
              <w:jc w:val="left"/>
              <w:rPr/>
            </w:pPr>
            <w:r>
              <w:rPr/>
              <w:t> </w:t>
            </w:r>
          </w:p>
        </w:tc>
      </w:tr>
      <w:tr>
        <w:trPr/>
        <w:tc>
          <w:tcPr>
            <w:tcW w:w="42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unrecognized tax benefits  April 1</w:t>
            </w:r>
          </w:p>
        </w:tc>
        <w:tc>
          <w:tcPr>
            <w:tcW w:w="4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54</w:t>
            </w:r>
          </w:p>
        </w:tc>
        <w:tc>
          <w:tcPr>
            <w:tcW w:w="271"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75</w:t>
            </w:r>
          </w:p>
        </w:tc>
        <w:tc>
          <w:tcPr>
            <w:tcW w:w="271"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61" w:type="dxa"/>
            <w:tcBorders/>
            <w:shd w:fill="CCEEFF" w:val="clear"/>
            <w:vAlign w:val="bottom"/>
          </w:tcPr>
          <w:p>
            <w:pPr>
              <w:pStyle w:val="TableContents"/>
              <w:bidi w:val="0"/>
              <w:spacing w:before="0" w:after="283"/>
              <w:jc w:val="right"/>
              <w:rPr/>
            </w:pPr>
            <w:r>
              <w:rPr/>
              <w:t>68</w:t>
            </w:r>
          </w:p>
        </w:tc>
        <w:tc>
          <w:tcPr>
            <w:tcW w:w="158" w:type="dxa"/>
            <w:tcBorders/>
            <w:shd w:fill="CCEEFF" w:val="clear"/>
            <w:vAlign w:val="bottom"/>
          </w:tcPr>
          <w:p>
            <w:pPr>
              <w:pStyle w:val="TableContents"/>
              <w:bidi w:val="0"/>
              <w:spacing w:before="0" w:after="283"/>
              <w:jc w:val="left"/>
              <w:rPr/>
            </w:pPr>
            <w:r>
              <w:rPr/>
              <w:t> </w:t>
            </w:r>
          </w:p>
        </w:tc>
      </w:tr>
      <w:tr>
        <w:trPr/>
        <w:tc>
          <w:tcPr>
            <w:tcW w:w="4223" w:type="dxa"/>
            <w:tcBorders/>
          </w:tcPr>
          <w:p>
            <w:pPr>
              <w:pStyle w:val="TableContents"/>
              <w:bidi w:val="0"/>
              <w:spacing w:before="0" w:after="0"/>
              <w:jc w:val="left"/>
              <w:rPr>
                <w:rFonts w:ascii="Times New Roman" w:hAnsi="Times New Roman"/>
                <w:sz w:val="20"/>
              </w:rPr>
            </w:pPr>
            <w:r>
              <w:rPr>
                <w:rFonts w:ascii="Times New Roman" w:hAnsi="Times New Roman"/>
                <w:sz w:val="20"/>
              </w:rPr>
              <w:t>Gross increases  tax positions in prior period</w:t>
            </w:r>
          </w:p>
        </w:tc>
        <w:tc>
          <w:tcPr>
            <w:tcW w:w="4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6</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2</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42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decreases  tax positions in prior period</w:t>
            </w:r>
          </w:p>
        </w:tc>
        <w:tc>
          <w:tcPr>
            <w:tcW w:w="4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4223" w:type="dxa"/>
            <w:tcBorders/>
          </w:tcPr>
          <w:p>
            <w:pPr>
              <w:pStyle w:val="TableContents"/>
              <w:bidi w:val="0"/>
              <w:spacing w:before="0" w:after="0"/>
              <w:jc w:val="left"/>
              <w:rPr>
                <w:rFonts w:ascii="Times New Roman" w:hAnsi="Times New Roman"/>
                <w:sz w:val="20"/>
              </w:rPr>
            </w:pPr>
            <w:r>
              <w:rPr>
                <w:rFonts w:ascii="Times New Roman" w:hAnsi="Times New Roman"/>
                <w:sz w:val="20"/>
              </w:rPr>
              <w:t>Gross increases  tax positions in current period</w:t>
            </w:r>
          </w:p>
        </w:tc>
        <w:tc>
          <w:tcPr>
            <w:tcW w:w="4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7</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6</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42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4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w:t>
            </w:r>
          </w:p>
        </w:tc>
        <w:tc>
          <w:tcPr>
            <w:tcW w:w="271"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(28</w:t>
            </w:r>
          </w:p>
        </w:tc>
        <w:tc>
          <w:tcPr>
            <w:tcW w:w="271"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(9</w:t>
            </w:r>
          </w:p>
        </w:tc>
        <w:tc>
          <w:tcPr>
            <w:tcW w:w="158" w:type="dxa"/>
            <w:tcBorders/>
            <w:shd w:fill="CCEEFF" w:val="clear"/>
            <w:vAlign w:val="bottom"/>
          </w:tcPr>
          <w:p>
            <w:pPr>
              <w:pStyle w:val="TableContents"/>
              <w:bidi w:val="0"/>
              <w:spacing w:before="0" w:after="283"/>
              <w:jc w:val="left"/>
              <w:rPr/>
            </w:pPr>
            <w:r>
              <w:rPr/>
              <w:t>) </w:t>
            </w:r>
          </w:p>
        </w:tc>
      </w:tr>
      <w:tr>
        <w:trPr/>
        <w:tc>
          <w:tcPr>
            <w:tcW w:w="4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Lapse of statute of limitations</w:t>
            </w:r>
          </w:p>
        </w:tc>
        <w:tc>
          <w:tcPr>
            <w:tcW w:w="4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b/>
              </w:rPr>
            </w:pPr>
            <w:r>
              <w:rPr>
                <w:b/>
              </w:rPr>
              <w:t>  </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4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Foreign exchange</w:t>
            </w:r>
          </w:p>
        </w:tc>
        <w:tc>
          <w:tcPr>
            <w:tcW w:w="4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(3</w:t>
            </w:r>
          </w:p>
        </w:tc>
        <w:tc>
          <w:tcPr>
            <w:tcW w:w="271"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(1</w:t>
            </w:r>
          </w:p>
        </w:tc>
        <w:tc>
          <w:tcPr>
            <w:tcW w:w="271"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b/>
              </w:rPr>
            </w:pPr>
            <w:r>
              <w:rPr>
                <w:b/>
              </w:rPr>
              <w:t>  </w:t>
            </w:r>
          </w:p>
        </w:tc>
        <w:tc>
          <w:tcPr>
            <w:tcW w:w="158" w:type="dxa"/>
            <w:tcBorders/>
            <w:shd w:fill="CCEEFF" w:val="clear"/>
            <w:vAlign w:val="bottom"/>
          </w:tcPr>
          <w:p>
            <w:pPr>
              <w:pStyle w:val="TableContents"/>
              <w:bidi w:val="0"/>
              <w:spacing w:before="0" w:after="283"/>
              <w:jc w:val="left"/>
              <w:rPr/>
            </w:pPr>
            <w:r>
              <w:rPr/>
              <w:t> </w:t>
            </w:r>
          </w:p>
        </w:tc>
      </w:tr>
      <w:tr>
        <w:trPr/>
        <w:tc>
          <w:tcPr>
            <w:tcW w:w="42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591"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unrecognized tax benefits  March 31</w:t>
            </w:r>
          </w:p>
        </w:tc>
        <w:tc>
          <w:tcPr>
            <w:tcW w:w="4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b/>
              </w:rPr>
            </w:pPr>
            <w:r>
              <w:rPr>
                <w:b/>
              </w:rPr>
              <w:t>$</w:t>
            </w:r>
          </w:p>
        </w:tc>
        <w:tc>
          <w:tcPr>
            <w:tcW w:w="455" w:type="dxa"/>
            <w:tcBorders/>
            <w:vAlign w:val="bottom"/>
          </w:tcPr>
          <w:p>
            <w:pPr>
              <w:pStyle w:val="TableContents"/>
              <w:bidi w:val="0"/>
              <w:spacing w:before="0" w:after="283"/>
              <w:jc w:val="right"/>
              <w:rPr>
                <w:b/>
              </w:rPr>
            </w:pPr>
            <w:r>
              <w:rPr>
                <w:b/>
              </w:rPr>
              <w:t>62</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b/>
              </w:rPr>
            </w:pPr>
            <w:r>
              <w:rPr>
                <w:b/>
              </w:rPr>
              <w:t>$</w:t>
            </w:r>
          </w:p>
        </w:tc>
        <w:tc>
          <w:tcPr>
            <w:tcW w:w="591" w:type="dxa"/>
            <w:tcBorders/>
            <w:vAlign w:val="bottom"/>
          </w:tcPr>
          <w:p>
            <w:pPr>
              <w:pStyle w:val="TableContents"/>
              <w:bidi w:val="0"/>
              <w:spacing w:before="0" w:after="283"/>
              <w:jc w:val="right"/>
              <w:rPr>
                <w:b/>
              </w:rPr>
            </w:pPr>
            <w:r>
              <w:rPr>
                <w:b/>
              </w:rPr>
              <w:t>54</w:t>
            </w:r>
          </w:p>
        </w:tc>
        <w:tc>
          <w:tcPr>
            <w:tcW w:w="271"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b/>
              </w:rPr>
            </w:pPr>
            <w:r>
              <w:rPr>
                <w:b/>
              </w:rPr>
              <w:t>$</w:t>
            </w:r>
          </w:p>
        </w:tc>
        <w:tc>
          <w:tcPr>
            <w:tcW w:w="461" w:type="dxa"/>
            <w:tcBorders/>
            <w:vAlign w:val="bottom"/>
          </w:tcPr>
          <w:p>
            <w:pPr>
              <w:pStyle w:val="TableContents"/>
              <w:bidi w:val="0"/>
              <w:spacing w:before="0" w:after="283"/>
              <w:jc w:val="right"/>
              <w:rPr>
                <w:b/>
              </w:rPr>
            </w:pPr>
            <w:r>
              <w:rPr>
                <w:b/>
              </w:rPr>
              <w:t>75</w:t>
            </w:r>
          </w:p>
        </w:tc>
        <w:tc>
          <w:tcPr>
            <w:tcW w:w="158" w:type="dxa"/>
            <w:tcBorders/>
            <w:vAlign w:val="bottom"/>
          </w:tcPr>
          <w:p>
            <w:pPr>
              <w:pStyle w:val="TableContents"/>
              <w:bidi w:val="0"/>
              <w:spacing w:before="0" w:after="283"/>
              <w:jc w:val="left"/>
              <w:rPr/>
            </w:pPr>
            <w:r>
              <w:rPr/>
              <w:t> </w:t>
            </w:r>
          </w:p>
        </w:tc>
      </w:tr>
      <w:tr>
        <w:trPr/>
        <w:tc>
          <w:tcPr>
            <w:tcW w:w="42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591"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4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Included in the balance of unrecognized tax benefits as of March 31, 2023, 2022 and 2021 are $56 million, $44 million and $65 million, respectively, of tax benefits that, if recognized, would affect the effective tax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accrued related to unrecognized tax benefits and penalties as income tax expense. The Company recognized expense of $0.8 million, $0.7 million and $8.0 million for interest and penalties associated to income tax liabilities as of March 31, 2023, 2022 and 2021, respectively. As of March 31, 2023, 2022 and 2021, the Company had total accrued interest and penalties of $14.2 million, $15.8 million and $15.5 million, respectively, which is included in other non-current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believes it has adequately provided for all tax positions, amounts asserted by tax authorities could be greater or less than the position. Accordingly, provisions on federal, state and foreign tax-related matters to be recorded in the future may change as revised estimates are made or the underlying matters are settled or otherwise resolved. As of March 31, 2023, the Company has not identified any positions for which it is reasonably possible that the total amounts of unrecognized tax benefits will significantly increase or decrease within the next twelve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taxation in the United Kingdom and various states and foreign jurisdictions. As of March 31, 2023, the Company is no longer subject to examination by the United Kingdom tax authorities for the fiscal years ended March 31, 2018 or earlier. U.S. Federal returns for the calendar year ended December 31, 2003 and later periods are subject to audit with the exception of the calendar years ended December 31, 2011 to December 31, 2012.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reconciliation of basic and diluted earnings per share computations for all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20"/>
        <w:gridCol w:w="153"/>
        <w:gridCol w:w="140"/>
        <w:gridCol w:w="1400"/>
        <w:gridCol w:w="60"/>
        <w:gridCol w:w="153"/>
        <w:gridCol w:w="140"/>
        <w:gridCol w:w="1400"/>
        <w:gridCol w:w="155"/>
        <w:gridCol w:w="153"/>
        <w:gridCol w:w="140"/>
        <w:gridCol w:w="1400"/>
        <w:gridCol w:w="158"/>
      </w:tblGrid>
      <w:tr>
        <w:trPr/>
        <w:tc>
          <w:tcPr>
            <w:tcW w:w="312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1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158"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share amounts)</w:t>
            </w:r>
          </w:p>
        </w:tc>
        <w:tc>
          <w:tcPr>
            <w:tcW w:w="153"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8" w:type="dxa"/>
            <w:tcBorders/>
            <w:vAlign w:val="bottom"/>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attributable to ordinary shareholders  basic and diluted</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12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from continuing operations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524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676</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544</w:t>
            </w:r>
          </w:p>
        </w:tc>
        <w:tc>
          <w:tcPr>
            <w:tcW w:w="158" w:type="dxa"/>
            <w:tcBorders/>
            <w:vAlign w:val="bottom"/>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(127</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(156</w:t>
            </w:r>
          </w:p>
        </w:tc>
        <w:tc>
          <w:tcPr>
            <w:tcW w:w="158" w:type="dxa"/>
            <w:tcBorders/>
            <w:shd w:fill="CCEEFF" w:val="clear"/>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0"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524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549</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388</w:t>
            </w:r>
          </w:p>
        </w:tc>
        <w:tc>
          <w:tcPr>
            <w:tcW w:w="158"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ordinary shares used to calculate income (loss) per share  basic</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1,025,234,000</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1,025,234,000</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1,025,234,000</w:t>
            </w:r>
          </w:p>
        </w:tc>
        <w:tc>
          <w:tcPr>
            <w:tcW w:w="158" w:type="dxa"/>
            <w:tcBorders/>
            <w:shd w:fill="CCEEFF" w:val="clear"/>
            <w:vAlign w:val="bottom"/>
          </w:tcPr>
          <w:p>
            <w:pPr>
              <w:pStyle w:val="TableContents"/>
              <w:bidi w:val="0"/>
              <w:spacing w:before="0" w:after="283"/>
              <w:jc w:val="left"/>
              <w:rPr/>
            </w:pPr>
            <w:r>
              <w:rPr/>
              <w:t> </w:t>
            </w:r>
          </w:p>
        </w:tc>
      </w:tr>
      <w:tr>
        <w:trPr/>
        <w:tc>
          <w:tcPr>
            <w:tcW w:w="3120" w:type="dxa"/>
            <w:tcBorders/>
          </w:tcPr>
          <w:p>
            <w:pPr>
              <w:pStyle w:val="TableContents"/>
              <w:bidi w:val="0"/>
              <w:spacing w:before="0" w:after="0"/>
              <w:jc w:val="left"/>
              <w:rPr>
                <w:rFonts w:ascii="Times New Roman" w:hAnsi="Times New Roman"/>
                <w:sz w:val="20"/>
              </w:rPr>
            </w:pPr>
            <w:r>
              <w:rPr>
                <w:rFonts w:ascii="Times New Roman" w:hAnsi="Times New Roman"/>
                <w:sz w:val="20"/>
              </w:rPr>
              <w:t>Equity-classified shared-based awards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2,271,008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ordinary shares used to calculate income (loss) per share  diluted</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1,027,505,008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1,025,234,000</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1,025,234,000</w:t>
            </w:r>
          </w:p>
        </w:tc>
        <w:tc>
          <w:tcPr>
            <w:tcW w:w="158" w:type="dxa"/>
            <w:tcBorders/>
            <w:shd w:fill="CCEEFF" w:val="clear"/>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0"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per share attributable to ordinary shareholders  basic</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continuing operations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0.53</w:t>
            </w:r>
          </w:p>
        </w:tc>
        <w:tc>
          <w:tcPr>
            <w:tcW w:w="158" w:type="dxa"/>
            <w:tcBorders/>
            <w:shd w:fill="CCEEFF" w:val="clear"/>
            <w:vAlign w:val="bottom"/>
          </w:tcPr>
          <w:p>
            <w:pPr>
              <w:pStyle w:val="TableContents"/>
              <w:bidi w:val="0"/>
              <w:spacing w:before="0" w:after="283"/>
              <w:jc w:val="left"/>
              <w:rPr/>
            </w:pPr>
            <w:r>
              <w:rPr/>
              <w:t> </w:t>
            </w:r>
          </w:p>
        </w:tc>
      </w:tr>
      <w:tr>
        <w:trPr/>
        <w:tc>
          <w:tcPr>
            <w:tcW w:w="3120"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(0.15</w:t>
            </w:r>
          </w:p>
        </w:tc>
        <w:tc>
          <w:tcPr>
            <w:tcW w:w="158"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0.54</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0.38</w:t>
            </w:r>
          </w:p>
        </w:tc>
        <w:tc>
          <w:tcPr>
            <w:tcW w:w="158" w:type="dxa"/>
            <w:tcBorders/>
            <w:shd w:fill="CCEEFF" w:val="clear"/>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0"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per share attributable to ordinary shareholders  diluted</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continuing operations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0.53</w:t>
            </w:r>
          </w:p>
        </w:tc>
        <w:tc>
          <w:tcPr>
            <w:tcW w:w="158" w:type="dxa"/>
            <w:tcBorders/>
            <w:shd w:fill="CCEEFF" w:val="clear"/>
            <w:vAlign w:val="bottom"/>
          </w:tcPr>
          <w:p>
            <w:pPr>
              <w:pStyle w:val="TableContents"/>
              <w:bidi w:val="0"/>
              <w:spacing w:before="0" w:after="283"/>
              <w:jc w:val="left"/>
              <w:rPr/>
            </w:pPr>
            <w:r>
              <w:rPr/>
              <w:t> </w:t>
            </w:r>
          </w:p>
        </w:tc>
      </w:tr>
      <w:tr>
        <w:trPr/>
        <w:tc>
          <w:tcPr>
            <w:tcW w:w="3120"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(0.15</w:t>
            </w:r>
          </w:p>
        </w:tc>
        <w:tc>
          <w:tcPr>
            <w:tcW w:w="158"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0.54</w:t>
            </w:r>
          </w:p>
        </w:tc>
        <w:tc>
          <w:tcPr>
            <w:tcW w:w="15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0.38</w:t>
            </w:r>
          </w:p>
        </w:tc>
        <w:tc>
          <w:tcPr>
            <w:tcW w:w="158" w:type="dxa"/>
            <w:tcBorders/>
            <w:shd w:fill="CCEEFF" w:val="clear"/>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Securities that would have been anti-dilutive were excluded from the computation of diluted earnings per share for all periods presented. The following securities were not included in the computation of diluted shares outstanding primarily because for all reporting periods a change in control or an initial public offering was not probable to occur under GAAP, and therefore, settlement of securities is expected in cash upon the passage of time.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42"/>
        <w:gridCol w:w="252"/>
        <w:gridCol w:w="60"/>
        <w:gridCol w:w="1103"/>
        <w:gridCol w:w="60"/>
        <w:gridCol w:w="252"/>
        <w:gridCol w:w="60"/>
        <w:gridCol w:w="1103"/>
        <w:gridCol w:w="60"/>
        <w:gridCol w:w="252"/>
        <w:gridCol w:w="60"/>
        <w:gridCol w:w="1103"/>
        <w:gridCol w:w="65"/>
      </w:tblGrid>
      <w:tr>
        <w:trPr/>
        <w:tc>
          <w:tcPr>
            <w:tcW w:w="4142"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4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411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65"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units (1)</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16,870,903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14,230,025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17,612,777</w:t>
            </w:r>
          </w:p>
        </w:tc>
        <w:tc>
          <w:tcPr>
            <w:tcW w:w="65"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Executive Awards (2)</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546,262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17,417,165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14,230,025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17,612,777</w:t>
            </w:r>
          </w:p>
        </w:tc>
        <w:tc>
          <w:tcPr>
            <w:tcW w:w="65" w:type="dxa"/>
            <w:tcBorders/>
            <w:shd w:fill="CCEEFF" w:val="clear"/>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RSUs include amounts associated with discontinued operations where applicable, but exclude certain awards which require cash settlement and do not allow for share settlement.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Awards include amounts associated with the Annual Awards and Launch Awards. As these awards require settlement based on a fixed monetary amount, the quantity of securities was calculated based on the total fixed monetary amount divided by the closing average market price of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party to litigation and other legal proceedings in the ordinary course of business. While the results of any litigation or other legal proceedings are uncertain, management does not believe the ultimate resolution of any pending legal matters is likely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$40.0 million loss contingency related to an offer made by the Company in respect of an ongoing contract dispute between the Company and a non-top five customer. That particular customers claims arise from a contract dating to a very early period in the Companys history and that contract is both non-standard and significantly dissimilar from other customers contracts. The Company took into consideration advice received from experts in the specific matter and current status of settlement negotiations, which may be ongoing. A complaint has not been filed by either party, and the Company and the customer are involved in ongoing negotiations to resolve the dispute outside of court. The Company can provide no assurances as to the ultimate resolution of this dispute or whether it will ultimately be litigated or to the ultimate costs that will be associated with a resolution. The liability of $40.0 million is included in other current liabilities on the Consolidated Balance Sheets. No other material amounts related to litigation settlements were recognized in the fiscal years ended March 31, 2023, 2022 and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Kronos Guarantee </w:t>
      </w:r>
    </w:p>
    <w:p>
      <w:pPr>
        <w:pStyle w:val="TextBody"/>
        <w:bidi w:val="0"/>
        <w:spacing w:before="120" w:after="0"/>
        <w:jc w:val="left"/>
        <w:rPr>
          <w:rFonts w:ascii="Times New Roman" w:hAnsi="Times New Roman"/>
          <w:sz w:val="20"/>
        </w:rPr>
      </w:pPr>
      <w:r>
        <w:rPr>
          <w:rFonts w:ascii="Times New Roman" w:hAnsi="Times New Roman"/>
          <w:sz w:val="20"/>
        </w:rPr>
        <w:t xml:space="preserve">In March 2022, a wholly owned United Kingdom subsidiary of SoftBank Group, Kronos I (UK) Limited (Kronos), was created for the purpose of SoftBank Group arranging a facility agreement (the Facility Agreement) with J.P. Morgan SE as Facility Agent to be secured by its 75.01% equity interest in the Company. SoftBank Group pledged its ownership interest in the Company by transferring such interest to an entity that sits between Kronos and the Company, and SoftBank Group has no further obligation under the Facility Agreement. The Company is in compliance with all applicable operating and financial covenants pursuant to the Facility Agreement for the fiscal years presented. </w:t>
      </w:r>
    </w:p>
    <w:p>
      <w:pPr>
        <w:pStyle w:val="TextBody"/>
        <w:bidi w:val="0"/>
        <w:spacing w:before="240" w:after="0"/>
        <w:jc w:val="left"/>
        <w:rPr>
          <w:rFonts w:ascii="Times New Roman" w:hAnsi="Times New Roman"/>
          <w:sz w:val="20"/>
        </w:rPr>
      </w:pPr>
      <w:r>
        <w:rPr>
          <w:rFonts w:ascii="Times New Roman" w:hAnsi="Times New Roman"/>
          <w:sz w:val="20"/>
        </w:rPr>
        <w:t xml:space="preserve">Under the Facility Agreement, the lenders initially were committed to make up to $8.0 billion of funds available to Kronos under a Bridge Facility and Term Facility (together with the Bridge Facility, the Facility). In March 2022, the Term Facility was funded for $7.1 billion and the Bridge Facility was funded for $0.9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June 2022, an amendment was executed which expanded the total commitment of the Term Facility to $8.5 billion via an additional term facility of $1.4 billion, $0.9 billion of which was used to repay the Bridge Facility in full with the remaining $0.5 billion representing incremental debt. The Term Facility matures on the earlier of two years after Kronos draws upon the facility or three months after the effective date of a public listing of the Companys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Beyond the pledge of the 75.01% interest in the Company as collateral for the Facility, in March 2022, the Company entered into the Arm Undertaking (the Undertaking) to confirm and agree to comply with certain terms of the Facility Agreement (including operational restrictions) and a springing guarantee and indemnity agreement (the Guarantee) with J.P. Morgan SE. The Guarantee commences upon an Arm Guarantee Trigger Event, which includes a public listing of the Companys ordinary shares not occurring within 18 months of the closing date of the Facility or any public announcement or notice to lenders that a listing will not be undertaken and failure by the Company or its subsidiaries to comply with the obligations under the Undertaking. Until an Arm Guarantee Trigger Event occurs, the Company is not obligated to perform or make payment on the obligations of Kronos. </w:t>
      </w:r>
    </w:p>
    <w:p>
      <w:pPr>
        <w:pStyle w:val="TextBody"/>
        <w:bidi w:val="0"/>
        <w:spacing w:before="240" w:after="0"/>
        <w:jc w:val="left"/>
        <w:rPr>
          <w:rFonts w:ascii="Times New Roman" w:hAnsi="Times New Roman"/>
          <w:sz w:val="20"/>
        </w:rPr>
      </w:pPr>
      <w:r>
        <w:rPr>
          <w:rFonts w:ascii="Times New Roman" w:hAnsi="Times New Roman"/>
          <w:sz w:val="20"/>
        </w:rPr>
        <w:t xml:space="preserve">Once an Arm Guarantee Trigger Event has occurred, the Company guarantees all overdue payments under the Facility Agreement. The total commitment is $8.5 billion and would only become a potential obligation to the Company if Kronos were to default on any such obligation, as Kronos remains the primary obligor under the Facility Agreement even after an Arm Guarantee Trigger Event. Upon default, the lenders can satisfy their claim either through the collateral of 75.01% interest in the Company or through the Company servicing the debt and meeting payment obligations pursuant to the Guarantee. SoftBank Group as the owner of Kronos may avoid default by restructuring the Facility Agreement, or otherwise monetizing the collateral for the necessary liquidity to meet payment obligations under the Facility Agreement. The Company believes that the likelihood of assuming the debt obligations under the Guarantee is remote due to Kronos significant collateralization of the obligations under the Facility Agreement and that SoftBank Group will avoid a default by Kronos for which the obligations would become enforceable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the Companys potential obligation is an issued Guarantee to the lenders for obligations of Kronos, an entity under common control, the Company is not required to recognize the Guarantee.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Arduino Guarantee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guarantor for a $5.4 million credit facility available to Arduino SA. The guaranty expires in January 2024. As of March 31, 2023 and 2022, no claims have been made against the guaranty.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Retirement Benefits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contributes to defined contribution plans substantially covering all employees in Europe and the U.S., and to government pension plans for employees in Japan, South Korea, Taiwan, Peoples Republic of China, Israel and India. The Company contributes to these plans based upon various fixed percentages of employee compensation, and such contributions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2023, 2022, and 2021, $78.4 million, $77.0 million, and $67.6 million, respectively was recorded in the Consolidated Income Statements related to contributions payable to these plans by the Company at rates specified in the rules of the plans. As of March 31, 2023 and 2022, $9.6 million and $9.3 million, respectively, of contributions due had not been paid over to the plans and were recorded in accrued compensation and benefits on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Arm China and Acetone Limited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restructuring of its direct investment in Arm China, the Company has a 10% non-voting ownership interest in Acetone Limited, whose primary asset is a 48.18% interest in Arm China. The Company has no direct material transactions with Acetone Limited.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2023, 2022 and 2021, the Company recognized revenue of $649 million, $474.2 million and $413.1 million, respectively under the terms of the IPLA and recognized expenses of $64.1 million, $63.5 million and $52.7 million, respectively from Arm China under a service share arrangement with Arm China. </w:t>
      </w:r>
    </w:p>
    <w:p>
      <w:pPr>
        <w:pStyle w:val="TextBody"/>
        <w:bidi w:val="0"/>
        <w:spacing w:before="240" w:after="0"/>
        <w:jc w:val="left"/>
        <w:rPr>
          <w:rFonts w:ascii="Times New Roman" w:hAnsi="Times New Roman"/>
          <w:sz w:val="20"/>
        </w:rPr>
      </w:pPr>
      <w:r>
        <w:rPr>
          <w:rFonts w:ascii="Times New Roman" w:hAnsi="Times New Roman"/>
          <w:sz w:val="20"/>
        </w:rPr>
        <w:t xml:space="preserve">The Company leases certain assets to Arm China. For the fiscal years ended March 31, 2023, 2022 and 2021, the </w:t>
      </w:r>
    </w:p>
    <w:p>
      <w:pPr>
        <w:pStyle w:val="TextBody"/>
        <w:bidi w:val="0"/>
        <w:spacing w:before="0" w:after="0"/>
        <w:jc w:val="left"/>
        <w:rPr>
          <w:rFonts w:ascii="Times New Roman" w:hAnsi="Times New Roman"/>
          <w:sz w:val="20"/>
        </w:rPr>
      </w:pPr>
      <w:r>
        <w:rPr>
          <w:rFonts w:ascii="Times New Roman" w:hAnsi="Times New Roman"/>
          <w:sz w:val="20"/>
        </w:rPr>
        <w:t xml:space="preserve">Company recognized rental income of $2.0 million, $1.6 million and $1.0 million, respectively, from this lease arrangement.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Company had a net receivable of $386.9 million ($400.7 million receivable less $13.9 million payable) from Arm China. As of March 31, 2023, the Company had contract liabilities of $103.4 million. As of March 31, 2022, the Company had a net receivable of $574.3 million ($602.2 million receivable less $27.9 million payable) from Arm China. As of March 31, 2022, the Company had contract liabilities of $122.4 million relating to Arm China. </w:t>
      </w:r>
    </w:p>
    <w:p>
      <w:pPr>
        <w:pStyle w:val="TextBody"/>
        <w:bidi w:val="0"/>
        <w:spacing w:before="240" w:after="0"/>
        <w:jc w:val="left"/>
        <w:rPr>
          <w:rFonts w:ascii="Times New Roman" w:hAnsi="Times New Roman"/>
          <w:sz w:val="20"/>
        </w:rPr>
      </w:pPr>
      <w:r>
        <w:rPr>
          <w:rFonts w:ascii="Times New Roman" w:hAnsi="Times New Roman"/>
          <w:sz w:val="20"/>
        </w:rPr>
        <w:t xml:space="preserve">See Note 10, </w:t>
      </w:r>
      <w:r>
        <w:rPr>
          <w:rFonts w:ascii="Times New Roman" w:hAnsi="Times New Roman"/>
          <w:i/>
          <w:sz w:val="20"/>
        </w:rPr>
        <w:t>Equity Investments</w:t>
      </w:r>
      <w:r>
        <w:rPr>
          <w:rFonts w:ascii="Times New Roman" w:hAnsi="Times New Roman"/>
          <w:sz w:val="20"/>
        </w:rPr>
        <w:t xml:space="preserve">, for discussion of the impact of Arm China and Acetone Limited on the Companys results, and the distribution of the Companys shareholding in Arm China to the owners of the Company in the fiscal year ended March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Entities Related by Virtue of Common Control in SoftBank Group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had other revenue and expense transactions, along with receivable and balances with other entities by virtue of common control in SoftBank Group. For the fiscal years ended March 31, 2023, 2022 and 2021, the Company recognized revenue of $1.3 million, $1.5 million and zero, respectively, and expenses of $0.3 million, $1.7 million and $0.2 million, respectively. As of March 31, 2023, the Company had accounts receivable, other receivables and contract liabilities of $0.5 million, $12 million and $1.6 million, respectively. As of March 31, 2022, the Company had accounts receivable and other receivables of $2.1 million and $12.0 million, respectively. The Company also had immaterial lessee leases with a certain related party by virtue of common control in SoftBank Group.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2022 and 2021, from discontinued operations, the Company recognized revenue of $3.6 million and $8.3 million and expenses of $0.2 million and $5.4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Prior to the distribution of Treasure Data in June 2021, a loan of $50.0 million was issued by SoftBank Vision Fund II, a member of SoftBank Group to Treasure Data. Interest on this loan balance was charged at 2.0% per annum. The loan balance, including accrued interest, was included in the distribution to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Refer to Note 4, </w:t>
      </w:r>
      <w:r>
        <w:rPr>
          <w:rFonts w:ascii="Times New Roman" w:hAnsi="Times New Roman"/>
          <w:i/>
          <w:sz w:val="20"/>
        </w:rPr>
        <w:t>Discontinued Operations</w:t>
      </w:r>
      <w:r>
        <w:rPr>
          <w:rFonts w:ascii="Times New Roman" w:hAnsi="Times New Roman"/>
          <w:sz w:val="20"/>
        </w:rPr>
        <w:t xml:space="preserve">, for discussion regarding the distribution of Treasure Data and the sale of IoTP by the Company to SoftBank Group Capital Limited in the fiscal year ended March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SoftBank Group Facility </w:t>
      </w:r>
    </w:p>
    <w:p>
      <w:pPr>
        <w:pStyle w:val="TextBody"/>
        <w:bidi w:val="0"/>
        <w:spacing w:before="120" w:after="0"/>
        <w:jc w:val="left"/>
        <w:rPr>
          <w:rFonts w:ascii="Times New Roman" w:hAnsi="Times New Roman"/>
          <w:sz w:val="20"/>
        </w:rPr>
      </w:pPr>
      <w:r>
        <w:rPr>
          <w:rFonts w:ascii="Times New Roman" w:hAnsi="Times New Roman"/>
          <w:sz w:val="20"/>
        </w:rPr>
        <w:t xml:space="preserve">In March 2022, Kronos entered into the Facility Agreement which is secured by its 75.01% interest in the Company. The Company also entered into the Undertaking to confirm and agree to comply with the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Facility Agreement and a Guarantee of the obligations under the Facility Agreement owed by Kronos, an entity under common control of SoftBank Group. Under the terms of the Guarantee, upon an Arm Guarantee Trigger Event, the Guarantee springs into effect, such that any future payment default by Kronos following such date may require performance by the Company if not settled by use of the share collateral or otherwise restructured. Refer to Note 19, </w:t>
      </w:r>
      <w:r>
        <w:rPr>
          <w:rFonts w:ascii="Times New Roman" w:hAnsi="Times New Roman"/>
          <w:i/>
          <w:sz w:val="20"/>
        </w:rPr>
        <w:t>Commitments and Contingencies</w:t>
      </w:r>
      <w:r>
        <w:rPr>
          <w:rFonts w:ascii="Times New Roman" w:hAnsi="Times New Roman"/>
          <w:sz w:val="20"/>
        </w:rPr>
        <w:t xml:space="preserve"> for further details on this Guarantee. The Guarantee does not spring into effect if a public listing has become effective, and if a public listing takes place after the Guarantee has become effective, the Guarantee terminates.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Equity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revenue transactions, along with receivable and contract liability balances for certain other equity investees, for which the Company has significant influence or, for investments in limited partnerships or certain limited liability companies that maintain a specific ownership account for each investor, has more than virtually no influence (i.e., at least 3% to 5% ownership). For the fiscal years ended March 31, 2023, 2022 and 2021, the Company recognized revenue of $3.5 million, $8.5 million and $34.8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Company had accounts receivable, contract assets and contract liabilities of $0.5 million, $8.7 million and $30.2 million, respectively. As of March 31, 2022, the Company had accounts receivable, contract assets and contract liabilities of $7.4 million, $0.5 million and $15.5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years ended March 31, 2023, 2022 and 2021, the Company recognized aggregate distributions and dividends from certain equity investments of zero, $1.9 million and $5.0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Linaro Limited </w:t>
      </w:r>
    </w:p>
    <w:p>
      <w:pPr>
        <w:pStyle w:val="TextBody"/>
        <w:bidi w:val="0"/>
        <w:spacing w:before="120" w:after="0"/>
        <w:jc w:val="left"/>
        <w:rPr>
          <w:rFonts w:ascii="Times New Roman" w:hAnsi="Times New Roman"/>
          <w:sz w:val="20"/>
        </w:rPr>
      </w:pPr>
      <w:r>
        <w:rPr>
          <w:rFonts w:ascii="Times New Roman" w:hAnsi="Times New Roman"/>
          <w:sz w:val="20"/>
        </w:rPr>
        <w:t xml:space="preserve">Linaro Limited (Linaro) is a not-for-profit entity for which the Company is a member and exhibits significant influence. For the fiscal years ended March 31, 2023, 2022 and 2021, the Company incurred subscription costs of $8.9 million, $7.9 million and $8.4 million, respectively, from Linaro. As of March 31, 2023 and 2022, $0.3 million and zero was owed to Linaro. </w:t>
      </w:r>
    </w:p>
    <w:p>
      <w:pPr>
        <w:pStyle w:val="TextBody"/>
        <w:bidi w:val="0"/>
        <w:spacing w:before="240" w:after="0"/>
        <w:jc w:val="left"/>
        <w:rPr>
          <w:rFonts w:ascii="Times New Roman" w:hAnsi="Times New Roman"/>
          <w:sz w:val="20"/>
        </w:rPr>
      </w:pPr>
      <w:r>
        <w:rPr>
          <w:rFonts w:ascii="Times New Roman" w:hAnsi="Times New Roman"/>
          <w:sz w:val="20"/>
        </w:rPr>
        <w:t xml:space="preserve">In the fiscal year ended March 31, 2021, the Company earned fees of $1.3 million for providing consulting and other services to Linaro. All fees have been charged in accordance with the terms of the agreement. As of March 31, 2023, no amount was owed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the Company entered into an agreement with Linaro to sell certain net assets of the Company that meets the definition of a business in exchange for cash consideration of $4.0 million to be paid in equal annual installments over five years. As of March 31, 2023 total purchase consideration remained unpaid. As a result of the transaction, in the year ended March 31, 2023, the Company derecognized associated net asset and recognized a gain of $3.7 million in other non-operating income (loss), net on the Consolidated Income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Loans to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equity investment in Trustonic Limited was written down to zero carrying value due to recognition of the Companys share of losses. Accordingly, the Companys subsequent share of losses has been written off against the loan balance due from Trustonic Limited. For the fiscal year ended March 31, 2022, the loan balance was written down to zero, through a combination of impairment and losses recognized.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and 2022, the Company had a loan receivable of $19.2 million and $23.0 million, respectively with Arduino, a related party, which was subject to impairment considerations. As of March 31, 2022, the Company also had an outstanding loan receivable of $3.0 million with Cerfe Labs, Inc., a related party. For the fiscal year ended March 31, 2023, the Company fully impaired the loan receivable from Cerfe Labs. Refer to Note 11, </w:t>
      </w:r>
      <w:r>
        <w:rPr>
          <w:rFonts w:ascii="Times New Roman" w:hAnsi="Times New Roman"/>
          <w:i/>
          <w:sz w:val="20"/>
        </w:rPr>
        <w:t>Financial Instruments</w:t>
      </w:r>
      <w:r>
        <w:rPr>
          <w:rFonts w:ascii="Times New Roman" w:hAnsi="Times New Roman"/>
          <w:sz w:val="20"/>
        </w:rPr>
        <w:t xml:space="preserve">, for further information regarding these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March 31, 2023 and 2022, the Company also had a convertible loan receivable from Ampere, a related party, of $30.9 million $29.0 million, respectively. Refer to Note 13, </w:t>
      </w:r>
      <w:r>
        <w:rPr>
          <w:rFonts w:ascii="Times New Roman" w:hAnsi="Times New Roman"/>
          <w:i/>
          <w:sz w:val="20"/>
        </w:rPr>
        <w:t>Fair Value</w:t>
      </w:r>
      <w:r>
        <w:rPr>
          <w:rFonts w:ascii="Times New Roman" w:hAnsi="Times New Roman"/>
          <w:sz w:val="20"/>
        </w:rPr>
        <w:t xml:space="preserve">, for further information regarding this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In the year ended March 31, 2023, the Company entered into an agreement with Raine Securities LLC, a related party, for certain advisory services. For the year ended March 31, 2023, the Company incurred $2.5 million in fees which remain unpaid as of the fiscal year end.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and Geographic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determined its Chief Executive Officer is its chief operating decision maker. The Companys Chief Executive Officer reviews financial information presented on a consolidated basis for purposes of assessing performance and making resource allocation decisions. Accordingly, the Company has determined that it operates as a single operating and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Revenue by geographic region is allocated to individual countries based on the principal headquarters of customers. The geographical locations are not necessarily indicative of the country in which the customer sells products containing the Companys technology IP. The following table summarizes information pertaining to revenue from customers based on the principal headquarter address by geographic regions: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76"/>
        <w:gridCol w:w="337"/>
        <w:gridCol w:w="140"/>
        <w:gridCol w:w="560"/>
        <w:gridCol w:w="60"/>
        <w:gridCol w:w="337"/>
        <w:gridCol w:w="140"/>
        <w:gridCol w:w="560"/>
        <w:gridCol w:w="60"/>
        <w:gridCol w:w="337"/>
        <w:gridCol w:w="140"/>
        <w:gridCol w:w="560"/>
        <w:gridCol w:w="65"/>
      </w:tblGrid>
      <w:tr>
        <w:trPr/>
        <w:tc>
          <w:tcPr>
            <w:tcW w:w="5276"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76"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37" w:type="dxa"/>
            <w:tcBorders/>
            <w:vAlign w:val="bottom"/>
          </w:tcPr>
          <w:p>
            <w:pPr>
              <w:pStyle w:val="TableContents"/>
              <w:bidi w:val="0"/>
              <w:spacing w:before="0" w:after="283"/>
              <w:jc w:val="left"/>
              <w:rPr/>
            </w:pPr>
            <w:r>
              <w:rPr/>
              <w:t>  </w:t>
            </w:r>
          </w:p>
        </w:tc>
        <w:tc>
          <w:tcPr>
            <w:tcW w:w="28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March 31,</w:t>
            </w:r>
          </w:p>
        </w:tc>
        <w:tc>
          <w:tcPr>
            <w:tcW w:w="65" w:type="dxa"/>
            <w:tcBorders/>
            <w:vAlign w:val="bottom"/>
          </w:tcPr>
          <w:p>
            <w:pPr>
              <w:pStyle w:val="TableContents"/>
              <w:bidi w:val="0"/>
              <w:spacing w:before="0" w:after="283"/>
              <w:jc w:val="left"/>
              <w:rPr/>
            </w:pPr>
            <w:r>
              <w:rPr/>
              <w:t> </w:t>
            </w:r>
          </w:p>
        </w:tc>
      </w:tr>
      <w:tr>
        <w:trPr/>
        <w:tc>
          <w:tcPr>
            <w:tcW w:w="5276" w:type="dxa"/>
            <w:vMerge w:val="continue"/>
            <w:tcBorders/>
            <w:vAlign w:val="bottom"/>
          </w:tcPr>
          <w:p>
            <w:pPr>
              <w:pStyle w:val="Normal"/>
              <w:bidi w:val="0"/>
              <w:jc w:val="left"/>
              <w:rPr/>
            </w:pPr>
            <w:r>
              <w:rPr/>
            </w:r>
          </w:p>
        </w:tc>
        <w:tc>
          <w:tcPr>
            <w:tcW w:w="3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1,088</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1,243</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843</w:t>
            </w:r>
          </w:p>
        </w:tc>
        <w:tc>
          <w:tcPr>
            <w:tcW w:w="65" w:type="dxa"/>
            <w:tcBorders/>
            <w:shd w:fill="CCEEFF" w:val="clear"/>
            <w:vAlign w:val="bottom"/>
          </w:tcPr>
          <w:p>
            <w:pPr>
              <w:pStyle w:val="TableContents"/>
              <w:bidi w:val="0"/>
              <w:spacing w:before="0" w:after="283"/>
              <w:jc w:val="left"/>
              <w:rPr/>
            </w:pPr>
            <w:r>
              <w:rPr/>
              <w:t> </w:t>
            </w:r>
          </w:p>
        </w:tc>
      </w:tr>
      <w:tr>
        <w:trPr/>
        <w:tc>
          <w:tcPr>
            <w:tcW w:w="5276" w:type="dxa"/>
            <w:tcBorders/>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657</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476</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428</w:t>
            </w:r>
          </w:p>
        </w:tc>
        <w:tc>
          <w:tcPr>
            <w:tcW w:w="65" w:type="dxa"/>
            <w:tcBorders/>
            <w:vAlign w:val="bottom"/>
          </w:tcPr>
          <w:p>
            <w:pPr>
              <w:pStyle w:val="TableContents"/>
              <w:bidi w:val="0"/>
              <w:spacing w:before="0" w:after="283"/>
              <w:jc w:val="left"/>
              <w:rPr/>
            </w:pPr>
            <w:r>
              <w:rPr/>
              <w:t> </w:t>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359</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431</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306</w:t>
            </w:r>
          </w:p>
        </w:tc>
        <w:tc>
          <w:tcPr>
            <w:tcW w:w="65" w:type="dxa"/>
            <w:tcBorders/>
            <w:shd w:fill="CCEEFF" w:val="clear"/>
            <w:vAlign w:val="bottom"/>
          </w:tcPr>
          <w:p>
            <w:pPr>
              <w:pStyle w:val="TableContents"/>
              <w:bidi w:val="0"/>
              <w:spacing w:before="0" w:after="283"/>
              <w:jc w:val="left"/>
              <w:rPr/>
            </w:pPr>
            <w:r>
              <w:rPr/>
              <w:t> </w:t>
            </w:r>
          </w:p>
        </w:tc>
      </w:tr>
      <w:tr>
        <w:trPr/>
        <w:tc>
          <w:tcPr>
            <w:tcW w:w="5276" w:type="dxa"/>
            <w:tcBorders/>
          </w:tcPr>
          <w:p>
            <w:pPr>
              <w:pStyle w:val="TableContents"/>
              <w:bidi w:val="0"/>
              <w:spacing w:before="0" w:after="0"/>
              <w:jc w:val="left"/>
              <w:rPr>
                <w:rFonts w:ascii="Times New Roman" w:hAnsi="Times New Roman"/>
                <w:sz w:val="20"/>
              </w:rPr>
            </w:pPr>
            <w:r>
              <w:rPr>
                <w:rFonts w:ascii="Times New Roman" w:hAnsi="Times New Roman"/>
                <w:sz w:val="20"/>
              </w:rPr>
              <w:t>Republic of Korea</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241</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226</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213</w:t>
            </w:r>
          </w:p>
        </w:tc>
        <w:tc>
          <w:tcPr>
            <w:tcW w:w="65" w:type="dxa"/>
            <w:tcBorders/>
            <w:vAlign w:val="bottom"/>
          </w:tcPr>
          <w:p>
            <w:pPr>
              <w:pStyle w:val="TableContents"/>
              <w:bidi w:val="0"/>
              <w:spacing w:before="0" w:after="283"/>
              <w:jc w:val="left"/>
              <w:rPr/>
            </w:pPr>
            <w:r>
              <w:rPr/>
              <w:t> </w:t>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Countries</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327</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237</w:t>
            </w:r>
          </w:p>
        </w:tc>
        <w:tc>
          <w:tcPr>
            <w:tcW w:w="65" w:type="dxa"/>
            <w:tcBorders/>
            <w:shd w:fill="CCEEFF" w:val="clear"/>
            <w:vAlign w:val="bottom"/>
          </w:tcPr>
          <w:p>
            <w:pPr>
              <w:pStyle w:val="TableContents"/>
              <w:bidi w:val="0"/>
              <w:spacing w:before="0" w:after="283"/>
              <w:jc w:val="left"/>
              <w:rPr/>
            </w:pPr>
            <w:r>
              <w:rPr/>
              <w:t> </w:t>
            </w:r>
          </w:p>
        </w:tc>
      </w:tr>
      <w:tr>
        <w:trPr/>
        <w:tc>
          <w:tcPr>
            <w:tcW w:w="527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7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2,679</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2,703</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2,027</w:t>
            </w:r>
          </w:p>
        </w:tc>
        <w:tc>
          <w:tcPr>
            <w:tcW w:w="65" w:type="dxa"/>
            <w:tcBorders/>
            <w:vAlign w:val="bottom"/>
          </w:tcPr>
          <w:p>
            <w:pPr>
              <w:pStyle w:val="TableContents"/>
              <w:bidi w:val="0"/>
              <w:spacing w:before="0" w:after="283"/>
              <w:jc w:val="left"/>
              <w:rPr/>
            </w:pPr>
            <w:r>
              <w:rPr/>
              <w:t> </w:t>
            </w:r>
          </w:p>
        </w:tc>
      </w:tr>
      <w:tr>
        <w:trPr/>
        <w:tc>
          <w:tcPr>
            <w:tcW w:w="527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March 31, 2023, the Company had three customers that collectively represented 44% of total revenue (42% for the fiscal years ended March 31, 2022 and 2021), with the single largest customer accounting for 24% of total revenue (18% and 20% for the fiscal years ended March 31, 2022 and 2021, respectively), the second largest customer accounting for 11 % of total revenue (12% for the fiscal years ended March 31, 2022 and 2021) and the third largest customer accounting for 9% of total revenue (12% and 10% for the fiscal years ended March 31, 2022 and 2021, respectively). No other customer represented 10% or more of total revenue for all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Arm China, represented 40% of total receivables as of March 31, 2023 (54% of total receivables as of March 31, 2022). No other customer represented more than 10% of receivables for the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Long-lived assets by geographic area based on physical location of the assets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4"/>
        <w:gridCol w:w="384"/>
        <w:gridCol w:w="183"/>
        <w:gridCol w:w="503"/>
        <w:gridCol w:w="78"/>
        <w:gridCol w:w="412"/>
        <w:gridCol w:w="183"/>
        <w:gridCol w:w="505"/>
        <w:gridCol w:w="63"/>
      </w:tblGrid>
      <w:tr>
        <w:trPr/>
        <w:tc>
          <w:tcPr>
            <w:tcW w:w="544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4"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3" w:type="dxa"/>
            <w:tcBorders/>
            <w:vAlign w:val="bottom"/>
          </w:tcPr>
          <w:p>
            <w:pPr>
              <w:pStyle w:val="TableContents"/>
              <w:bidi w:val="0"/>
              <w:spacing w:before="0" w:after="283"/>
              <w:jc w:val="left"/>
              <w:rPr/>
            </w:pPr>
            <w:r>
              <w:rPr/>
              <w:t> </w:t>
            </w:r>
          </w:p>
        </w:tc>
      </w:tr>
      <w:tr>
        <w:trPr/>
        <w:tc>
          <w:tcPr>
            <w:tcW w:w="54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84" w:type="dxa"/>
            <w:tcBorders/>
            <w:vAlign w:val="bottom"/>
          </w:tcPr>
          <w:p>
            <w:pPr>
              <w:pStyle w:val="TableContents"/>
              <w:bidi w:val="0"/>
              <w:spacing w:before="0" w:after="283"/>
              <w:jc w:val="left"/>
              <w:rPr/>
            </w:pPr>
            <w:r>
              <w:rPr/>
              <w:t>  </w:t>
            </w:r>
          </w:p>
        </w:tc>
        <w:tc>
          <w:tcPr>
            <w:tcW w:w="6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03" w:type="dxa"/>
            <w:tcBorders/>
            <w:shd w:fill="CCEEFF" w:val="clear"/>
            <w:vAlign w:val="bottom"/>
          </w:tcPr>
          <w:p>
            <w:pPr>
              <w:pStyle w:val="TableContents"/>
              <w:bidi w:val="0"/>
              <w:spacing w:before="0" w:after="283"/>
              <w:jc w:val="right"/>
              <w:rPr/>
            </w:pPr>
            <w:r>
              <w:rPr/>
              <w:t>281</w:t>
            </w:r>
          </w:p>
        </w:tc>
        <w:tc>
          <w:tcPr>
            <w:tcW w:w="78"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283</w:t>
            </w:r>
          </w:p>
        </w:tc>
        <w:tc>
          <w:tcPr>
            <w:tcW w:w="63" w:type="dxa"/>
            <w:tcBorders/>
            <w:shd w:fill="CCEEFF" w:val="clear"/>
            <w:vAlign w:val="bottom"/>
          </w:tcPr>
          <w:p>
            <w:pPr>
              <w:pStyle w:val="TableContents"/>
              <w:bidi w:val="0"/>
              <w:spacing w:before="0" w:after="283"/>
              <w:jc w:val="left"/>
              <w:rPr/>
            </w:pPr>
            <w:r>
              <w:rPr/>
              <w:t> </w:t>
            </w:r>
          </w:p>
        </w:tc>
      </w:tr>
      <w:tr>
        <w:trPr/>
        <w:tc>
          <w:tcPr>
            <w:tcW w:w="5444"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right"/>
              <w:rPr/>
            </w:pPr>
            <w:r>
              <w:rPr/>
              <w:t>78</w:t>
            </w:r>
          </w:p>
        </w:tc>
        <w:tc>
          <w:tcPr>
            <w:tcW w:w="7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5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Countries</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32</w:t>
            </w:r>
          </w:p>
        </w:tc>
        <w:tc>
          <w:tcPr>
            <w:tcW w:w="78"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31</w:t>
            </w:r>
          </w:p>
        </w:tc>
        <w:tc>
          <w:tcPr>
            <w:tcW w:w="63" w:type="dxa"/>
            <w:tcBorders/>
            <w:shd w:fill="CCEEFF" w:val="clear"/>
            <w:vAlign w:val="bottom"/>
          </w:tcPr>
          <w:p>
            <w:pPr>
              <w:pStyle w:val="TableContents"/>
              <w:bidi w:val="0"/>
              <w:spacing w:before="0" w:after="283"/>
              <w:jc w:val="left"/>
              <w:rPr/>
            </w:pPr>
            <w:r>
              <w:rPr/>
              <w:t> </w:t>
            </w:r>
          </w:p>
        </w:tc>
      </w:tr>
      <w:tr>
        <w:trPr/>
        <w:tc>
          <w:tcPr>
            <w:tcW w:w="5444"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503"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5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4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3" w:type="dxa"/>
            <w:tcBorders/>
            <w:vAlign w:val="bottom"/>
          </w:tcPr>
          <w:p>
            <w:pPr>
              <w:pStyle w:val="TableContents"/>
              <w:bidi w:val="0"/>
              <w:spacing w:before="0" w:after="283"/>
              <w:jc w:val="right"/>
              <w:rPr/>
            </w:pPr>
            <w:r>
              <w:rPr/>
              <w:t>391</w:t>
            </w:r>
          </w:p>
        </w:tc>
        <w:tc>
          <w:tcPr>
            <w:tcW w:w="7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417</w:t>
            </w:r>
          </w:p>
        </w:tc>
        <w:tc>
          <w:tcPr>
            <w:tcW w:w="63" w:type="dxa"/>
            <w:tcBorders/>
            <w:vAlign w:val="bottom"/>
          </w:tcPr>
          <w:p>
            <w:pPr>
              <w:pStyle w:val="TableContents"/>
              <w:bidi w:val="0"/>
              <w:spacing w:before="0" w:after="283"/>
              <w:jc w:val="left"/>
              <w:rPr/>
            </w:pPr>
            <w:r>
              <w:rPr/>
              <w:t> </w:t>
            </w:r>
          </w:p>
        </w:tc>
      </w:tr>
      <w:tr>
        <w:trPr/>
        <w:tc>
          <w:tcPr>
            <w:tcW w:w="5444"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503"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5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July 31, 2023, the date the consolidated financial statements were available to be issued, and has identified none requiring recognition or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2" w:name="rider393891_8"/>
      <w:bookmarkEnd w:id="42"/>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Income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836"/>
        <w:gridCol w:w="140"/>
        <w:gridCol w:w="1403"/>
        <w:gridCol w:w="155"/>
        <w:gridCol w:w="784"/>
        <w:gridCol w:w="140"/>
        <w:gridCol w:w="1403"/>
        <w:gridCol w:w="159"/>
      </w:tblGrid>
      <w:tr>
        <w:trPr/>
        <w:tc>
          <w:tcPr>
            <w:tcW w:w="5185" w:type="dxa"/>
            <w:tcBorders/>
            <w:vAlign w:val="center"/>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pPr>
            <w:r>
              <w:rPr/>
              <w:t>  </w:t>
            </w:r>
          </w:p>
        </w:tc>
        <w:tc>
          <w:tcPr>
            <w:tcW w:w="40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159" w:type="dxa"/>
            <w:tcBorders/>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51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524</w:t>
            </w:r>
          </w:p>
        </w:tc>
        <w:tc>
          <w:tcPr>
            <w:tcW w:w="159" w:type="dxa"/>
            <w:tcBorders/>
            <w:vAlign w:val="bottom"/>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 from related parties</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168</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675</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692</w:t>
            </w:r>
          </w:p>
        </w:tc>
        <w:tc>
          <w:tcPr>
            <w:tcW w:w="159" w:type="dxa"/>
            <w:tcBorders/>
            <w:vAlign w:val="bottom"/>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(25</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644</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667</w:t>
            </w:r>
          </w:p>
        </w:tc>
        <w:tc>
          <w:tcPr>
            <w:tcW w:w="159" w:type="dxa"/>
            <w:tcBorders/>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(337</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(218</w:t>
            </w:r>
          </w:p>
        </w:tc>
        <w:tc>
          <w:tcPr>
            <w:tcW w:w="159" w:type="dxa"/>
            <w:tcBorders/>
            <w:vAlign w:val="bottom"/>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(196</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(153</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Disposal, restructuring and other operating expenses, net</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(533</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(373</w:t>
            </w:r>
          </w:p>
        </w:tc>
        <w:tc>
          <w:tcPr>
            <w:tcW w:w="159" w:type="dxa"/>
            <w:tcBorders/>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294</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from equity investments, net</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(14</w:t>
            </w:r>
          </w:p>
        </w:tc>
        <w:tc>
          <w:tcPr>
            <w:tcW w:w="159" w:type="dxa"/>
            <w:tcBorders/>
            <w:vAlign w:val="bottom"/>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non-operating income (loss), net</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127</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286</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(61</w:t>
            </w:r>
          </w:p>
        </w:tc>
        <w:tc>
          <w:tcPr>
            <w:tcW w:w="159" w:type="dxa"/>
            <w:tcBorders/>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225</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per share attributable to ordinary shareholder</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0.10</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0.22</w:t>
            </w:r>
          </w:p>
        </w:tc>
        <w:tc>
          <w:tcPr>
            <w:tcW w:w="159" w:type="dxa"/>
            <w:tcBorders/>
            <w:shd w:fill="CCEEFF" w:val="clear"/>
            <w:vAlign w:val="bottom"/>
          </w:tcPr>
          <w:p>
            <w:pPr>
              <w:pStyle w:val="TableContents"/>
              <w:bidi w:val="0"/>
              <w:spacing w:before="0" w:after="283"/>
              <w:jc w:val="left"/>
              <w:rPr/>
            </w:pPr>
            <w:r>
              <w:rPr/>
              <w:t> </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0.10</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0.22</w:t>
            </w:r>
          </w:p>
        </w:tc>
        <w:tc>
          <w:tcPr>
            <w:tcW w:w="159" w:type="dxa"/>
            <w:tcBorders/>
            <w:vAlign w:val="bottom"/>
          </w:tcPr>
          <w:p>
            <w:pPr>
              <w:pStyle w:val="TableContents"/>
              <w:bidi w:val="0"/>
              <w:spacing w:before="0" w:after="283"/>
              <w:jc w:val="left"/>
              <w:rPr/>
            </w:pPr>
            <w:r>
              <w:rPr/>
              <w:t> </w:t>
            </w:r>
          </w:p>
        </w:tc>
      </w:tr>
      <w:tr>
        <w:trPr>
          <w:trHeight w:val="120" w:hRule="atLeast"/>
        </w:trPr>
        <w:tc>
          <w:tcPr>
            <w:tcW w:w="5185" w:type="dxa"/>
            <w:tcBorders/>
            <w:vAlign w:val="center"/>
          </w:tcPr>
          <w:p>
            <w:pPr>
              <w:pStyle w:val="TableContents"/>
              <w:bidi w:val="0"/>
              <w:spacing w:before="0" w:after="283"/>
              <w:jc w:val="left"/>
              <w:rPr>
                <w:sz w:val="4"/>
                <w:szCs w:val="4"/>
              </w:rPr>
            </w:pPr>
            <w:r>
              <w:rPr>
                <w:sz w:val="4"/>
                <w:szCs w:val="4"/>
              </w:rPr>
            </w:r>
          </w:p>
        </w:tc>
        <w:tc>
          <w:tcPr>
            <w:tcW w:w="2534" w:type="dxa"/>
            <w:gridSpan w:val="4"/>
            <w:tcBorders/>
            <w:vAlign w:val="center"/>
          </w:tcPr>
          <w:p>
            <w:pPr>
              <w:pStyle w:val="TableContents"/>
              <w:bidi w:val="0"/>
              <w:spacing w:before="0" w:after="283"/>
              <w:jc w:val="left"/>
              <w:rPr>
                <w:sz w:val="4"/>
                <w:szCs w:val="4"/>
              </w:rPr>
            </w:pPr>
            <w:r>
              <w:rPr>
                <w:sz w:val="4"/>
                <w:szCs w:val="4"/>
              </w:rPr>
            </w:r>
          </w:p>
        </w:tc>
        <w:tc>
          <w:tcPr>
            <w:tcW w:w="2486" w:type="dxa"/>
            <w:gridSpan w:val="4"/>
            <w:tcBorders/>
            <w:vAlign w:val="center"/>
          </w:tcPr>
          <w:p>
            <w:pPr>
              <w:pStyle w:val="TableContents"/>
              <w:bidi w:val="0"/>
              <w:spacing w:before="0" w:after="283"/>
              <w:jc w:val="left"/>
              <w:rPr>
                <w:sz w:val="4"/>
                <w:szCs w:val="4"/>
              </w:rPr>
            </w:pPr>
            <w:r>
              <w:rPr>
                <w:sz w:val="4"/>
                <w:szCs w:val="4"/>
              </w:rPr>
            </w:r>
          </w:p>
        </w:tc>
      </w:tr>
      <w:tr>
        <w:trPr/>
        <w:tc>
          <w:tcPr>
            <w:tcW w:w="51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ordinary shares outstanding</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1,025,234,000</w:t>
            </w:r>
          </w:p>
        </w:tc>
        <w:tc>
          <w:tcPr>
            <w:tcW w:w="15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1,025,234,000</w:t>
            </w:r>
          </w:p>
        </w:tc>
        <w:tc>
          <w:tcPr>
            <w:tcW w:w="159" w:type="dxa"/>
            <w:tcBorders/>
            <w:vAlign w:val="bottom"/>
          </w:tcPr>
          <w:p>
            <w:pPr>
              <w:pStyle w:val="TableContents"/>
              <w:bidi w:val="0"/>
              <w:spacing w:before="0" w:after="283"/>
              <w:jc w:val="left"/>
              <w:rPr/>
            </w:pPr>
            <w:r>
              <w:rPr/>
              <w:t> </w:t>
            </w:r>
          </w:p>
        </w:tc>
      </w:tr>
      <w:tr>
        <w:trPr/>
        <w:tc>
          <w:tcPr>
            <w:tcW w:w="5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1,028,618,467</w:t>
            </w:r>
          </w:p>
        </w:tc>
        <w:tc>
          <w:tcPr>
            <w:tcW w:w="15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1,025,902,205</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3200" w:after="0"/>
        <w:jc w:val="center"/>
        <w:rPr>
          <w:rFonts w:ascii="Times New Roman" w:hAnsi="Times New Roman"/>
          <w:sz w:val="20"/>
        </w:rPr>
      </w:pPr>
      <w:r>
        <w:rPr>
          <w:rFonts w:ascii="Times New Roman" w:hAnsi="Times New Roman"/>
          <w:sz w:val="20"/>
        </w:rPr>
        <w:t xml:space="preserve">See accompanying notes to the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3" w:name="rider393891_9"/>
      <w:bookmarkEnd w:id="43"/>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09"/>
        <w:gridCol w:w="291"/>
        <w:gridCol w:w="353"/>
        <w:gridCol w:w="967"/>
        <w:gridCol w:w="380"/>
        <w:gridCol w:w="823"/>
        <w:gridCol w:w="353"/>
        <w:gridCol w:w="970"/>
        <w:gridCol w:w="159"/>
      </w:tblGrid>
      <w:tr>
        <w:trPr/>
        <w:tc>
          <w:tcPr>
            <w:tcW w:w="5909"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0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8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159" w:type="dxa"/>
            <w:tcBorders/>
            <w:vAlign w:val="bottom"/>
          </w:tcPr>
          <w:p>
            <w:pPr>
              <w:pStyle w:val="TableContents"/>
              <w:bidi w:val="0"/>
              <w:spacing w:before="0" w:after="283"/>
              <w:jc w:val="left"/>
              <w:rPr/>
            </w:pPr>
            <w:r>
              <w:rPr/>
              <w:t> </w:t>
            </w:r>
          </w:p>
        </w:tc>
      </w:tr>
      <w:tr>
        <w:trPr/>
        <w:tc>
          <w:tcPr>
            <w:tcW w:w="590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8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590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9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967" w:type="dxa"/>
            <w:tcBorders/>
            <w:shd w:fill="CCEEFF" w:val="clear"/>
            <w:vAlign w:val="bottom"/>
          </w:tcPr>
          <w:p>
            <w:pPr>
              <w:pStyle w:val="TableContents"/>
              <w:bidi w:val="0"/>
              <w:spacing w:before="0" w:after="283"/>
              <w:jc w:val="right"/>
              <w:rPr/>
            </w:pPr>
            <w:r>
              <w:rPr/>
              <w:t>105</w:t>
            </w:r>
          </w:p>
        </w:tc>
        <w:tc>
          <w:tcPr>
            <w:tcW w:w="38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225</w:t>
            </w:r>
          </w:p>
        </w:tc>
        <w:tc>
          <w:tcPr>
            <w:tcW w:w="159" w:type="dxa"/>
            <w:tcBorders/>
            <w:shd w:fill="CCEEFF" w:val="clear"/>
            <w:vAlign w:val="bottom"/>
          </w:tcPr>
          <w:p>
            <w:pPr>
              <w:pStyle w:val="TableContents"/>
              <w:bidi w:val="0"/>
              <w:spacing w:before="0" w:after="283"/>
              <w:jc w:val="left"/>
              <w:rPr/>
            </w:pPr>
            <w:r>
              <w:rPr/>
              <w:t> </w:t>
            </w:r>
          </w:p>
        </w:tc>
      </w:tr>
      <w:tr>
        <w:trPr/>
        <w:tc>
          <w:tcPr>
            <w:tcW w:w="590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net of tax:</w:t>
            </w:r>
          </w:p>
        </w:tc>
        <w:tc>
          <w:tcPr>
            <w:tcW w:w="29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 of the effective portion of designated cash flow hedges</w:t>
            </w:r>
          </w:p>
        </w:tc>
        <w:tc>
          <w:tcPr>
            <w:tcW w:w="29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9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29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6</w:t>
            </w:r>
          </w:p>
        </w:tc>
        <w:tc>
          <w:tcPr>
            <w:tcW w:w="38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(35</w:t>
            </w:r>
          </w:p>
        </w:tc>
        <w:tc>
          <w:tcPr>
            <w:tcW w:w="159" w:type="dxa"/>
            <w:tcBorders/>
            <w:vAlign w:val="bottom"/>
          </w:tcPr>
          <w:p>
            <w:pPr>
              <w:pStyle w:val="TableContents"/>
              <w:bidi w:val="0"/>
              <w:spacing w:before="0" w:after="283"/>
              <w:jc w:val="left"/>
              <w:rPr/>
            </w:pPr>
            <w:r>
              <w:rPr/>
              <w:t>) </w:t>
            </w:r>
          </w:p>
        </w:tc>
      </w:tr>
      <w:tr>
        <w:trPr/>
        <w:tc>
          <w:tcPr>
            <w:tcW w:w="5909"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967" w:type="dxa"/>
            <w:tcBorders/>
            <w:vAlign w:val="bottom"/>
          </w:tcPr>
          <w:p>
            <w:pPr>
              <w:pStyle w:val="TableContents"/>
              <w:pBdr>
                <w:top w:val="single" w:sz="2" w:space="1" w:color="000000"/>
              </w:pBdr>
              <w:bidi w:val="0"/>
              <w:spacing w:before="0" w:after="0"/>
              <w:jc w:val="left"/>
              <w:rPr/>
            </w:pPr>
            <w:r>
              <w:rPr/>
              <w:t> </w:t>
            </w:r>
          </w:p>
        </w:tc>
        <w:tc>
          <w:tcPr>
            <w:tcW w:w="380" w:type="dxa"/>
            <w:tcBorders/>
            <w:vAlign w:val="center"/>
          </w:tcPr>
          <w:p>
            <w:pPr>
              <w:pStyle w:val="TableContents"/>
              <w:bidi w:val="0"/>
              <w:spacing w:before="0" w:after="283"/>
              <w:jc w:val="left"/>
              <w:rPr/>
            </w:pPr>
            <w:r>
              <w:rPr/>
              <w:t> </w:t>
            </w:r>
          </w:p>
        </w:tc>
        <w:tc>
          <w:tcPr>
            <w:tcW w:w="823"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0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29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967" w:type="dxa"/>
            <w:tcBorders/>
            <w:shd w:fill="CCEEFF" w:val="clear"/>
            <w:vAlign w:val="bottom"/>
          </w:tcPr>
          <w:p>
            <w:pPr>
              <w:pStyle w:val="TableContents"/>
              <w:bidi w:val="0"/>
              <w:spacing w:before="0" w:after="283"/>
              <w:jc w:val="right"/>
              <w:rPr/>
            </w:pPr>
            <w:r>
              <w:rPr/>
              <w:t>111</w:t>
            </w:r>
          </w:p>
        </w:tc>
        <w:tc>
          <w:tcPr>
            <w:tcW w:w="38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190</w:t>
            </w:r>
          </w:p>
        </w:tc>
        <w:tc>
          <w:tcPr>
            <w:tcW w:w="159" w:type="dxa"/>
            <w:tcBorders/>
            <w:shd w:fill="CCEEFF" w:val="clear"/>
            <w:vAlign w:val="bottom"/>
          </w:tcPr>
          <w:p>
            <w:pPr>
              <w:pStyle w:val="TableContents"/>
              <w:bidi w:val="0"/>
              <w:spacing w:before="0" w:after="283"/>
              <w:jc w:val="left"/>
              <w:rPr/>
            </w:pPr>
            <w:r>
              <w:rPr/>
              <w:t> </w:t>
            </w:r>
          </w:p>
        </w:tc>
      </w:tr>
      <w:tr>
        <w:trPr/>
        <w:tc>
          <w:tcPr>
            <w:tcW w:w="5909"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380" w:type="dxa"/>
            <w:tcBorders/>
            <w:vAlign w:val="center"/>
          </w:tcPr>
          <w:p>
            <w:pPr>
              <w:pStyle w:val="TableContents"/>
              <w:bidi w:val="0"/>
              <w:spacing w:before="0" w:after="283"/>
              <w:jc w:val="left"/>
              <w:rPr/>
            </w:pPr>
            <w:r>
              <w:rPr/>
              <w:t> </w:t>
            </w:r>
          </w:p>
        </w:tc>
        <w:tc>
          <w:tcPr>
            <w:tcW w:w="823"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8000" w:after="0"/>
        <w:jc w:val="center"/>
        <w:rPr>
          <w:rFonts w:ascii="Times New Roman" w:hAnsi="Times New Roman"/>
          <w:sz w:val="20"/>
        </w:rPr>
      </w:pPr>
      <w:r>
        <w:rPr>
          <w:rFonts w:ascii="Times New Roman" w:hAnsi="Times New Roman"/>
          <w:sz w:val="20"/>
        </w:rPr>
        <w:t xml:space="preserve">See accompanying notes to the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4" w:name="rider393891_10"/>
      <w:bookmarkEnd w:id="44"/>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par value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1"/>
        <w:gridCol w:w="400"/>
        <w:gridCol w:w="175"/>
        <w:gridCol w:w="710"/>
        <w:gridCol w:w="60"/>
        <w:gridCol w:w="400"/>
        <w:gridCol w:w="214"/>
        <w:gridCol w:w="911"/>
        <w:gridCol w:w="64"/>
      </w:tblGrid>
      <w:tr>
        <w:trPr/>
        <w:tc>
          <w:tcPr>
            <w:tcW w:w="7271"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271"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4" w:type="dxa"/>
            <w:tcBorders/>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2023</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271"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1,248</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1,554</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Short-term investments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801</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661</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Accounts receivable, net (including receivables from related parties of $305 and $402 as of June 30, 2023 and March 31, 2023, respectively)</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897</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999</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Contract assets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158</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154</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133</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169</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current assets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3,237</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3,537</w:t>
            </w:r>
          </w:p>
        </w:tc>
        <w:tc>
          <w:tcPr>
            <w:tcW w:w="64" w:type="dxa"/>
            <w:tcBorders/>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assets: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197</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185</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Operating lease right of use assets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206</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206</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Equity investments (including investments held at fair value of $582 and $592 as of June 30, 2023 and March 31, 2023, respectively)</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727</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723</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Goodwill</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1,626</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1,620</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Intangible assets, net</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169</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147</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139</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Non-current portion of contract assets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248</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202</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non-current assets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3,463</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3,329</w:t>
            </w:r>
          </w:p>
        </w:tc>
        <w:tc>
          <w:tcPr>
            <w:tcW w:w="64" w:type="dxa"/>
            <w:tcBorders/>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assets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6,700</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6,866</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7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Current liabilities: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Accrued compensation and benefits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589</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Tax liabilities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162</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Contract liabilities (including contract liabilities from related parties of $171 and $135 as of June 30, 2023 and March 31, 2023, respectively)</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342</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293</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Operating lease liabilities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26</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Other current liabilities (including payables to related parties of $18 and $17 as of June 30, 2023 and March 31, 2023, respectively)</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260</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293</w:t>
            </w:r>
          </w:p>
        </w:tc>
        <w:tc>
          <w:tcPr>
            <w:tcW w:w="64" w:type="dxa"/>
            <w:tcBorders/>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current liabilities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946</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1,363</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tcPr>
          <w:p>
            <w:pPr>
              <w:pStyle w:val="TableContents"/>
              <w:bidi w:val="0"/>
              <w:spacing w:before="0" w:after="0"/>
              <w:jc w:val="left"/>
              <w:rPr>
                <w:rFonts w:ascii="Times New Roman" w:hAnsi="Times New Roman"/>
                <w:b/>
                <w:sz w:val="18"/>
              </w:rPr>
            </w:pPr>
            <w:r>
              <w:rPr>
                <w:rFonts w:ascii="Times New Roman" w:hAnsi="Times New Roman"/>
                <w:b/>
                <w:sz w:val="18"/>
              </w:rPr>
              <w:t>Non-current liabilities: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Non-current portion of accrued compensation and share-based compensation</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241</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152</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Deferred tax liabilities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257</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262</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Non-current portion of contract liabilities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783</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807</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Non-current portion of operating lease liabilities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197</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193</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38</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non-current liabilities</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1,533</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1,452</w:t>
            </w:r>
          </w:p>
        </w:tc>
        <w:tc>
          <w:tcPr>
            <w:tcW w:w="64" w:type="dxa"/>
            <w:tcBorders/>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2,479</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2,815</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tcPr>
          <w:p>
            <w:pPr>
              <w:pStyle w:val="TableContents"/>
              <w:bidi w:val="0"/>
              <w:spacing w:before="0" w:after="0"/>
              <w:jc w:val="left"/>
              <w:rPr>
                <w:rFonts w:ascii="Times New Roman" w:hAnsi="Times New Roman"/>
                <w:sz w:val="18"/>
              </w:rPr>
            </w:pPr>
            <w:r>
              <w:rPr>
                <w:rFonts w:ascii="Times New Roman" w:hAnsi="Times New Roman"/>
                <w:sz w:val="18"/>
              </w:rPr>
              <w:t>Commitments and contingencies (Note 10)</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7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Shareholders equity:</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Ordinary shares, $0.001 par value, 1,025,234,000 shares authorized, issued and outstanding as of June 30, 2023 and March 31, 2023</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1,275</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1,216</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income</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382</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376</w:t>
            </w:r>
          </w:p>
        </w:tc>
        <w:tc>
          <w:tcPr>
            <w:tcW w:w="64" w:type="dxa"/>
            <w:tcBorders/>
            <w:vAlign w:val="bottom"/>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Retained earnings</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2,562</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2,457</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shareholders equity</w:t>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4,221</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4,051</w:t>
            </w:r>
          </w:p>
        </w:tc>
        <w:tc>
          <w:tcPr>
            <w:tcW w:w="64" w:type="dxa"/>
            <w:tcBorders/>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71"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liabilities and shareholders equity</w:t>
            </w:r>
          </w:p>
        </w:tc>
        <w:tc>
          <w:tcPr>
            <w:tcW w:w="4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6,700</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6,866</w:t>
            </w:r>
          </w:p>
        </w:tc>
        <w:tc>
          <w:tcPr>
            <w:tcW w:w="64" w:type="dxa"/>
            <w:tcBorders/>
            <w:shd w:fill="CCEEFF" w:val="clear"/>
            <w:vAlign w:val="bottom"/>
          </w:tcPr>
          <w:p>
            <w:pPr>
              <w:pStyle w:val="TableContents"/>
              <w:bidi w:val="0"/>
              <w:spacing w:before="0" w:after="283"/>
              <w:jc w:val="left"/>
              <w:rPr/>
            </w:pPr>
            <w:r>
              <w:rPr/>
              <w:t> </w:t>
            </w:r>
          </w:p>
        </w:tc>
      </w:tr>
      <w:tr>
        <w:trPr/>
        <w:tc>
          <w:tcPr>
            <w:tcW w:w="7271"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5" w:name="rider393891_11"/>
      <w:bookmarkEnd w:id="45"/>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Shareholders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3"/>
        <w:gridCol w:w="156"/>
        <w:gridCol w:w="60"/>
        <w:gridCol w:w="1409"/>
        <w:gridCol w:w="60"/>
        <w:gridCol w:w="156"/>
        <w:gridCol w:w="434"/>
        <w:gridCol w:w="434"/>
        <w:gridCol w:w="60"/>
        <w:gridCol w:w="156"/>
        <w:gridCol w:w="222"/>
        <w:gridCol w:w="888"/>
        <w:gridCol w:w="60"/>
        <w:gridCol w:w="155"/>
        <w:gridCol w:w="437"/>
        <w:gridCol w:w="1184"/>
        <w:gridCol w:w="60"/>
        <w:gridCol w:w="156"/>
        <w:gridCol w:w="190"/>
        <w:gridCol w:w="762"/>
        <w:gridCol w:w="60"/>
        <w:gridCol w:w="156"/>
        <w:gridCol w:w="274"/>
        <w:gridCol w:w="1106"/>
        <w:gridCol w:w="67"/>
      </w:tblGrid>
      <w:tr>
        <w:trPr/>
        <w:tc>
          <w:tcPr>
            <w:tcW w:w="1503"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50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479"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 2023</w:t>
            </w:r>
          </w:p>
        </w:tc>
        <w:tc>
          <w:tcPr>
            <w:tcW w:w="67" w:type="dxa"/>
            <w:tcBorders/>
            <w:vAlign w:val="bottom"/>
          </w:tcPr>
          <w:p>
            <w:pPr>
              <w:pStyle w:val="TableContents"/>
              <w:bidi w:val="0"/>
              <w:spacing w:before="0" w:after="283"/>
              <w:jc w:val="left"/>
              <w:rPr/>
            </w:pPr>
            <w:r>
              <w:rPr/>
              <w:t> </w:t>
            </w:r>
          </w:p>
        </w:tc>
      </w:tr>
      <w:tr>
        <w:trPr/>
        <w:tc>
          <w:tcPr>
            <w:tcW w:w="150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5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Ordinary Shares</w:t>
            </w:r>
          </w:p>
        </w:tc>
        <w:tc>
          <w:tcPr>
            <w:tcW w:w="60" w:type="dxa"/>
            <w:tcBorders/>
            <w:vAlign w:val="bottom"/>
          </w:tcPr>
          <w:p>
            <w:pPr>
              <w:pStyle w:val="TableContents"/>
              <w:bidi w:val="0"/>
              <w:spacing w:before="0" w:after="283"/>
              <w:jc w:val="left"/>
              <w:rPr/>
            </w:pPr>
            <w:r>
              <w:rPr/>
              <w:t> </w:t>
            </w:r>
          </w:p>
        </w:tc>
        <w:tc>
          <w:tcPr>
            <w:tcW w:w="156" w:type="dxa"/>
            <w:vMerge w:val="restart"/>
            <w:tcBorders/>
            <w:vAlign w:val="bottom"/>
          </w:tcPr>
          <w:p>
            <w:pPr>
              <w:pStyle w:val="TableContents"/>
              <w:bidi w:val="0"/>
              <w:spacing w:before="0" w:after="283"/>
              <w:jc w:val="left"/>
              <w:rPr/>
            </w:pPr>
            <w:r>
              <w:rPr/>
              <w:t>  </w:t>
            </w:r>
          </w:p>
        </w:tc>
        <w:tc>
          <w:tcPr>
            <w:tcW w:w="11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w:t>
            </w:r>
            <w:r>
              <w:rPr/>
              <w:br/>
            </w:r>
            <w:r>
              <w:rPr>
                <w:b/>
              </w:rPr>
              <w:t>in Capital</w:t>
            </w:r>
          </w:p>
        </w:tc>
        <w:tc>
          <w:tcPr>
            <w:tcW w:w="60" w:type="dxa"/>
            <w:vMerge w:val="restart"/>
            <w:tcBorders/>
            <w:vAlign w:val="bottom"/>
          </w:tcPr>
          <w:p>
            <w:pPr>
              <w:pStyle w:val="TableContents"/>
              <w:bidi w:val="0"/>
              <w:spacing w:before="0" w:after="283"/>
              <w:jc w:val="left"/>
              <w:rPr/>
            </w:pPr>
            <w:r>
              <w:rPr/>
              <w:t> </w:t>
            </w:r>
          </w:p>
        </w:tc>
        <w:tc>
          <w:tcPr>
            <w:tcW w:w="155" w:type="dxa"/>
            <w:vMerge w:val="restart"/>
            <w:tcBorders/>
            <w:vAlign w:val="bottom"/>
          </w:tcPr>
          <w:p>
            <w:pPr>
              <w:pStyle w:val="TableContents"/>
              <w:bidi w:val="0"/>
              <w:spacing w:before="0" w:after="283"/>
              <w:jc w:val="left"/>
              <w:rPr/>
            </w:pPr>
            <w:r>
              <w:rPr/>
              <w:t>  </w:t>
            </w:r>
          </w:p>
        </w:tc>
        <w:tc>
          <w:tcPr>
            <w:tcW w:w="162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60" w:type="dxa"/>
            <w:vMerge w:val="restart"/>
            <w:tcBorders/>
            <w:vAlign w:val="bottom"/>
          </w:tcPr>
          <w:p>
            <w:pPr>
              <w:pStyle w:val="TableContents"/>
              <w:bidi w:val="0"/>
              <w:spacing w:before="0" w:after="283"/>
              <w:jc w:val="left"/>
              <w:rPr/>
            </w:pPr>
            <w:r>
              <w:rPr/>
              <w:t> </w:t>
            </w:r>
          </w:p>
        </w:tc>
        <w:tc>
          <w:tcPr>
            <w:tcW w:w="156" w:type="dxa"/>
            <w:vMerge w:val="restart"/>
            <w:tcBorders/>
            <w:vAlign w:val="bottom"/>
          </w:tcPr>
          <w:p>
            <w:pPr>
              <w:pStyle w:val="TableContents"/>
              <w:bidi w:val="0"/>
              <w:spacing w:before="0" w:after="283"/>
              <w:jc w:val="left"/>
              <w:rPr/>
            </w:pPr>
            <w:r>
              <w:rPr/>
              <w:t>  </w:t>
            </w:r>
          </w:p>
        </w:tc>
        <w:tc>
          <w:tcPr>
            <w:tcW w:w="95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Retained</w:t>
            </w:r>
            <w:r>
              <w:rPr/>
              <w:br/>
            </w:r>
            <w:r>
              <w:rPr>
                <w:b/>
              </w:rPr>
              <w:t>Earnings</w:t>
            </w:r>
          </w:p>
        </w:tc>
        <w:tc>
          <w:tcPr>
            <w:tcW w:w="60" w:type="dxa"/>
            <w:vMerge w:val="restart"/>
            <w:tcBorders/>
            <w:vAlign w:val="bottom"/>
          </w:tcPr>
          <w:p>
            <w:pPr>
              <w:pStyle w:val="TableContents"/>
              <w:bidi w:val="0"/>
              <w:spacing w:before="0" w:after="283"/>
              <w:jc w:val="left"/>
              <w:rPr/>
            </w:pPr>
            <w:r>
              <w:rPr/>
              <w:t> </w:t>
            </w:r>
          </w:p>
        </w:tc>
        <w:tc>
          <w:tcPr>
            <w:tcW w:w="156" w:type="dxa"/>
            <w:vMerge w:val="restart"/>
            <w:tcBorders/>
            <w:vAlign w:val="bottom"/>
          </w:tcPr>
          <w:p>
            <w:pPr>
              <w:pStyle w:val="TableContents"/>
              <w:bidi w:val="0"/>
              <w:spacing w:before="0" w:after="283"/>
              <w:jc w:val="left"/>
              <w:rPr/>
            </w:pPr>
            <w:r>
              <w:rPr/>
              <w:t>  </w:t>
            </w:r>
          </w:p>
        </w:tc>
        <w:tc>
          <w:tcPr>
            <w:tcW w:w="13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Equity</w:t>
            </w:r>
          </w:p>
        </w:tc>
        <w:tc>
          <w:tcPr>
            <w:tcW w:w="67" w:type="dxa"/>
            <w:vMerge w:val="restart"/>
            <w:tcBorders/>
            <w:vAlign w:val="bottom"/>
          </w:tcPr>
          <w:p>
            <w:pPr>
              <w:pStyle w:val="TableContents"/>
              <w:bidi w:val="0"/>
              <w:spacing w:before="0" w:after="283"/>
              <w:jc w:val="left"/>
              <w:rPr/>
            </w:pPr>
            <w:r>
              <w:rPr/>
              <w:t> </w:t>
            </w:r>
          </w:p>
        </w:tc>
      </w:tr>
      <w:tr>
        <w:trPr/>
        <w:tc>
          <w:tcPr>
            <w:tcW w:w="150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56" w:type="dxa"/>
            <w:vMerge w:val="continue"/>
            <w:tcBorders/>
            <w:vAlign w:val="bottom"/>
          </w:tcPr>
          <w:p>
            <w:pPr>
              <w:pStyle w:val="Normal"/>
              <w:bidi w:val="0"/>
              <w:jc w:val="left"/>
              <w:rPr/>
            </w:pPr>
            <w:r>
              <w:rPr/>
            </w:r>
          </w:p>
        </w:tc>
        <w:tc>
          <w:tcPr>
            <w:tcW w:w="111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621"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56" w:type="dxa"/>
            <w:vMerge w:val="continue"/>
            <w:tcBorders/>
            <w:vAlign w:val="bottom"/>
          </w:tcPr>
          <w:p>
            <w:pPr>
              <w:pStyle w:val="Normal"/>
              <w:bidi w:val="0"/>
              <w:jc w:val="left"/>
              <w:rPr/>
            </w:pPr>
            <w:r>
              <w:rPr/>
            </w:r>
          </w:p>
        </w:tc>
        <w:tc>
          <w:tcPr>
            <w:tcW w:w="952"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6" w:type="dxa"/>
            <w:vMerge w:val="continue"/>
            <w:tcBorders/>
            <w:vAlign w:val="bottom"/>
          </w:tcPr>
          <w:p>
            <w:pPr>
              <w:pStyle w:val="Normal"/>
              <w:bidi w:val="0"/>
              <w:jc w:val="left"/>
              <w:rPr/>
            </w:pPr>
            <w:r>
              <w:rPr/>
            </w:r>
          </w:p>
        </w:tc>
        <w:tc>
          <w:tcPr>
            <w:tcW w:w="1380" w:type="dxa"/>
            <w:gridSpan w:val="2"/>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r>
      <w:tr>
        <w:trPr/>
        <w:tc>
          <w:tcPr>
            <w:tcW w:w="15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2023</w:t>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b/>
              </w:rPr>
            </w:pPr>
            <w:r>
              <w:rPr>
                <w:b/>
              </w:rPr>
              <w:t>1,025,234,000</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b/>
              </w:rPr>
            </w:pPr>
            <w:r>
              <w:rPr>
                <w:b/>
              </w:rPr>
              <w:t>$</w:t>
            </w:r>
          </w:p>
        </w:tc>
        <w:tc>
          <w:tcPr>
            <w:tcW w:w="434"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b/>
              </w:rPr>
            </w:pPr>
            <w:r>
              <w:rPr>
                <w:b/>
              </w:rPr>
              <w:t>$</w:t>
            </w:r>
          </w:p>
        </w:tc>
        <w:tc>
          <w:tcPr>
            <w:tcW w:w="888" w:type="dxa"/>
            <w:tcBorders/>
            <w:shd w:fill="CCEEFF" w:val="clear"/>
            <w:vAlign w:val="bottom"/>
          </w:tcPr>
          <w:p>
            <w:pPr>
              <w:pStyle w:val="TableContents"/>
              <w:bidi w:val="0"/>
              <w:spacing w:before="0" w:after="283"/>
              <w:jc w:val="right"/>
              <w:rPr>
                <w:b/>
              </w:rPr>
            </w:pPr>
            <w:r>
              <w:rPr>
                <w:b/>
              </w:rPr>
              <w:t>1,216</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b/>
              </w:rPr>
            </w:pPr>
            <w:r>
              <w:rPr>
                <w:b/>
              </w:rPr>
              <w:t>$</w:t>
            </w:r>
          </w:p>
        </w:tc>
        <w:tc>
          <w:tcPr>
            <w:tcW w:w="1184" w:type="dxa"/>
            <w:tcBorders/>
            <w:shd w:fill="CCEEFF" w:val="clear"/>
            <w:vAlign w:val="bottom"/>
          </w:tcPr>
          <w:p>
            <w:pPr>
              <w:pStyle w:val="TableContents"/>
              <w:bidi w:val="0"/>
              <w:spacing w:before="0" w:after="283"/>
              <w:jc w:val="right"/>
              <w:rPr>
                <w:b/>
              </w:rPr>
            </w:pPr>
            <w:r>
              <w:rPr>
                <w:b/>
              </w:rPr>
              <w:t>376</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2,457</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4,051</w:t>
            </w:r>
          </w:p>
        </w:tc>
        <w:tc>
          <w:tcPr>
            <w:tcW w:w="67" w:type="dxa"/>
            <w:tcBorders/>
            <w:shd w:fill="CCEEFF" w:val="clear"/>
            <w:vAlign w:val="bottom"/>
          </w:tcPr>
          <w:p>
            <w:pPr>
              <w:pStyle w:val="TableContents"/>
              <w:bidi w:val="0"/>
              <w:spacing w:before="0" w:after="283"/>
              <w:jc w:val="left"/>
              <w:rPr/>
            </w:pPr>
            <w:r>
              <w:rPr/>
              <w:t> </w:t>
            </w:r>
          </w:p>
        </w:tc>
      </w:tr>
      <w:tr>
        <w:trPr/>
        <w:tc>
          <w:tcPr>
            <w:tcW w:w="15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105</w:t>
            </w:r>
          </w:p>
        </w:tc>
        <w:tc>
          <w:tcPr>
            <w:tcW w:w="67" w:type="dxa"/>
            <w:tcBorders/>
            <w:vAlign w:val="bottom"/>
          </w:tcPr>
          <w:p>
            <w:pPr>
              <w:pStyle w:val="TableContents"/>
              <w:bidi w:val="0"/>
              <w:spacing w:before="0" w:after="283"/>
              <w:jc w:val="left"/>
              <w:rPr/>
            </w:pPr>
            <w:r>
              <w:rPr/>
              <w:t> </w:t>
            </w:r>
          </w:p>
        </w:tc>
      </w:tr>
      <w:tr>
        <w:trPr/>
        <w:tc>
          <w:tcPr>
            <w:tcW w:w="15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 in fair value of the effective portion of designated cash flow hedges, net of tax</w:t>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5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w:t>
            </w:r>
          </w:p>
        </w:tc>
        <w:tc>
          <w:tcPr>
            <w:tcW w:w="67" w:type="dxa"/>
            <w:tcBorders/>
            <w:vAlign w:val="bottom"/>
          </w:tcPr>
          <w:p>
            <w:pPr>
              <w:pStyle w:val="TableContents"/>
              <w:bidi w:val="0"/>
              <w:spacing w:before="0" w:after="283"/>
              <w:jc w:val="left"/>
              <w:rPr/>
            </w:pPr>
            <w:r>
              <w:rPr/>
              <w:t> </w:t>
            </w:r>
          </w:p>
        </w:tc>
      </w:tr>
      <w:tr>
        <w:trPr/>
        <w:tc>
          <w:tcPr>
            <w:tcW w:w="15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Share-based compensation cost</w:t>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59</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59</w:t>
            </w:r>
          </w:p>
        </w:tc>
        <w:tc>
          <w:tcPr>
            <w:tcW w:w="67" w:type="dxa"/>
            <w:tcBorders/>
            <w:shd w:fill="CCEEFF" w:val="clear"/>
            <w:vAlign w:val="bottom"/>
          </w:tcPr>
          <w:p>
            <w:pPr>
              <w:pStyle w:val="TableContents"/>
              <w:bidi w:val="0"/>
              <w:spacing w:before="0" w:after="283"/>
              <w:jc w:val="left"/>
              <w:rPr/>
            </w:pPr>
            <w:r>
              <w:rPr/>
              <w:t> </w:t>
            </w:r>
          </w:p>
        </w:tc>
      </w:tr>
      <w:tr>
        <w:trPr/>
        <w:tc>
          <w:tcPr>
            <w:tcW w:w="15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34" w:type="dxa"/>
            <w:tcBorders/>
            <w:vAlign w:val="bottom"/>
          </w:tcPr>
          <w:p>
            <w:pPr>
              <w:pStyle w:val="TableContents"/>
              <w:pBdr>
                <w:top w:val="single" w:sz="2" w:space="1" w:color="000000"/>
              </w:pBdr>
              <w:bidi w:val="0"/>
              <w:spacing w:before="0" w:after="0"/>
              <w:jc w:val="left"/>
              <w:rPr/>
            </w:pPr>
            <w:r>
              <w:rPr/>
              <w:t> </w:t>
            </w:r>
          </w:p>
        </w:tc>
        <w:tc>
          <w:tcPr>
            <w:tcW w:w="4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June 30, 2023</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b/>
              </w:rPr>
            </w:pPr>
            <w:r>
              <w:rPr>
                <w:b/>
              </w:rPr>
              <w:t>1,025,234,000</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b/>
              </w:rPr>
            </w:pPr>
            <w:r>
              <w:rPr>
                <w:b/>
              </w:rPr>
              <w:t>$</w:t>
            </w:r>
          </w:p>
        </w:tc>
        <w:tc>
          <w:tcPr>
            <w:tcW w:w="434" w:type="dxa"/>
            <w:tcBorders/>
            <w:vAlign w:val="bottom"/>
          </w:tcPr>
          <w:p>
            <w:pPr>
              <w:pStyle w:val="TableContents"/>
              <w:bidi w:val="0"/>
              <w:spacing w:before="0" w:after="283"/>
              <w:jc w:val="right"/>
              <w:rPr>
                <w:b/>
              </w:rPr>
            </w:pPr>
            <w:r>
              <w:rPr>
                <w:b/>
              </w:rPr>
              <w:t>2</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b/>
              </w:rPr>
            </w:pPr>
            <w:r>
              <w:rPr>
                <w:b/>
              </w:rPr>
              <w:t>$</w:t>
            </w:r>
          </w:p>
        </w:tc>
        <w:tc>
          <w:tcPr>
            <w:tcW w:w="888" w:type="dxa"/>
            <w:tcBorders/>
            <w:vAlign w:val="bottom"/>
          </w:tcPr>
          <w:p>
            <w:pPr>
              <w:pStyle w:val="TableContents"/>
              <w:bidi w:val="0"/>
              <w:spacing w:before="0" w:after="283"/>
              <w:jc w:val="right"/>
              <w:rPr>
                <w:b/>
              </w:rPr>
            </w:pPr>
            <w:r>
              <w:rPr>
                <w:b/>
              </w:rPr>
              <w:t>1,275</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b/>
              </w:rPr>
            </w:pPr>
            <w:r>
              <w:rPr>
                <w:b/>
              </w:rPr>
              <w:t>$</w:t>
            </w:r>
          </w:p>
        </w:tc>
        <w:tc>
          <w:tcPr>
            <w:tcW w:w="1184" w:type="dxa"/>
            <w:tcBorders/>
            <w:vAlign w:val="bottom"/>
          </w:tcPr>
          <w:p>
            <w:pPr>
              <w:pStyle w:val="TableContents"/>
              <w:bidi w:val="0"/>
              <w:spacing w:before="0" w:after="283"/>
              <w:jc w:val="right"/>
              <w:rPr>
                <w:b/>
              </w:rPr>
            </w:pPr>
            <w:r>
              <w:rPr>
                <w:b/>
              </w:rPr>
              <w:t>382</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b/>
              </w:rPr>
            </w:pPr>
            <w:r>
              <w:rPr>
                <w:b/>
              </w:rPr>
              <w:t>$</w:t>
            </w:r>
          </w:p>
        </w:tc>
        <w:tc>
          <w:tcPr>
            <w:tcW w:w="762" w:type="dxa"/>
            <w:tcBorders/>
            <w:vAlign w:val="bottom"/>
          </w:tcPr>
          <w:p>
            <w:pPr>
              <w:pStyle w:val="TableContents"/>
              <w:bidi w:val="0"/>
              <w:spacing w:before="0" w:after="283"/>
              <w:jc w:val="right"/>
              <w:rPr>
                <w:b/>
              </w:rPr>
            </w:pPr>
            <w:r>
              <w:rPr>
                <w:b/>
              </w:rPr>
              <w:t>2,562</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b/>
              </w:rPr>
            </w:pPr>
            <w:r>
              <w:rPr>
                <w:b/>
              </w:rPr>
              <w:t>$</w:t>
            </w:r>
          </w:p>
        </w:tc>
        <w:tc>
          <w:tcPr>
            <w:tcW w:w="1106" w:type="dxa"/>
            <w:tcBorders/>
            <w:vAlign w:val="bottom"/>
          </w:tcPr>
          <w:p>
            <w:pPr>
              <w:pStyle w:val="TableContents"/>
              <w:bidi w:val="0"/>
              <w:spacing w:before="0" w:after="283"/>
              <w:jc w:val="right"/>
              <w:rPr>
                <w:b/>
              </w:rPr>
            </w:pPr>
            <w:r>
              <w:rPr>
                <w:b/>
              </w:rPr>
              <w:t>4,221</w:t>
            </w:r>
          </w:p>
        </w:tc>
        <w:tc>
          <w:tcPr>
            <w:tcW w:w="67" w:type="dxa"/>
            <w:tcBorders/>
            <w:vAlign w:val="bottom"/>
          </w:tcPr>
          <w:p>
            <w:pPr>
              <w:pStyle w:val="TableContents"/>
              <w:bidi w:val="0"/>
              <w:spacing w:before="0" w:after="283"/>
              <w:jc w:val="left"/>
              <w:rPr/>
            </w:pPr>
            <w:r>
              <w:rPr/>
              <w:t> </w:t>
            </w:r>
          </w:p>
        </w:tc>
      </w:tr>
      <w:tr>
        <w:trPr/>
        <w:tc>
          <w:tcPr>
            <w:tcW w:w="15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34" w:type="dxa"/>
            <w:tcBorders/>
            <w:vAlign w:val="bottom"/>
          </w:tcPr>
          <w:p>
            <w:pPr>
              <w:pStyle w:val="TableContents"/>
              <w:pBdr>
                <w:top w:val="double" w:sz="6" w:space="1" w:color="000000"/>
              </w:pBdr>
              <w:bidi w:val="0"/>
              <w:spacing w:before="0" w:after="0"/>
              <w:jc w:val="left"/>
              <w:rPr/>
            </w:pPr>
            <w:r>
              <w:rPr/>
              <w:t> </w:t>
            </w:r>
          </w:p>
        </w:tc>
        <w:tc>
          <w:tcPr>
            <w:tcW w:w="4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8"/>
        <w:gridCol w:w="148"/>
        <w:gridCol w:w="60"/>
        <w:gridCol w:w="1407"/>
        <w:gridCol w:w="60"/>
        <w:gridCol w:w="148"/>
        <w:gridCol w:w="433"/>
        <w:gridCol w:w="433"/>
        <w:gridCol w:w="60"/>
        <w:gridCol w:w="148"/>
        <w:gridCol w:w="221"/>
        <w:gridCol w:w="886"/>
        <w:gridCol w:w="60"/>
        <w:gridCol w:w="147"/>
        <w:gridCol w:w="436"/>
        <w:gridCol w:w="1183"/>
        <w:gridCol w:w="155"/>
        <w:gridCol w:w="90"/>
        <w:gridCol w:w="190"/>
        <w:gridCol w:w="762"/>
        <w:gridCol w:w="60"/>
        <w:gridCol w:w="148"/>
        <w:gridCol w:w="274"/>
        <w:gridCol w:w="1104"/>
        <w:gridCol w:w="164"/>
      </w:tblGrid>
      <w:tr>
        <w:trPr/>
        <w:tc>
          <w:tcPr>
            <w:tcW w:w="1428"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6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 2022</w:t>
            </w:r>
          </w:p>
        </w:tc>
        <w:tc>
          <w:tcPr>
            <w:tcW w:w="164" w:type="dxa"/>
            <w:tcBorders/>
            <w:vAlign w:val="bottom"/>
          </w:tcPr>
          <w:p>
            <w:pPr>
              <w:pStyle w:val="TableContents"/>
              <w:bidi w:val="0"/>
              <w:spacing w:before="0" w:after="283"/>
              <w:jc w:val="left"/>
              <w:rPr/>
            </w:pPr>
            <w:r>
              <w:rPr/>
              <w:t> </w:t>
            </w:r>
          </w:p>
        </w:tc>
      </w:tr>
      <w:tr>
        <w:trPr/>
        <w:tc>
          <w:tcPr>
            <w:tcW w:w="142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5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Ordinary Shares</w:t>
            </w:r>
          </w:p>
        </w:tc>
        <w:tc>
          <w:tcPr>
            <w:tcW w:w="60" w:type="dxa"/>
            <w:tcBorders/>
            <w:vAlign w:val="bottom"/>
          </w:tcPr>
          <w:p>
            <w:pPr>
              <w:pStyle w:val="TableContents"/>
              <w:bidi w:val="0"/>
              <w:spacing w:before="0" w:after="283"/>
              <w:jc w:val="left"/>
              <w:rPr/>
            </w:pPr>
            <w:r>
              <w:rPr/>
              <w:t> </w:t>
            </w:r>
          </w:p>
        </w:tc>
        <w:tc>
          <w:tcPr>
            <w:tcW w:w="148" w:type="dxa"/>
            <w:vMerge w:val="restart"/>
            <w:tcBorders/>
            <w:vAlign w:val="bottom"/>
          </w:tcPr>
          <w:p>
            <w:pPr>
              <w:pStyle w:val="TableContents"/>
              <w:bidi w:val="0"/>
              <w:spacing w:before="0" w:after="283"/>
              <w:jc w:val="left"/>
              <w:rPr/>
            </w:pPr>
            <w:r>
              <w:rPr/>
              <w:t>  </w:t>
            </w:r>
          </w:p>
        </w:tc>
        <w:tc>
          <w:tcPr>
            <w:tcW w:w="110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w:t>
            </w:r>
            <w:r>
              <w:rPr/>
              <w:br/>
            </w:r>
            <w:r>
              <w:rPr>
                <w:b/>
              </w:rPr>
              <w:t>in Capital</w:t>
            </w:r>
          </w:p>
        </w:tc>
        <w:tc>
          <w:tcPr>
            <w:tcW w:w="60" w:type="dxa"/>
            <w:vMerge w:val="restart"/>
            <w:tcBorders/>
            <w:vAlign w:val="bottom"/>
          </w:tcPr>
          <w:p>
            <w:pPr>
              <w:pStyle w:val="TableContents"/>
              <w:bidi w:val="0"/>
              <w:spacing w:before="0" w:after="283"/>
              <w:jc w:val="left"/>
              <w:rPr/>
            </w:pPr>
            <w:r>
              <w:rPr/>
              <w:t> </w:t>
            </w:r>
          </w:p>
        </w:tc>
        <w:tc>
          <w:tcPr>
            <w:tcW w:w="147" w:type="dxa"/>
            <w:vMerge w:val="restart"/>
            <w:tcBorders/>
            <w:vAlign w:val="bottom"/>
          </w:tcPr>
          <w:p>
            <w:pPr>
              <w:pStyle w:val="TableContents"/>
              <w:bidi w:val="0"/>
              <w:spacing w:before="0" w:after="283"/>
              <w:jc w:val="left"/>
              <w:rPr/>
            </w:pPr>
            <w:r>
              <w:rPr/>
              <w:t>  </w:t>
            </w:r>
          </w:p>
        </w:tc>
        <w:tc>
          <w:tcPr>
            <w:tcW w:w="161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95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Retained</w:t>
            </w:r>
            <w:r>
              <w:rPr/>
              <w:br/>
            </w:r>
            <w:r>
              <w:rPr>
                <w:b/>
              </w:rPr>
              <w:t>Earnings</w:t>
            </w:r>
          </w:p>
        </w:tc>
        <w:tc>
          <w:tcPr>
            <w:tcW w:w="60" w:type="dxa"/>
            <w:vMerge w:val="restart"/>
            <w:tcBorders/>
            <w:vAlign w:val="bottom"/>
          </w:tcPr>
          <w:p>
            <w:pPr>
              <w:pStyle w:val="TableContents"/>
              <w:bidi w:val="0"/>
              <w:spacing w:before="0" w:after="283"/>
              <w:jc w:val="left"/>
              <w:rPr/>
            </w:pPr>
            <w:r>
              <w:rPr/>
              <w:t> </w:t>
            </w:r>
          </w:p>
        </w:tc>
        <w:tc>
          <w:tcPr>
            <w:tcW w:w="148" w:type="dxa"/>
            <w:vMerge w:val="restart"/>
            <w:tcBorders/>
            <w:vAlign w:val="bottom"/>
          </w:tcPr>
          <w:p>
            <w:pPr>
              <w:pStyle w:val="TableContents"/>
              <w:bidi w:val="0"/>
              <w:spacing w:before="0" w:after="283"/>
              <w:jc w:val="left"/>
              <w:rPr/>
            </w:pPr>
            <w:r>
              <w:rPr/>
              <w:t>  </w:t>
            </w:r>
          </w:p>
        </w:tc>
        <w:tc>
          <w:tcPr>
            <w:tcW w:w="137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Equity</w:t>
            </w:r>
          </w:p>
        </w:tc>
        <w:tc>
          <w:tcPr>
            <w:tcW w:w="164" w:type="dxa"/>
            <w:vMerge w:val="restart"/>
            <w:tcBorders/>
            <w:vAlign w:val="bottom"/>
          </w:tcPr>
          <w:p>
            <w:pPr>
              <w:pStyle w:val="TableContents"/>
              <w:bidi w:val="0"/>
              <w:spacing w:before="0" w:after="283"/>
              <w:jc w:val="left"/>
              <w:rPr/>
            </w:pPr>
            <w:r>
              <w:rPr/>
              <w:t> </w:t>
            </w:r>
          </w:p>
        </w:tc>
      </w:tr>
      <w:tr>
        <w:trPr/>
        <w:tc>
          <w:tcPr>
            <w:tcW w:w="142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8" w:type="dxa"/>
            <w:vMerge w:val="continue"/>
            <w:tcBorders/>
            <w:vAlign w:val="bottom"/>
          </w:tcPr>
          <w:p>
            <w:pPr>
              <w:pStyle w:val="Normal"/>
              <w:bidi w:val="0"/>
              <w:jc w:val="left"/>
              <w:rPr/>
            </w:pPr>
            <w:r>
              <w:rPr/>
            </w:r>
          </w:p>
        </w:tc>
        <w:tc>
          <w:tcPr>
            <w:tcW w:w="1107"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7" w:type="dxa"/>
            <w:vMerge w:val="continue"/>
            <w:tcBorders>
              <w:bottom w:val="single" w:sz="8" w:space="0" w:color="000000"/>
            </w:tcBorders>
            <w:tcMar>
              <w:bottom w:w="28" w:type="dxa"/>
            </w:tcMar>
            <w:vAlign w:val="bottom"/>
          </w:tcPr>
          <w:p>
            <w:pPr>
              <w:pStyle w:val="Normal"/>
              <w:bidi w:val="0"/>
              <w:jc w:val="left"/>
              <w:rPr/>
            </w:pPr>
            <w:r>
              <w:rPr/>
            </w:r>
          </w:p>
        </w:tc>
        <w:tc>
          <w:tcPr>
            <w:tcW w:w="1619"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2"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8" w:type="dxa"/>
            <w:vMerge w:val="continue"/>
            <w:tcBorders/>
            <w:vAlign w:val="bottom"/>
          </w:tcPr>
          <w:p>
            <w:pPr>
              <w:pStyle w:val="Normal"/>
              <w:bidi w:val="0"/>
              <w:jc w:val="left"/>
              <w:rPr/>
            </w:pPr>
            <w:r>
              <w:rPr/>
            </w:r>
          </w:p>
        </w:tc>
        <w:tc>
          <w:tcPr>
            <w:tcW w:w="1378" w:type="dxa"/>
            <w:gridSpan w:val="2"/>
            <w:vMerge w:val="continue"/>
            <w:tcBorders>
              <w:bottom w:val="single" w:sz="8" w:space="0" w:color="000000"/>
            </w:tcBorders>
            <w:tcMar>
              <w:bottom w:w="28" w:type="dxa"/>
            </w:tcMar>
            <w:vAlign w:val="bottom"/>
          </w:tcPr>
          <w:p>
            <w:pPr>
              <w:pStyle w:val="Normal"/>
              <w:bidi w:val="0"/>
              <w:jc w:val="left"/>
              <w:rPr/>
            </w:pPr>
            <w:r>
              <w:rPr/>
            </w:r>
          </w:p>
        </w:tc>
        <w:tc>
          <w:tcPr>
            <w:tcW w:w="164" w:type="dxa"/>
            <w:vMerge w:val="continue"/>
            <w:tcBorders/>
            <w:vAlign w:val="bottom"/>
          </w:tcPr>
          <w:p>
            <w:pPr>
              <w:pStyle w:val="Normal"/>
              <w:bidi w:val="0"/>
              <w:jc w:val="left"/>
              <w:rPr/>
            </w:pPr>
            <w:r>
              <w:rPr/>
            </w:r>
          </w:p>
        </w:tc>
      </w:tr>
      <w:tr>
        <w:trPr/>
        <w:tc>
          <w:tcPr>
            <w:tcW w:w="14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2022</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b/>
              </w:rPr>
            </w:pPr>
            <w:r>
              <w:rPr>
                <w:b/>
              </w:rPr>
              <w:t>1,025,234,000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b/>
              </w:rPr>
            </w:pPr>
            <w:r>
              <w:rPr>
                <w:b/>
              </w:rPr>
              <w:t>$</w:t>
            </w:r>
          </w:p>
        </w:tc>
        <w:tc>
          <w:tcPr>
            <w:tcW w:w="433"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886" w:type="dxa"/>
            <w:tcBorders/>
            <w:shd w:fill="CCEEFF" w:val="clear"/>
            <w:vAlign w:val="bottom"/>
          </w:tcPr>
          <w:p>
            <w:pPr>
              <w:pStyle w:val="TableContents"/>
              <w:bidi w:val="0"/>
              <w:spacing w:before="0" w:after="283"/>
              <w:jc w:val="right"/>
              <w:rPr>
                <w:b/>
              </w:rPr>
            </w:pPr>
            <w:r>
              <w:rPr>
                <w:b/>
              </w:rPr>
              <w:t>1,214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399</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1,933</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3,548</w:t>
            </w:r>
          </w:p>
        </w:tc>
        <w:tc>
          <w:tcPr>
            <w:tcW w:w="164" w:type="dxa"/>
            <w:tcBorders/>
            <w:shd w:fill="CCEEFF" w:val="clear"/>
            <w:vAlign w:val="bottom"/>
          </w:tcPr>
          <w:p>
            <w:pPr>
              <w:pStyle w:val="TableContents"/>
              <w:bidi w:val="0"/>
              <w:spacing w:before="0" w:after="283"/>
              <w:jc w:val="left"/>
              <w:rPr/>
            </w:pPr>
            <w:r>
              <w:rPr/>
              <w:t> </w:t>
            </w:r>
          </w:p>
        </w:tc>
      </w:tr>
      <w:tr>
        <w:trPr/>
        <w:tc>
          <w:tcPr>
            <w:tcW w:w="14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225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225</w:t>
            </w:r>
          </w:p>
        </w:tc>
        <w:tc>
          <w:tcPr>
            <w:tcW w:w="164" w:type="dxa"/>
            <w:tcBorders/>
            <w:vAlign w:val="bottom"/>
          </w:tcPr>
          <w:p>
            <w:pPr>
              <w:pStyle w:val="TableContents"/>
              <w:bidi w:val="0"/>
              <w:spacing w:before="0" w:after="283"/>
              <w:jc w:val="left"/>
              <w:rPr/>
            </w:pPr>
            <w:r>
              <w:rPr/>
              <w:t> </w:t>
            </w:r>
          </w:p>
        </w:tc>
      </w:tr>
      <w:tr>
        <w:trPr/>
        <w:tc>
          <w:tcPr>
            <w:tcW w:w="14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w:t>
            </w:r>
          </w:p>
        </w:tc>
        <w:tc>
          <w:tcPr>
            <w:tcW w:w="164" w:type="dxa"/>
            <w:tcBorders/>
            <w:shd w:fill="CCEEFF" w:val="clear"/>
            <w:vAlign w:val="bottom"/>
          </w:tcPr>
          <w:p>
            <w:pPr>
              <w:pStyle w:val="TableContents"/>
              <w:bidi w:val="0"/>
              <w:spacing w:before="0" w:after="283"/>
              <w:jc w:val="left"/>
              <w:rPr/>
            </w:pPr>
            <w:r>
              <w:rPr/>
              <w:t>) </w:t>
            </w:r>
          </w:p>
        </w:tc>
      </w:tr>
      <w:tr>
        <w:trPr/>
        <w:tc>
          <w:tcPr>
            <w:tcW w:w="14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Share-based compensation cost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w:t>
            </w:r>
          </w:p>
        </w:tc>
        <w:tc>
          <w:tcPr>
            <w:tcW w:w="164" w:type="dxa"/>
            <w:tcBorders/>
            <w:vAlign w:val="bottom"/>
          </w:tcPr>
          <w:p>
            <w:pPr>
              <w:pStyle w:val="TableContents"/>
              <w:bidi w:val="0"/>
              <w:spacing w:before="0" w:after="283"/>
              <w:jc w:val="left"/>
              <w:rPr/>
            </w:pPr>
            <w:r>
              <w:rPr/>
              <w:t> </w:t>
            </w:r>
          </w:p>
        </w:tc>
      </w:tr>
      <w:tr>
        <w:trPr/>
        <w:tc>
          <w:tcPr>
            <w:tcW w:w="1428"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36"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4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June 30, 2022</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b/>
              </w:rPr>
            </w:pPr>
            <w:r>
              <w:rPr>
                <w:b/>
              </w:rPr>
              <w:t>1,025,234,000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b/>
              </w:rPr>
            </w:pPr>
            <w:r>
              <w:rPr>
                <w:b/>
              </w:rPr>
              <w:t>$</w:t>
            </w:r>
          </w:p>
        </w:tc>
        <w:tc>
          <w:tcPr>
            <w:tcW w:w="433"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886" w:type="dxa"/>
            <w:tcBorders/>
            <w:shd w:fill="CCEEFF" w:val="clear"/>
            <w:vAlign w:val="bottom"/>
          </w:tcPr>
          <w:p>
            <w:pPr>
              <w:pStyle w:val="TableContents"/>
              <w:bidi w:val="0"/>
              <w:spacing w:before="0" w:after="283"/>
              <w:jc w:val="right"/>
              <w:rPr>
                <w:b/>
              </w:rPr>
            </w:pPr>
            <w:r>
              <w:rPr>
                <w:b/>
              </w:rPr>
              <w:t>1,224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364</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2,158</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3,748</w:t>
            </w:r>
          </w:p>
        </w:tc>
        <w:tc>
          <w:tcPr>
            <w:tcW w:w="164" w:type="dxa"/>
            <w:tcBorders/>
            <w:shd w:fill="CCEEFF" w:val="clear"/>
            <w:vAlign w:val="bottom"/>
          </w:tcPr>
          <w:p>
            <w:pPr>
              <w:pStyle w:val="TableContents"/>
              <w:bidi w:val="0"/>
              <w:spacing w:before="0" w:after="283"/>
              <w:jc w:val="left"/>
              <w:rPr/>
            </w:pPr>
            <w:r>
              <w:rPr/>
              <w:t> </w:t>
            </w:r>
          </w:p>
        </w:tc>
      </w:tr>
      <w:tr>
        <w:trPr/>
        <w:tc>
          <w:tcPr>
            <w:tcW w:w="1428"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36"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4000" w:after="0"/>
        <w:jc w:val="center"/>
        <w:rPr>
          <w:rFonts w:ascii="Times New Roman" w:hAnsi="Times New Roman"/>
          <w:sz w:val="20"/>
        </w:rPr>
      </w:pPr>
      <w:r>
        <w:rPr>
          <w:rFonts w:ascii="Times New Roman" w:hAnsi="Times New Roman"/>
          <w:sz w:val="20"/>
        </w:rPr>
        <w:t xml:space="preserve">See accompanying notes to the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6" w:name="rider393891_12"/>
      <w:bookmarkEnd w:id="46"/>
      <w:r>
        <w:rPr>
          <w:rFonts w:ascii="Times New Roman" w:hAnsi="Times New Roman"/>
          <w:b/>
          <w:sz w:val="20"/>
        </w:rPr>
        <w:t xml:space="preserve">Arm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60"/>
        <w:gridCol w:w="536"/>
        <w:gridCol w:w="291"/>
        <w:gridCol w:w="1172"/>
        <w:gridCol w:w="295"/>
        <w:gridCol w:w="530"/>
        <w:gridCol w:w="290"/>
        <w:gridCol w:w="1173"/>
        <w:gridCol w:w="158"/>
      </w:tblGrid>
      <w:tr>
        <w:trPr/>
        <w:tc>
          <w:tcPr>
            <w:tcW w:w="5760" w:type="dxa"/>
            <w:tcBorders/>
            <w:vAlign w:val="center"/>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37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158" w:type="dxa"/>
            <w:tcBorders/>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used for operating activities: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105</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225</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(used for) operating activities: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41</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42</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(13</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(8</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equity investments, net</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cost</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140</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8</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9</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operating activities, net</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assets and liabilities: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172"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17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receivables from related parties)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102</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(65</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(32</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(447</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(541</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 (including contract liabilities from related parties)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24</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14</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Tax liabilities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12</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50</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(36</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 (including payables to related parties)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(58</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20</w:t>
            </w:r>
          </w:p>
        </w:tc>
        <w:tc>
          <w:tcPr>
            <w:tcW w:w="158" w:type="dxa"/>
            <w:tcBorders/>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for operating activities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(114</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(231</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provided by (used for) investing activities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172"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17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short-term investments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(260</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(225</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maturity of short-term investments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120</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290</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equity investments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(11</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intangible assets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(26</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(12</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for) investing activities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(177</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36</w:t>
            </w:r>
          </w:p>
        </w:tc>
        <w:tc>
          <w:tcPr>
            <w:tcW w:w="158" w:type="dxa"/>
            <w:tcBorders/>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used for financing activities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intangible asset obligations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(10</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activities, net</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(5</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for financing activities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(15</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on cash and cash equivalents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(306</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(216</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the quarter</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1,554</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1,004</w:t>
            </w:r>
          </w:p>
        </w:tc>
        <w:tc>
          <w:tcPr>
            <w:tcW w:w="158" w:type="dxa"/>
            <w:tcBorders/>
            <w:shd w:fill="CCEEFF" w:val="clear"/>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the quarter</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1,248</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788</w:t>
            </w:r>
          </w:p>
        </w:tc>
        <w:tc>
          <w:tcPr>
            <w:tcW w:w="158" w:type="dxa"/>
            <w:tcBorders/>
            <w:vAlign w:val="bottom"/>
          </w:tcPr>
          <w:p>
            <w:pPr>
              <w:pStyle w:val="TableContents"/>
              <w:bidi w:val="0"/>
              <w:spacing w:before="0" w:after="283"/>
              <w:jc w:val="left"/>
              <w:rPr/>
            </w:pPr>
            <w:r>
              <w:rPr/>
              <w:t> </w:t>
            </w:r>
          </w:p>
        </w:tc>
      </w:tr>
      <w:tr>
        <w:trPr/>
        <w:tc>
          <w:tcPr>
            <w:tcW w:w="5760"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Non-cash changes in property, plant and equipment</w:t>
            </w:r>
          </w:p>
        </w:tc>
        <w:tc>
          <w:tcPr>
            <w:tcW w:w="53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(11</w:t>
            </w:r>
          </w:p>
        </w:tc>
        <w:tc>
          <w:tcPr>
            <w:tcW w:w="2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5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changes in intangible assets</w:t>
            </w:r>
          </w:p>
        </w:tc>
        <w:tc>
          <w:tcPr>
            <w:tcW w:w="53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(52</w:t>
            </w:r>
          </w:p>
        </w:tc>
        <w:tc>
          <w:tcPr>
            <w:tcW w:w="2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720" w:after="0"/>
        <w:jc w:val="center"/>
        <w:rPr>
          <w:rFonts w:ascii="Times New Roman" w:hAnsi="Times New Roman"/>
          <w:sz w:val="20"/>
        </w:rPr>
      </w:pPr>
      <w:r>
        <w:rPr>
          <w:rFonts w:ascii="Times New Roman" w:hAnsi="Times New Roman"/>
          <w:sz w:val="20"/>
        </w:rPr>
        <w:t xml:space="preserve">See accompanying notes to the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bookmarkStart w:id="47" w:name="rider393891_13"/>
            <w:bookmarkEnd w:id="47"/>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and 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Arm Limited (the Company) 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conformity with accounting principles generally accepted in the U.S. (GAAP) and pursuant to the rules and regulations of the Securities and Exchange Commission (SEC) regarding interim financial information. Certain information and note disclosures normally included in the consolidated financial statements prepared in accordance with GAAP have been condensed or omitted pursuant to such rules and regulations. As such, the information included in the accompanying unaudited condensed consolidated financial statements should be read in conjunction with the audited consolidated financial statements and the related notes thereto as of and for the fiscal year ended March 31, 2023, included elsewhere in the Form F-1.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management, the accompanying unaudited condensed consolidated financial statements reflect all adjustments, consisting of normal recurring adjustments, which are necessary for the fair statement of the condensed consolidated balance sheets, income statements and cash flows for these interim periods. The results for the interim periods are not necessarily indicative of results for the full fiscal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include the accounts of the Company and its wholly owned subsidiaries. All intercompany balances and transactions have been eliminated in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revenues and expenses during the reporting periods. Significant items subject to such estimates include, but are not limited to, revenue recognition, allowance for doubtful accounts,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Inputs used in judgments and estimates consider the economic implications of COVID-19. The impact of COVID-19 related estimates were not material to the unaudited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Derivative Financial Instruments and Hedge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derivative financial instruments, specifically foreign currency forward contracts, to mitigate exposure from certain foreign currency risk. Certain forecasted transactions, specifically British Pound Sterling (GBP) denominated cash flows in the form of payroll and selling, general and administrative expenses are exposed to foreign currency risk. The Company monitors foreign currency exposures on a monthly basis to maximize the economic effectiveness of foreign currency hedge positions.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derivatives were designated hedges prior to July 2022. All derivatives are recorded at fair value as either an asset or liability. For derivatives not designated as hedges, adjustments to reflect changes in the fair value of the derivatives are included in earnings in other non-operating income (loss), net on the Condensed Consolidated Income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July 2022, all foreign currency forward contracts were designated as cash flow hedges in designated hedging relationships with the forecasted foreign denominated cash flows as the hedged transactions. The maximum length of time over which the Company is hedging its exposure to the variability in future foreign denominated cash flows is one year. For cash flow hedges that qualify and are designated for hedge accounting, the change in fair value of the derivative is recorded in the net change in fair value of the effective portion of designated cash flow hedges on the Condensed Consolidated Statements of Comprehensive Income, and subsequently recognized in research and development and selling, general and administrative expenses on the Condensed Consolidated Income Statements when the hedged transaction affects earnings.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all derivative assets and liabilities for designated and non-designated derivatives in prepaid expenses and other current assets and other current liabilities on the Condensed Consolidated Balance Sheets. The Company classifies cash flows from the settlement of effective cash flow hedges for designated and non-designated derivatives in the same category as the cash flows from the related hedged items in operating activities on the Condensed Consolidated Statements of Cash Flows. The foreign currency forward contracts are classified under Level 2 of the fair value hierarchy. See Note 6,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cash flows from the settlement of effective cash flow hedges in the same category as the cash flows from the related hedged items, generally in operating activities on the Condensed Consolidated Statements of Cash Flows. The Company classifies cash flows from settlement of non-designated derivatives in investing activities on the Condensed Consolidated Statements of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There have been no recent accounting standard updates that are material or potentially material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i/>
          <w:sz w:val="20"/>
        </w:rPr>
      </w:pPr>
      <w:r>
        <w:rPr>
          <w:rFonts w:ascii="Times New Roman" w:hAnsi="Times New Roman"/>
          <w:i/>
          <w:sz w:val="20"/>
        </w:rPr>
        <w:t xml:space="preserve">License and Other 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Intellectual property license </w:t>
            </w:r>
            <w:r>
              <w:rPr>
                <w:rFonts w:ascii="Times New Roman" w:hAnsi="Times New Roman"/>
                <w:sz w:val="20"/>
              </w:rPr>
              <w:t xml:space="preserve"> The Company generally licenses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support term, are recognized at a point in time upon the delivery or beginning of license term, whichever is later.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delivery of the underlying IPs is within the control of the customer and the extent of use in any given period does not diminish the remaining performance obligations. The contract consideration related to these arrangements is recognized ratably over the term of the contract in line with when the control of the performance obligations is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Software sales, including development systems </w:t>
            </w:r>
            <w:r>
              <w:rPr>
                <w:rFonts w:ascii="Times New Roman" w:hAnsi="Times New Roman"/>
                <w:sz w:val="20"/>
              </w:rPr>
              <w:t xml:space="preserve"> Sales of software, including development systems, which are not specifically designed for a given license (such as off-the-shelf software), are recognized upon delivery when control has been transferred and customer can begin to use and benefit from the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Professional services </w:t>
            </w:r>
            <w:r>
              <w:rPr>
                <w:rFonts w:ascii="Times New Roman" w:hAnsi="Times New Roman"/>
                <w:sz w:val="20"/>
              </w:rPr>
              <w:t xml:space="preserve"> Services (such as training and professional and design services) that the Company provides, which are not 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Support and maintenance </w:t>
            </w:r>
            <w:r>
              <w:rPr>
                <w:rFonts w:ascii="Times New Roman" w:hAnsi="Times New Roman"/>
                <w:sz w:val="20"/>
              </w:rPr>
              <w:t xml:space="preserve"> Support and maintenance is a stand-ready obligation to the customer that is both provided and consumed simultaneously. Revenue is recognized on a straight-line basis over the period for which support and maintenance is contractually agreed pursuant to the license.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Royalty Revenue </w:t>
      </w:r>
    </w:p>
    <w:p>
      <w:pPr>
        <w:pStyle w:val="TextBody"/>
        <w:bidi w:val="0"/>
        <w:spacing w:before="120" w:after="0"/>
        <w:jc w:val="left"/>
        <w:rPr>
          <w:rFonts w:ascii="Times New Roman" w:hAnsi="Times New Roman"/>
          <w:sz w:val="20"/>
        </w:rPr>
      </w:pPr>
      <w:r>
        <w:rPr>
          <w:rFonts w:ascii="Times New Roman" w:hAnsi="Times New Roman"/>
          <w:sz w:val="20"/>
        </w:rPr>
        <w:t xml:space="preserve">For certain IP license agreements, royalties are collected on products that incorporate the Companys IP. Royalties are recognized on an accrual basis in the quarter in which the customer ships their products, based on the Companys technology that it contains. The accrual is estimated using trend analysis based on market and sales data as well as customer specific financial information. As a result of estimating the amount of royalty revenue accrual in the period in which the customer sales occur using estimates based on sales trends and judgment for several key attributes, including industry estimates of expected shipments, the percentage of markets using our products, and average selling price. Adjustments to revenues are required in subsequent periods to reflect changes in estimates as new information becomes available, primarily resulting from actual amounts subsequently reported by the licensees.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Companys disaggregated revenues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5"/>
        <w:gridCol w:w="210"/>
        <w:gridCol w:w="236"/>
        <w:gridCol w:w="658"/>
        <w:gridCol w:w="101"/>
        <w:gridCol w:w="271"/>
        <w:gridCol w:w="236"/>
        <w:gridCol w:w="660"/>
        <w:gridCol w:w="60"/>
        <w:gridCol w:w="210"/>
        <w:gridCol w:w="140"/>
        <w:gridCol w:w="403"/>
        <w:gridCol w:w="60"/>
        <w:gridCol w:w="210"/>
        <w:gridCol w:w="140"/>
        <w:gridCol w:w="403"/>
        <w:gridCol w:w="60"/>
        <w:gridCol w:w="209"/>
        <w:gridCol w:w="140"/>
        <w:gridCol w:w="403"/>
        <w:gridCol w:w="60"/>
        <w:gridCol w:w="210"/>
        <w:gridCol w:w="140"/>
        <w:gridCol w:w="403"/>
        <w:gridCol w:w="67"/>
      </w:tblGrid>
      <w:tr>
        <w:trPr/>
        <w:tc>
          <w:tcPr>
            <w:tcW w:w="451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5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5413"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67"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External Customers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Related Parties</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10"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0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45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License and Other Revenue(1)</w:t>
            </w:r>
          </w:p>
        </w:tc>
        <w:tc>
          <w:tcPr>
            <w:tcW w:w="21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180</w:t>
            </w:r>
          </w:p>
        </w:tc>
        <w:tc>
          <w:tcPr>
            <w:tcW w:w="10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147</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3"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3" w:type="dxa"/>
            <w:tcBorders/>
            <w:shd w:fill="CCEEFF" w:val="clear"/>
            <w:vAlign w:val="bottom"/>
          </w:tcPr>
          <w:p>
            <w:pPr>
              <w:pStyle w:val="TableContents"/>
              <w:bidi w:val="0"/>
              <w:spacing w:before="0" w:after="283"/>
              <w:jc w:val="right"/>
              <w:rPr/>
            </w:pPr>
            <w:r>
              <w:rPr/>
              <w:t>111</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3" w:type="dxa"/>
            <w:tcBorders/>
            <w:shd w:fill="CCEEFF" w:val="clear"/>
            <w:vAlign w:val="bottom"/>
          </w:tcPr>
          <w:p>
            <w:pPr>
              <w:pStyle w:val="TableContents"/>
              <w:bidi w:val="0"/>
              <w:spacing w:before="0" w:after="283"/>
              <w:jc w:val="right"/>
              <w:rPr/>
            </w:pPr>
            <w:r>
              <w:rPr/>
              <w:t>275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3" w:type="dxa"/>
            <w:tcBorders/>
            <w:shd w:fill="CCEEFF" w:val="clear"/>
            <w:vAlign w:val="bottom"/>
          </w:tcPr>
          <w:p>
            <w:pPr>
              <w:pStyle w:val="TableContents"/>
              <w:bidi w:val="0"/>
              <w:spacing w:before="0" w:after="283"/>
              <w:jc w:val="right"/>
              <w:rPr/>
            </w:pPr>
            <w:r>
              <w:rPr/>
              <w:t>258</w:t>
            </w:r>
          </w:p>
        </w:tc>
        <w:tc>
          <w:tcPr>
            <w:tcW w:w="67" w:type="dxa"/>
            <w:tcBorders/>
            <w:shd w:fill="CCEEFF" w:val="clear"/>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Royalty Revenue</w:t>
            </w:r>
          </w:p>
        </w:tc>
        <w:tc>
          <w:tcPr>
            <w:tcW w:w="21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355</w:t>
            </w:r>
          </w:p>
        </w:tc>
        <w:tc>
          <w:tcPr>
            <w:tcW w:w="10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377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434</w:t>
            </w:r>
          </w:p>
        </w:tc>
        <w:tc>
          <w:tcPr>
            <w:tcW w:w="67"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535</w:t>
            </w:r>
          </w:p>
        </w:tc>
        <w:tc>
          <w:tcPr>
            <w:tcW w:w="10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524</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3" w:type="dxa"/>
            <w:tcBorders/>
            <w:shd w:fill="CCEEFF" w:val="clear"/>
            <w:vAlign w:val="bottom"/>
          </w:tcPr>
          <w:p>
            <w:pPr>
              <w:pStyle w:val="TableContents"/>
              <w:bidi w:val="0"/>
              <w:spacing w:before="0" w:after="283"/>
              <w:jc w:val="right"/>
              <w:rPr/>
            </w:pPr>
            <w:r>
              <w:rPr/>
              <w:t>140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3" w:type="dxa"/>
            <w:tcBorders/>
            <w:shd w:fill="CCEEFF" w:val="clear"/>
            <w:vAlign w:val="bottom"/>
          </w:tcPr>
          <w:p>
            <w:pPr>
              <w:pStyle w:val="TableContents"/>
              <w:bidi w:val="0"/>
              <w:spacing w:before="0" w:after="283"/>
              <w:jc w:val="right"/>
              <w:rPr/>
            </w:pPr>
            <w:r>
              <w:rPr/>
              <w:t>168</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3"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3" w:type="dxa"/>
            <w:tcBorders/>
            <w:shd w:fill="CCEEFF" w:val="clear"/>
            <w:vAlign w:val="bottom"/>
          </w:tcPr>
          <w:p>
            <w:pPr>
              <w:pStyle w:val="TableContents"/>
              <w:bidi w:val="0"/>
              <w:spacing w:before="0" w:after="283"/>
              <w:jc w:val="right"/>
              <w:rPr/>
            </w:pPr>
            <w:r>
              <w:rPr/>
              <w:t>692</w:t>
            </w:r>
          </w:p>
        </w:tc>
        <w:tc>
          <w:tcPr>
            <w:tcW w:w="67" w:type="dxa"/>
            <w:tcBorders/>
            <w:shd w:fill="CCEEFF" w:val="clear"/>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over-time revenues of $17 million and $24 million and point-in-time revenues of $258 million and $234 million for the fiscal quarters ended June 30, 2023 and 2022,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by geographic region is allocated to individual countries based on the principal headquarters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 address by geographic regions: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8"/>
        <w:gridCol w:w="554"/>
        <w:gridCol w:w="353"/>
        <w:gridCol w:w="964"/>
        <w:gridCol w:w="151"/>
        <w:gridCol w:w="721"/>
        <w:gridCol w:w="353"/>
        <w:gridCol w:w="967"/>
        <w:gridCol w:w="64"/>
      </w:tblGrid>
      <w:tr>
        <w:trPr/>
        <w:tc>
          <w:tcPr>
            <w:tcW w:w="3628"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8"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35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64" w:type="dxa"/>
            <w:tcBorders/>
            <w:vAlign w:val="bottom"/>
          </w:tcPr>
          <w:p>
            <w:pPr>
              <w:pStyle w:val="TableContents"/>
              <w:bidi w:val="0"/>
              <w:spacing w:before="0" w:after="283"/>
              <w:jc w:val="left"/>
              <w:rPr/>
            </w:pPr>
            <w:r>
              <w:rPr/>
              <w:t> </w:t>
            </w:r>
          </w:p>
        </w:tc>
      </w:tr>
      <w:tr>
        <w:trPr/>
        <w:tc>
          <w:tcPr>
            <w:tcW w:w="36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554"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36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554"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964" w:type="dxa"/>
            <w:tcBorders/>
            <w:shd w:fill="CCEEFF" w:val="clear"/>
            <w:vAlign w:val="bottom"/>
          </w:tcPr>
          <w:p>
            <w:pPr>
              <w:pStyle w:val="TableContents"/>
              <w:bidi w:val="0"/>
              <w:spacing w:before="0" w:after="283"/>
              <w:jc w:val="right"/>
              <w:rPr/>
            </w:pPr>
            <w:r>
              <w:rPr/>
              <w:t>292</w:t>
            </w:r>
          </w:p>
        </w:tc>
        <w:tc>
          <w:tcPr>
            <w:tcW w:w="15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967" w:type="dxa"/>
            <w:tcBorders/>
            <w:shd w:fill="CCEEFF" w:val="clear"/>
            <w:vAlign w:val="bottom"/>
          </w:tcPr>
          <w:p>
            <w:pPr>
              <w:pStyle w:val="TableContents"/>
              <w:bidi w:val="0"/>
              <w:spacing w:before="0" w:after="283"/>
              <w:jc w:val="right"/>
              <w:rPr/>
            </w:pPr>
            <w:r>
              <w:rPr/>
              <w:t>265</w:t>
            </w:r>
          </w:p>
        </w:tc>
        <w:tc>
          <w:tcPr>
            <w:tcW w:w="64" w:type="dxa"/>
            <w:tcBorders/>
            <w:shd w:fill="CCEEFF" w:val="clear"/>
            <w:vAlign w:val="bottom"/>
          </w:tcPr>
          <w:p>
            <w:pPr>
              <w:pStyle w:val="TableContents"/>
              <w:bidi w:val="0"/>
              <w:spacing w:before="0" w:after="283"/>
              <w:jc w:val="left"/>
              <w:rPr/>
            </w:pPr>
            <w:r>
              <w:rPr/>
              <w:t> </w:t>
            </w:r>
          </w:p>
        </w:tc>
      </w:tr>
      <w:tr>
        <w:trPr/>
        <w:tc>
          <w:tcPr>
            <w:tcW w:w="36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55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141</w:t>
            </w:r>
          </w:p>
        </w:tc>
        <w:tc>
          <w:tcPr>
            <w:tcW w:w="15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167</w:t>
            </w:r>
          </w:p>
        </w:tc>
        <w:tc>
          <w:tcPr>
            <w:tcW w:w="64" w:type="dxa"/>
            <w:tcBorders/>
            <w:vAlign w:val="bottom"/>
          </w:tcPr>
          <w:p>
            <w:pPr>
              <w:pStyle w:val="TableContents"/>
              <w:bidi w:val="0"/>
              <w:spacing w:before="0" w:after="283"/>
              <w:jc w:val="left"/>
              <w:rPr/>
            </w:pPr>
            <w:r>
              <w:rPr/>
              <w:t> </w:t>
            </w:r>
          </w:p>
        </w:tc>
      </w:tr>
      <w:tr>
        <w:trPr/>
        <w:tc>
          <w:tcPr>
            <w:tcW w:w="36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554"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115</w:t>
            </w:r>
          </w:p>
        </w:tc>
        <w:tc>
          <w:tcPr>
            <w:tcW w:w="15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Republic of Korea</w:t>
            </w:r>
          </w:p>
        </w:tc>
        <w:tc>
          <w:tcPr>
            <w:tcW w:w="55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45</w:t>
            </w:r>
          </w:p>
        </w:tc>
        <w:tc>
          <w:tcPr>
            <w:tcW w:w="15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36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countries</w:t>
            </w:r>
          </w:p>
        </w:tc>
        <w:tc>
          <w:tcPr>
            <w:tcW w:w="554"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82</w:t>
            </w:r>
          </w:p>
        </w:tc>
        <w:tc>
          <w:tcPr>
            <w:tcW w:w="15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99</w:t>
            </w:r>
          </w:p>
        </w:tc>
        <w:tc>
          <w:tcPr>
            <w:tcW w:w="64" w:type="dxa"/>
            <w:tcBorders/>
            <w:shd w:fill="CCEEFF" w:val="clear"/>
            <w:vAlign w:val="bottom"/>
          </w:tcPr>
          <w:p>
            <w:pPr>
              <w:pStyle w:val="TableContents"/>
              <w:bidi w:val="0"/>
              <w:spacing w:before="0" w:after="283"/>
              <w:jc w:val="left"/>
              <w:rPr/>
            </w:pPr>
            <w:r>
              <w:rPr/>
              <w:t> </w:t>
            </w:r>
          </w:p>
        </w:tc>
      </w:tr>
      <w:tr>
        <w:trPr/>
        <w:tc>
          <w:tcPr>
            <w:tcW w:w="3628"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1" w:type="dxa"/>
            <w:tcBorders/>
            <w:vAlign w:val="center"/>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9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5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w:t>
            </w:r>
          </w:p>
        </w:tc>
        <w:tc>
          <w:tcPr>
            <w:tcW w:w="964" w:type="dxa"/>
            <w:tcBorders/>
            <w:vAlign w:val="bottom"/>
          </w:tcPr>
          <w:p>
            <w:pPr>
              <w:pStyle w:val="TableContents"/>
              <w:bidi w:val="0"/>
              <w:spacing w:before="0" w:after="283"/>
              <w:jc w:val="right"/>
              <w:rPr/>
            </w:pPr>
            <w:r>
              <w:rPr/>
              <w:t>675</w:t>
            </w:r>
          </w:p>
        </w:tc>
        <w:tc>
          <w:tcPr>
            <w:tcW w:w="15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w:t>
            </w:r>
          </w:p>
        </w:tc>
        <w:tc>
          <w:tcPr>
            <w:tcW w:w="967" w:type="dxa"/>
            <w:tcBorders/>
            <w:vAlign w:val="bottom"/>
          </w:tcPr>
          <w:p>
            <w:pPr>
              <w:pStyle w:val="TableContents"/>
              <w:bidi w:val="0"/>
              <w:spacing w:before="0" w:after="283"/>
              <w:jc w:val="right"/>
              <w:rPr/>
            </w:pPr>
            <w:r>
              <w:rPr/>
              <w:t>692</w:t>
            </w:r>
          </w:p>
        </w:tc>
        <w:tc>
          <w:tcPr>
            <w:tcW w:w="64" w:type="dxa"/>
            <w:tcBorders/>
            <w:vAlign w:val="bottom"/>
          </w:tcPr>
          <w:p>
            <w:pPr>
              <w:pStyle w:val="TableContents"/>
              <w:bidi w:val="0"/>
              <w:spacing w:before="0" w:after="283"/>
              <w:jc w:val="left"/>
              <w:rPr/>
            </w:pPr>
            <w:r>
              <w:rPr/>
              <w:t> </w:t>
            </w:r>
          </w:p>
        </w:tc>
      </w:tr>
      <w:tr>
        <w:trPr/>
        <w:tc>
          <w:tcPr>
            <w:tcW w:w="3628"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151" w:type="dxa"/>
            <w:tcBorders/>
            <w:vAlign w:val="center"/>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fiscal quarter ended June 30, 2023, the Company had three customers that collectively represented 41% of total revenue, with the single largest customer accounting for 21% of total revenue (24% for the fiscal quarter ended June 30, 2022), the second largest customer accounting for 10% of total revenue (12% for the fiscal quarter ended June 30, 2022) and the third largest customer accounting for 10% of total revenue (11% for the fiscal quarter ended June 30, 2022). No other customer represented 10% or more of total revenue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Receivables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components of accounts receivable, net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92"/>
        <w:gridCol w:w="619"/>
        <w:gridCol w:w="393"/>
        <w:gridCol w:w="1073"/>
        <w:gridCol w:w="155"/>
        <w:gridCol w:w="585"/>
        <w:gridCol w:w="331"/>
        <w:gridCol w:w="1349"/>
        <w:gridCol w:w="158"/>
      </w:tblGrid>
      <w:tr>
        <w:trPr/>
        <w:tc>
          <w:tcPr>
            <w:tcW w:w="3092" w:type="dxa"/>
            <w:tcBorders/>
            <w:vAlign w:val="center"/>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619"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pPr>
            <w:r>
              <w:rPr>
                <w:b/>
              </w:rPr>
              <w:t>As of June 30,</w:t>
            </w:r>
            <w:r>
              <w:rPr/>
              <w:br/>
            </w:r>
            <w:r>
              <w:rPr>
                <w:b/>
              </w:rPr>
              <w:t>2023</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1680" w:type="dxa"/>
            <w:gridSpan w:val="2"/>
            <w:tcBorders>
              <w:bottom w:val="single" w:sz="8" w:space="0" w:color="000000"/>
            </w:tcBorders>
            <w:tcMar>
              <w:bottom w:w="28" w:type="dxa"/>
            </w:tcMar>
            <w:vAlign w:val="bottom"/>
          </w:tcPr>
          <w:p>
            <w:pPr>
              <w:pStyle w:val="TableContents"/>
              <w:bidi w:val="0"/>
              <w:spacing w:before="0" w:after="283"/>
              <w:jc w:val="center"/>
              <w:rPr/>
            </w:pPr>
            <w:r>
              <w:rPr>
                <w:b/>
              </w:rPr>
              <w:t>As of March 31,</w:t>
            </w:r>
            <w:r>
              <w:rPr/>
              <w:br/>
            </w:r>
            <w:r>
              <w:rPr>
                <w:b/>
              </w:rPr>
              <w:t>2023</w:t>
            </w:r>
          </w:p>
        </w:tc>
        <w:tc>
          <w:tcPr>
            <w:tcW w:w="158" w:type="dxa"/>
            <w:tcBorders/>
            <w:vAlign w:val="bottom"/>
          </w:tcPr>
          <w:p>
            <w:pPr>
              <w:pStyle w:val="TableContents"/>
              <w:bidi w:val="0"/>
              <w:spacing w:before="0" w:after="283"/>
              <w:jc w:val="left"/>
              <w:rPr/>
            </w:pPr>
            <w:r>
              <w:rPr/>
              <w:t> </w:t>
            </w:r>
          </w:p>
        </w:tc>
      </w:tr>
      <w:tr>
        <w:trPr/>
        <w:tc>
          <w:tcPr>
            <w:tcW w:w="30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619"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625</w:t>
            </w:r>
          </w:p>
        </w:tc>
        <w:tc>
          <w:tcPr>
            <w:tcW w:w="158" w:type="dxa"/>
            <w:tcBorders/>
            <w:shd w:fill="CCEEFF" w:val="clear"/>
            <w:vAlign w:val="bottom"/>
          </w:tcPr>
          <w:p>
            <w:pPr>
              <w:pStyle w:val="TableContents"/>
              <w:bidi w:val="0"/>
              <w:spacing w:before="0" w:after="283"/>
              <w:jc w:val="left"/>
              <w:rPr/>
            </w:pPr>
            <w:r>
              <w:rPr/>
              <w:t> </w:t>
            </w:r>
          </w:p>
        </w:tc>
      </w:tr>
      <w:tr>
        <w:trPr/>
        <w:tc>
          <w:tcPr>
            <w:tcW w:w="30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Royalty receivables</w:t>
            </w:r>
          </w:p>
        </w:tc>
        <w:tc>
          <w:tcPr>
            <w:tcW w:w="61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409</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377</w:t>
            </w:r>
          </w:p>
        </w:tc>
        <w:tc>
          <w:tcPr>
            <w:tcW w:w="158" w:type="dxa"/>
            <w:tcBorders/>
            <w:vAlign w:val="bottom"/>
          </w:tcPr>
          <w:p>
            <w:pPr>
              <w:pStyle w:val="TableContents"/>
              <w:bidi w:val="0"/>
              <w:spacing w:before="0" w:after="283"/>
              <w:jc w:val="left"/>
              <w:rPr/>
            </w:pPr>
            <w:r>
              <w:rPr/>
              <w:t> </w:t>
            </w:r>
          </w:p>
        </w:tc>
      </w:tr>
      <w:tr>
        <w:trPr/>
        <w:tc>
          <w:tcPr>
            <w:tcW w:w="3092"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gross receivables</w:t>
            </w:r>
          </w:p>
        </w:tc>
        <w:tc>
          <w:tcPr>
            <w:tcW w:w="619"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1,002</w:t>
            </w:r>
          </w:p>
        </w:tc>
        <w:tc>
          <w:tcPr>
            <w:tcW w:w="158" w:type="dxa"/>
            <w:tcBorders/>
            <w:shd w:fill="CCEEFF" w:val="clear"/>
            <w:vAlign w:val="bottom"/>
          </w:tcPr>
          <w:p>
            <w:pPr>
              <w:pStyle w:val="TableContents"/>
              <w:bidi w:val="0"/>
              <w:spacing w:before="0" w:after="283"/>
              <w:jc w:val="left"/>
              <w:rPr/>
            </w:pPr>
            <w:r>
              <w:rPr/>
              <w:t> </w:t>
            </w:r>
          </w:p>
        </w:tc>
      </w:tr>
      <w:tr>
        <w:trPr/>
        <w:tc>
          <w:tcPr>
            <w:tcW w:w="30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Allowance for current expected credit losses</w:t>
            </w:r>
          </w:p>
        </w:tc>
        <w:tc>
          <w:tcPr>
            <w:tcW w:w="619"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3092"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accounts receivables, net</w:t>
            </w:r>
          </w:p>
        </w:tc>
        <w:tc>
          <w:tcPr>
            <w:tcW w:w="619"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897</w:t>
            </w:r>
          </w:p>
        </w:tc>
        <w:tc>
          <w:tcPr>
            <w:tcW w:w="15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999</w:t>
            </w:r>
          </w:p>
        </w:tc>
        <w:tc>
          <w:tcPr>
            <w:tcW w:w="158" w:type="dxa"/>
            <w:tcBorders/>
            <w:shd w:fill="CCEEFF" w:val="clear"/>
            <w:vAlign w:val="bottom"/>
          </w:tcPr>
          <w:p>
            <w:pPr>
              <w:pStyle w:val="TableContents"/>
              <w:bidi w:val="0"/>
              <w:spacing w:before="0" w:after="283"/>
              <w:jc w:val="left"/>
              <w:rPr/>
            </w:pPr>
            <w:r>
              <w:rPr/>
              <w:t> </w:t>
            </w:r>
          </w:p>
        </w:tc>
      </w:tr>
      <w:tr>
        <w:trPr/>
        <w:tc>
          <w:tcPr>
            <w:tcW w:w="3092"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the movement in the allowance for current expected credit losses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80"/>
        <w:gridCol w:w="638"/>
        <w:gridCol w:w="280"/>
        <w:gridCol w:w="280"/>
        <w:gridCol w:w="61"/>
      </w:tblGrid>
      <w:tr>
        <w:trPr/>
        <w:tc>
          <w:tcPr>
            <w:tcW w:w="5680" w:type="dxa"/>
            <w:tcBorders/>
            <w:vAlign w:val="center"/>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680" w:type="dxa"/>
            <w:tcBorders/>
            <w:vAlign w:val="bottom"/>
          </w:tcPr>
          <w:p>
            <w:pPr>
              <w:pStyle w:val="TableContents"/>
              <w:bidi w:val="0"/>
              <w:spacing w:before="0" w:after="283"/>
              <w:jc w:val="left"/>
              <w:rPr>
                <w:b/>
              </w:rPr>
            </w:pPr>
            <w:r>
              <w:rPr>
                <w:b/>
              </w:rPr>
              <w:t>(in millions)</w:t>
            </w:r>
          </w:p>
        </w:tc>
        <w:tc>
          <w:tcPr>
            <w:tcW w:w="638"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1"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2023</w:t>
            </w:r>
          </w:p>
        </w:tc>
        <w:tc>
          <w:tcPr>
            <w:tcW w:w="638"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right"/>
              <w:rPr/>
            </w:pPr>
            <w:r>
              <w:rPr/>
              <w:t>3</w:t>
            </w:r>
          </w:p>
        </w:tc>
        <w:tc>
          <w:tcPr>
            <w:tcW w:w="61"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provision</w:t>
            </w:r>
          </w:p>
        </w:tc>
        <w:tc>
          <w:tcPr>
            <w:tcW w:w="638"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Amounts written off during the quarter as uncollectible</w:t>
            </w:r>
          </w:p>
        </w:tc>
        <w:tc>
          <w:tcPr>
            <w:tcW w:w="638"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June 30, 2023</w:t>
            </w:r>
          </w:p>
        </w:tc>
        <w:tc>
          <w:tcPr>
            <w:tcW w:w="638"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largest customer represented 33% of total receivables as of June 30, 2023 (40% of total receivables as of March 31, 2023). The second largest customer represented 13% of total receivables as of June 30, 2023 (Less than 10% of total receivables as of March 31, 2023). No other customer represented 10% or more of receivables for the period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Assets </w:t>
      </w:r>
    </w:p>
    <w:p>
      <w:pPr>
        <w:pStyle w:val="TextBody"/>
        <w:bidi w:val="0"/>
        <w:spacing w:before="120" w:after="0"/>
        <w:jc w:val="left"/>
        <w:rPr>
          <w:rFonts w:ascii="Times New Roman" w:hAnsi="Times New Roman"/>
          <w:sz w:val="20"/>
        </w:rPr>
      </w:pPr>
      <w:r>
        <w:rPr>
          <w:rFonts w:ascii="Times New Roman" w:hAnsi="Times New Roman"/>
          <w:sz w:val="20"/>
        </w:rPr>
        <w:t xml:space="preserve">The timing of revenue recognition may differ from the timing of invoicing to customers. Contract assets are created when invoicing occurs subsequent to revenue recognition. Contract assets are transferred to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receivable when the right to invoice becomes unconditional. Contract assets increased by $115 million and $254 million due to the timing of billings to customers, which fell into subsequent periods, as of June 30, 2023 and March 31, 2023, respectively, offset by $83 million and $250 million of contract assets transferred to accounts receivable, as of June 30, 2023 and March 31, 2023, respectively. The balance and activity for loss allowances related to contract assets was immaterial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the movement in contract liabilities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7"/>
        <w:gridCol w:w="476"/>
        <w:gridCol w:w="148"/>
        <w:gridCol w:w="596"/>
        <w:gridCol w:w="162"/>
      </w:tblGrid>
      <w:tr>
        <w:trPr/>
        <w:tc>
          <w:tcPr>
            <w:tcW w:w="5557"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76"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2" w:type="dxa"/>
            <w:tcBorders/>
            <w:vAlign w:val="bottom"/>
          </w:tcPr>
          <w:p>
            <w:pPr>
              <w:pStyle w:val="TableContents"/>
              <w:bidi w:val="0"/>
              <w:spacing w:before="0" w:after="283"/>
              <w:jc w:val="left"/>
              <w:rPr/>
            </w:pPr>
            <w:r>
              <w:rPr/>
              <w:t> </w:t>
            </w:r>
          </w:p>
        </w:tc>
      </w:tr>
      <w:tr>
        <w:trPr/>
        <w:tc>
          <w:tcPr>
            <w:tcW w:w="55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Contract Liabilities Opening balance</w:t>
            </w:r>
          </w:p>
        </w:tc>
        <w:tc>
          <w:tcPr>
            <w:tcW w:w="4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293</w:t>
            </w:r>
          </w:p>
        </w:tc>
        <w:tc>
          <w:tcPr>
            <w:tcW w:w="162" w:type="dxa"/>
            <w:tcBorders/>
            <w:shd w:fill="CCEEFF" w:val="clear"/>
            <w:vAlign w:val="bottom"/>
          </w:tcPr>
          <w:p>
            <w:pPr>
              <w:pStyle w:val="TableContents"/>
              <w:bidi w:val="0"/>
              <w:spacing w:before="0" w:after="283"/>
              <w:jc w:val="left"/>
              <w:rPr/>
            </w:pPr>
            <w:r>
              <w:rPr/>
              <w:t> </w:t>
            </w:r>
          </w:p>
        </w:tc>
      </w:tr>
      <w:tr>
        <w:trPr/>
        <w:tc>
          <w:tcPr>
            <w:tcW w:w="55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 Current Contract Liabilities Opening balance</w:t>
            </w:r>
          </w:p>
        </w:tc>
        <w:tc>
          <w:tcPr>
            <w:tcW w:w="4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807</w:t>
            </w:r>
          </w:p>
        </w:tc>
        <w:tc>
          <w:tcPr>
            <w:tcW w:w="162" w:type="dxa"/>
            <w:tcBorders/>
            <w:vAlign w:val="bottom"/>
          </w:tcPr>
          <w:p>
            <w:pPr>
              <w:pStyle w:val="TableContents"/>
              <w:bidi w:val="0"/>
              <w:spacing w:before="0" w:after="283"/>
              <w:jc w:val="left"/>
              <w:rPr/>
            </w:pPr>
            <w:r>
              <w:rPr/>
              <w:t> </w:t>
            </w:r>
          </w:p>
        </w:tc>
      </w:tr>
      <w:tr>
        <w:trPr/>
        <w:tc>
          <w:tcPr>
            <w:tcW w:w="5557"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April 01, 2023</w:t>
            </w:r>
          </w:p>
        </w:tc>
        <w:tc>
          <w:tcPr>
            <w:tcW w:w="4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1,100</w:t>
            </w:r>
          </w:p>
        </w:tc>
        <w:tc>
          <w:tcPr>
            <w:tcW w:w="162" w:type="dxa"/>
            <w:tcBorders/>
            <w:shd w:fill="CCEEFF" w:val="clear"/>
            <w:vAlign w:val="bottom"/>
          </w:tcPr>
          <w:p>
            <w:pPr>
              <w:pStyle w:val="TableContents"/>
              <w:bidi w:val="0"/>
              <w:spacing w:before="0" w:after="283"/>
              <w:jc w:val="left"/>
              <w:rPr/>
            </w:pPr>
            <w:r>
              <w:rPr/>
              <w:t> </w:t>
            </w:r>
          </w:p>
        </w:tc>
      </w:tr>
      <w:tr>
        <w:trPr/>
        <w:tc>
          <w:tcPr>
            <w:tcW w:w="55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Customer prepayment and billing in advance of performance</w:t>
            </w:r>
          </w:p>
        </w:tc>
        <w:tc>
          <w:tcPr>
            <w:tcW w:w="4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87</w:t>
            </w:r>
          </w:p>
        </w:tc>
        <w:tc>
          <w:tcPr>
            <w:tcW w:w="162" w:type="dxa"/>
            <w:tcBorders/>
            <w:vAlign w:val="bottom"/>
          </w:tcPr>
          <w:p>
            <w:pPr>
              <w:pStyle w:val="TableContents"/>
              <w:bidi w:val="0"/>
              <w:spacing w:before="0" w:after="283"/>
              <w:jc w:val="left"/>
              <w:rPr/>
            </w:pPr>
            <w:r>
              <w:rPr/>
              <w:t> </w:t>
            </w:r>
          </w:p>
        </w:tc>
      </w:tr>
      <w:tr>
        <w:trPr/>
        <w:tc>
          <w:tcPr>
            <w:tcW w:w="55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 recognized in the period that was included in the contract liability balance at the beginning of the period</w:t>
            </w:r>
          </w:p>
        </w:tc>
        <w:tc>
          <w:tcPr>
            <w:tcW w:w="4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(37</w:t>
            </w:r>
          </w:p>
        </w:tc>
        <w:tc>
          <w:tcPr>
            <w:tcW w:w="162" w:type="dxa"/>
            <w:tcBorders/>
            <w:shd w:fill="CCEEFF" w:val="clear"/>
            <w:vAlign w:val="bottom"/>
          </w:tcPr>
          <w:p>
            <w:pPr>
              <w:pStyle w:val="TableContents"/>
              <w:bidi w:val="0"/>
              <w:spacing w:before="0" w:after="283"/>
              <w:jc w:val="left"/>
              <w:rPr/>
            </w:pPr>
            <w:r>
              <w:rPr/>
              <w:t>) </w:t>
            </w:r>
          </w:p>
        </w:tc>
      </w:tr>
      <w:tr>
        <w:trPr/>
        <w:tc>
          <w:tcPr>
            <w:tcW w:w="55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 recognized in the period that was included in the contract liability balance during the period</w:t>
            </w:r>
          </w:p>
        </w:tc>
        <w:tc>
          <w:tcPr>
            <w:tcW w:w="4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(25</w:t>
            </w:r>
          </w:p>
        </w:tc>
        <w:tc>
          <w:tcPr>
            <w:tcW w:w="162" w:type="dxa"/>
            <w:tcBorders/>
            <w:vAlign w:val="bottom"/>
          </w:tcPr>
          <w:p>
            <w:pPr>
              <w:pStyle w:val="TableContents"/>
              <w:bidi w:val="0"/>
              <w:spacing w:before="0" w:after="283"/>
              <w:jc w:val="left"/>
              <w:rPr/>
            </w:pPr>
            <w:r>
              <w:rPr/>
              <w:t>) </w:t>
            </w:r>
          </w:p>
        </w:tc>
      </w:tr>
      <w:tr>
        <w:trPr/>
        <w:tc>
          <w:tcPr>
            <w:tcW w:w="5557"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June 30, 2023</w:t>
            </w:r>
          </w:p>
        </w:tc>
        <w:tc>
          <w:tcPr>
            <w:tcW w:w="4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1,125</w:t>
            </w:r>
          </w:p>
        </w:tc>
        <w:tc>
          <w:tcPr>
            <w:tcW w:w="162" w:type="dxa"/>
            <w:tcBorders/>
            <w:shd w:fill="CCEEFF" w:val="clear"/>
            <w:vAlign w:val="bottom"/>
          </w:tcPr>
          <w:p>
            <w:pPr>
              <w:pStyle w:val="TableContents"/>
              <w:bidi w:val="0"/>
              <w:spacing w:before="0" w:after="283"/>
              <w:jc w:val="left"/>
              <w:rPr/>
            </w:pPr>
            <w:r>
              <w:rPr/>
              <w:t> </w:t>
            </w:r>
          </w:p>
        </w:tc>
      </w:tr>
      <w:tr>
        <w:trPr/>
        <w:tc>
          <w:tcPr>
            <w:tcW w:w="5557"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47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342</w:t>
            </w:r>
          </w:p>
        </w:tc>
        <w:tc>
          <w:tcPr>
            <w:tcW w:w="162" w:type="dxa"/>
            <w:tcBorders/>
            <w:vAlign w:val="bottom"/>
          </w:tcPr>
          <w:p>
            <w:pPr>
              <w:pStyle w:val="TableContents"/>
              <w:bidi w:val="0"/>
              <w:spacing w:before="0" w:after="283"/>
              <w:jc w:val="left"/>
              <w:rPr/>
            </w:pPr>
            <w:r>
              <w:rPr/>
              <w:t> </w:t>
            </w:r>
          </w:p>
        </w:tc>
      </w:tr>
      <w:tr>
        <w:trPr/>
        <w:tc>
          <w:tcPr>
            <w:tcW w:w="55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Non-current portion of contract liabilities</w:t>
            </w:r>
          </w:p>
        </w:tc>
        <w:tc>
          <w:tcPr>
            <w:tcW w:w="47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783</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Satisfied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Revenue recognized from previously satisfied performance obligations in prior reporting periods was $401 million and $448 million for the fiscal quarters ended June 30, 2023 and 2022, respectively. These amounts primarily represent royalties earned during the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Remaining performance obligations represent the transaction price allocated to performance obligations that are unsatisfied, or partially unsatisfied, which includes unearned revenue and amounts that will be invoiced and recognized as revenue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exclude potential future royalty receipts from the disclosure of remaining performance obligations. In certain arrangements, the Companys right to consideration may not correspond directly with the performance of obligations. Revenue recognition occurs upon delivery or beginning of license term, whichever is later. Accordingly, the analysis between time bands below has been estimated, but the final timing may differ from these estimates. In the absence of sufficient information, where the timing of satisfaction of the remaining performance obligations is dependent on a customers action, the transaction price allocated to such performance obligation is included in the outer-year time band unless contract or option expiration aligns with an earlier period or category.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 aggregate transaction price allocated to remaining performance obligations was $1,681.0 million, which includes $18.3 million of non-cancellable and non-refundable committed funds received from certain customers, where the parties are in negotiations regarding the enforceable rights and obligations of the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recognize approximately 23% of remaining performance obligations as revenue over the next 12 months, 14% over the subsequent 13-to 24-month period, and the remainder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summary of the components of equity investments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45"/>
        <w:gridCol w:w="570"/>
        <w:gridCol w:w="393"/>
        <w:gridCol w:w="1081"/>
        <w:gridCol w:w="60"/>
        <w:gridCol w:w="570"/>
        <w:gridCol w:w="456"/>
        <w:gridCol w:w="1217"/>
        <w:gridCol w:w="63"/>
      </w:tblGrid>
      <w:tr>
        <w:trPr/>
        <w:tc>
          <w:tcPr>
            <w:tcW w:w="3345"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3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57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2023</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w:t>
              <w:br/>
              <w:t>2023</w:t>
            </w:r>
          </w:p>
        </w:tc>
        <w:tc>
          <w:tcPr>
            <w:tcW w:w="63"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method investments under fair value option</w:t>
            </w:r>
          </w:p>
        </w:tc>
        <w:tc>
          <w:tcPr>
            <w:tcW w:w="57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w:t>
            </w:r>
          </w:p>
        </w:tc>
        <w:tc>
          <w:tcPr>
            <w:tcW w:w="1081" w:type="dxa"/>
            <w:tcBorders/>
            <w:shd w:fill="CCEEFF" w:val="clear"/>
            <w:vAlign w:val="bottom"/>
          </w:tcPr>
          <w:p>
            <w:pPr>
              <w:pStyle w:val="TableContents"/>
              <w:bidi w:val="0"/>
              <w:spacing w:before="0" w:after="283"/>
              <w:jc w:val="right"/>
              <w:rPr/>
            </w:pPr>
            <w:r>
              <w:rPr/>
              <w:t>582</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592</w:t>
            </w:r>
          </w:p>
        </w:tc>
        <w:tc>
          <w:tcPr>
            <w:tcW w:w="63"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method investments under equity method</w:t>
            </w:r>
          </w:p>
        </w:tc>
        <w:tc>
          <w:tcPr>
            <w:tcW w:w="57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Non-marketable equity securities</w:t>
            </w:r>
          </w:p>
        </w:tc>
        <w:tc>
          <w:tcPr>
            <w:tcW w:w="57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136</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122</w:t>
            </w:r>
          </w:p>
        </w:tc>
        <w:tc>
          <w:tcPr>
            <w:tcW w:w="63"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45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investments</w:t>
            </w:r>
          </w:p>
        </w:tc>
        <w:tc>
          <w:tcPr>
            <w:tcW w:w="57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w:t>
            </w:r>
          </w:p>
        </w:tc>
        <w:tc>
          <w:tcPr>
            <w:tcW w:w="1081" w:type="dxa"/>
            <w:tcBorders/>
            <w:vAlign w:val="bottom"/>
          </w:tcPr>
          <w:p>
            <w:pPr>
              <w:pStyle w:val="TableContents"/>
              <w:bidi w:val="0"/>
              <w:spacing w:before="0" w:after="283"/>
              <w:jc w:val="right"/>
              <w:rPr/>
            </w:pPr>
            <w:r>
              <w:rPr/>
              <w:t>727</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723</w:t>
            </w:r>
          </w:p>
        </w:tc>
        <w:tc>
          <w:tcPr>
            <w:tcW w:w="63" w:type="dxa"/>
            <w:tcBorders/>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456" w:type="dxa"/>
            <w:tcBorders/>
            <w:vAlign w:val="bottom"/>
          </w:tcPr>
          <w:p>
            <w:pPr>
              <w:pStyle w:val="TableContents"/>
              <w:pBdr>
                <w:top w:val="double" w:sz="6" w:space="1" w:color="000000"/>
              </w:pBdr>
              <w:bidi w:val="0"/>
              <w:spacing w:before="0" w:after="0"/>
              <w:jc w:val="left"/>
              <w:rPr/>
            </w:pPr>
            <w:r>
              <w:rPr/>
              <w:t> </w:t>
            </w:r>
          </w:p>
        </w:tc>
        <w:tc>
          <w:tcPr>
            <w:tcW w:w="12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(loss) from equity investments, net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08"/>
        <w:gridCol w:w="560"/>
        <w:gridCol w:w="370"/>
        <w:gridCol w:w="888"/>
        <w:gridCol w:w="413"/>
        <w:gridCol w:w="595"/>
        <w:gridCol w:w="370"/>
        <w:gridCol w:w="891"/>
        <w:gridCol w:w="160"/>
      </w:tblGrid>
      <w:tr>
        <w:trPr/>
        <w:tc>
          <w:tcPr>
            <w:tcW w:w="3508"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08"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35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560"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413"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method investments (1)</w:t>
            </w:r>
          </w:p>
        </w:tc>
        <w:tc>
          <w:tcPr>
            <w:tcW w:w="5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(10</w:t>
            </w:r>
          </w:p>
        </w:tc>
        <w:tc>
          <w:tcPr>
            <w:tcW w:w="413"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(23</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Non-marketable equity securities (includes NAV)</w:t>
            </w:r>
          </w:p>
        </w:tc>
        <w:tc>
          <w:tcPr>
            <w:tcW w:w="5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w:t>
            </w:r>
          </w:p>
        </w:tc>
        <w:tc>
          <w:tcPr>
            <w:tcW w:w="413"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9</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loss from equity investments, net</w:t>
            </w:r>
          </w:p>
        </w:tc>
        <w:tc>
          <w:tcPr>
            <w:tcW w:w="5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(7</w:t>
            </w:r>
          </w:p>
        </w:tc>
        <w:tc>
          <w:tcPr>
            <w:tcW w:w="413"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(14</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equity method investments where the Company elected the fair value option, including those under the NAV practical expedient, along with investments accounted for under the equity method.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elected the fair value option to account for certain equity method investments in Acetone Limited and Ampere Computing Holdings LLC (Ampere). See discussion below, along with Note 6, Fair Value,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quarters ended June 30, 2023 and 2022, income (losses) from equity method investments not accounted under the fair value option or the NAV practical expedient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 holds equity method investments in funds accounted for under the fair value option that apply the NAV practical expedient. The estimated fair values of the Companys equity securities at fair value that qualify for the NAV practical expedient were provided by the partnerships based on the indicated market values of the underlying assets or investment portfolios. As of June 30, 2023 and March 31, 2023, the carrying value of equity method investments under the fair value option measured at NAV was $109.5 million and $109.4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quarter ended June 30, 2023 and 2022, the Company recognized losses from changes in fair value of $0.4 million and $0.2 million, for equity method investments accounted for under the NAV practical expedient. Changes in fair value are recorded through income from equity investments, net on the Condensed Consolidated Income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Acetone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and March 31, 2023, the carrying value of the Companys equity method investment in Acetone Limited was $82.8 million and $92.4 million, respectively. For the fiscal quarter ended June 30, 2023 and 2022, the Company recognized fair value losses of $9.6 million and $22.0 million, respectively in connection with the equity method investment in Acetone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Ampere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and March 31, 2023, the carrying value of the Companys equity method investment in Ampere was $389.8 million and $389.8 million, respectively. For the fiscal quarters ended June 30, 2023, and 2022, the Company did not recognize any changes in fair value in Ampere,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and March 31, 2023, the outstanding balance of the convertible promissory note with Ampere was $31.3 million and $30.9 million, respectively. The Companys maximum exposure to loss are the amounts invested in, and advanced to, Ampere as of June 30,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Non-marketable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June 30, 2023 and March 31, 2023, the carrying value of assets measured at NAV was $20.6 million and $18.0 million, respectively. For the fiscal quarters ended June 30, 2023 and 2022, the Company recognized gains and losses from changes in fair value of $2.5 million and $3.7 million, respectively, for non-marketable securities accounted for under the NAV practical expedient. </w:t>
      </w:r>
    </w:p>
    <w:p>
      <w:pPr>
        <w:pStyle w:val="TextBody"/>
        <w:bidi w:val="0"/>
        <w:spacing w:before="240" w:after="0"/>
        <w:jc w:val="left"/>
        <w:rPr>
          <w:rFonts w:ascii="Times New Roman" w:hAnsi="Times New Roman"/>
          <w:sz w:val="20"/>
        </w:rPr>
      </w:pPr>
      <w:r>
        <w:rPr>
          <w:rFonts w:ascii="Times New Roman" w:hAnsi="Times New Roman"/>
          <w:sz w:val="20"/>
        </w:rPr>
        <w:t xml:space="preserve">Historically, the Company had an unrecognized trade receivable with a customer given the collectability of substantially all of the consideration was not probable. In March 2023, the Company invested in non-marketable preferred stock from the customer in exchange for the conversion of the trade receivables for $12.7 million. The Company also acquired additional non-marketable preferred stock in exchange for a cash payment of $10.7 million. Currently, the Company does not recognize any revenue and receivables due to not meeting the collectability criterion under ASC 606, Revenue from Contracts with Customers. The Company does not have significant influence or control over the customer and elected to apply the measurement alternative for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In the fiscal quarter ended June 30, 2023, the Company entered into a subscription letter with a subsidiary of SoftBank Vision Fund and Kigen (UK) Limited (Kigen), an entity of which SoftBank Vision Fund indirectly owned 85% of the share capital on a fully diluted basis with the remainder comprising management incentives. Pursuant to the subscription letter, the Company and this subsidiary of SoftBank Vision Fund each invested $10 million paid in cash in exchange for preference shares of Kigen. The preference shares are convertible into common shares of Kigen and are entitled to full dividends, distribution and voting rights. The Company does not have significant influence or control over Kigen and elected to apply the measurement alternative for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gains (losses) which primarily include unrealized gains and losses on non-marketable securities inclusive of those measured under the NAV practical expedient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68"/>
        <w:gridCol w:w="636"/>
        <w:gridCol w:w="501"/>
        <w:gridCol w:w="501"/>
        <w:gridCol w:w="214"/>
        <w:gridCol w:w="936"/>
        <w:gridCol w:w="501"/>
        <w:gridCol w:w="940"/>
        <w:gridCol w:w="158"/>
      </w:tblGrid>
      <w:tr>
        <w:trPr/>
        <w:tc>
          <w:tcPr>
            <w:tcW w:w="3368" w:type="dxa"/>
            <w:tcBorders/>
            <w:vAlign w:val="center"/>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left"/>
              <w:rPr/>
            </w:pPr>
            <w:r>
              <w:rPr/>
              <w:t>  </w:t>
            </w:r>
          </w:p>
        </w:tc>
        <w:tc>
          <w:tcPr>
            <w:tcW w:w="3593" w:type="dxa"/>
            <w:gridSpan w:val="6"/>
            <w:tcBorders/>
            <w:vAlign w:val="bottom"/>
          </w:tcPr>
          <w:p>
            <w:pPr>
              <w:pStyle w:val="TableContents"/>
              <w:bidi w:val="0"/>
              <w:spacing w:before="0" w:after="283"/>
              <w:jc w:val="center"/>
              <w:rPr>
                <w:b/>
              </w:rPr>
            </w:pPr>
            <w:r>
              <w:rPr>
                <w:b/>
              </w:rPr>
              <w:t>Fiscal Quarter Ended June 30,</w:t>
            </w:r>
          </w:p>
        </w:tc>
        <w:tc>
          <w:tcPr>
            <w:tcW w:w="158" w:type="dxa"/>
            <w:tcBorders/>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b/>
              </w:rPr>
            </w:pPr>
            <w:r>
              <w:rPr>
                <w:b/>
              </w:rPr>
              <w:t>(in millions)</w:t>
            </w:r>
          </w:p>
        </w:tc>
        <w:tc>
          <w:tcPr>
            <w:tcW w:w="636"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Observable price adjustments on non-marketable equity securities (includes NAV)</w:t>
            </w:r>
          </w:p>
        </w:tc>
        <w:tc>
          <w:tcPr>
            <w:tcW w:w="63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w:t>
            </w:r>
          </w:p>
        </w:tc>
        <w:tc>
          <w:tcPr>
            <w:tcW w:w="501" w:type="dxa"/>
            <w:tcBorders/>
            <w:shd w:fill="CCEEFF" w:val="clear"/>
            <w:vAlign w:val="bottom"/>
          </w:tcPr>
          <w:p>
            <w:pPr>
              <w:pStyle w:val="TableContents"/>
              <w:bidi w:val="0"/>
              <w:spacing w:before="0" w:after="283"/>
              <w:jc w:val="right"/>
              <w:rPr/>
            </w:pPr>
            <w:r>
              <w:rPr/>
              <w:t>3</w:t>
            </w:r>
          </w:p>
        </w:tc>
        <w:tc>
          <w:tcPr>
            <w:tcW w:w="21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non-marketable equity securities</w:t>
            </w:r>
          </w:p>
        </w:tc>
        <w:tc>
          <w:tcPr>
            <w:tcW w:w="636"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3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non-marketable equity securities</w:t>
            </w:r>
          </w:p>
        </w:tc>
        <w:tc>
          <w:tcPr>
            <w:tcW w:w="63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936" w:type="dxa"/>
            <w:tcBorders/>
            <w:vAlign w:val="bottom"/>
          </w:tcPr>
          <w:p>
            <w:pPr>
              <w:pStyle w:val="TableContents"/>
              <w:bidi w:val="0"/>
              <w:spacing w:before="0" w:after="283"/>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36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income from equity investments, net</w:t>
            </w:r>
          </w:p>
        </w:tc>
        <w:tc>
          <w:tcPr>
            <w:tcW w:w="636"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b/>
              </w:rPr>
            </w:pPr>
            <w:r>
              <w:rPr>
                <w:b/>
              </w:rPr>
              <w:t>$</w:t>
            </w:r>
          </w:p>
        </w:tc>
        <w:tc>
          <w:tcPr>
            <w:tcW w:w="501" w:type="dxa"/>
            <w:tcBorders/>
            <w:vAlign w:val="bottom"/>
          </w:tcPr>
          <w:p>
            <w:pPr>
              <w:pStyle w:val="TableContents"/>
              <w:bidi w:val="0"/>
              <w:spacing w:before="0" w:after="283"/>
              <w:jc w:val="right"/>
              <w:rPr>
                <w:b/>
              </w:rPr>
            </w:pPr>
            <w:r>
              <w:rPr>
                <w:b/>
              </w:rPr>
              <w:t>3</w:t>
            </w:r>
          </w:p>
        </w:tc>
        <w:tc>
          <w:tcPr>
            <w:tcW w:w="21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b/>
              </w:rPr>
            </w:pPr>
            <w:r>
              <w:rPr>
                <w:b/>
              </w:rPr>
              <w:t>$</w:t>
            </w:r>
          </w:p>
        </w:tc>
        <w:tc>
          <w:tcPr>
            <w:tcW w:w="940" w:type="dxa"/>
            <w:tcBorders/>
            <w:vAlign w:val="bottom"/>
          </w:tcPr>
          <w:p>
            <w:pPr>
              <w:pStyle w:val="TableContents"/>
              <w:bidi w:val="0"/>
              <w:spacing w:before="0" w:after="283"/>
              <w:jc w:val="right"/>
              <w:rPr>
                <w:b/>
              </w:rPr>
            </w:pPr>
            <w:r>
              <w:rPr>
                <w:b/>
              </w:rPr>
              <w:t>10</w:t>
            </w:r>
          </w:p>
        </w:tc>
        <w:tc>
          <w:tcPr>
            <w:tcW w:w="158" w:type="dxa"/>
            <w:tcBorders/>
            <w:vAlign w:val="bottom"/>
          </w:tcPr>
          <w:p>
            <w:pPr>
              <w:pStyle w:val="TableContents"/>
              <w:bidi w:val="0"/>
              <w:spacing w:before="0" w:after="283"/>
              <w:jc w:val="left"/>
              <w:rPr/>
            </w:pPr>
            <w:r>
              <w:rPr/>
              <w:t> </w:t>
            </w:r>
          </w:p>
        </w:tc>
      </w:tr>
      <w:tr>
        <w:trPr/>
        <w:tc>
          <w:tcPr>
            <w:tcW w:w="3368"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501" w:type="dxa"/>
            <w:tcBorders/>
            <w:vAlign w:val="bottom"/>
          </w:tcPr>
          <w:p>
            <w:pPr>
              <w:pStyle w:val="TableContents"/>
              <w:pBdr>
                <w:top w:val="double" w:sz="6" w:space="1" w:color="000000"/>
              </w:pBdr>
              <w:bidi w:val="0"/>
              <w:spacing w:before="0" w:after="0"/>
              <w:jc w:val="left"/>
              <w:rPr/>
            </w:pPr>
            <w:r>
              <w:rPr/>
              <w:t> </w:t>
            </w:r>
          </w:p>
        </w:tc>
        <w:tc>
          <w:tcPr>
            <w:tcW w:w="501"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936" w:type="dxa"/>
            <w:tcBorders/>
            <w:vAlign w:val="bottom"/>
          </w:tcPr>
          <w:p>
            <w:pPr>
              <w:pStyle w:val="TableContents"/>
              <w:bidi w:val="0"/>
              <w:spacing w:before="0" w:after="283"/>
              <w:jc w:val="left"/>
              <w:rPr/>
            </w:pPr>
            <w:r>
              <w:rPr/>
              <w:t>  </w:t>
            </w:r>
          </w:p>
        </w:tc>
        <w:tc>
          <w:tcPr>
            <w:tcW w:w="501"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total amount of financial commitments to existing investees of the Company not provided for in the condensed consolidated financial statements was $21.4 million and $22.1 million as of June 30, 2023, and March 31,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Loans and Other Receivables </w:t>
      </w:r>
    </w:p>
    <w:p>
      <w:pPr>
        <w:pStyle w:val="TextBody"/>
        <w:bidi w:val="0"/>
        <w:spacing w:before="120" w:after="0"/>
        <w:jc w:val="left"/>
        <w:rPr>
          <w:rFonts w:ascii="Times New Roman" w:hAnsi="Times New Roman"/>
          <w:sz w:val="20"/>
        </w:rPr>
      </w:pPr>
      <w:r>
        <w:rPr>
          <w:rFonts w:ascii="Times New Roman" w:hAnsi="Times New Roman"/>
          <w:sz w:val="20"/>
        </w:rPr>
        <w:t xml:space="preserve">Loans and other receivables carried at amortized cost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189"/>
        <w:gridCol w:w="554"/>
        <w:gridCol w:w="589"/>
        <w:gridCol w:w="1416"/>
        <w:gridCol w:w="155"/>
        <w:gridCol w:w="495"/>
        <w:gridCol w:w="646"/>
        <w:gridCol w:w="1552"/>
        <w:gridCol w:w="159"/>
      </w:tblGrid>
      <w:tr>
        <w:trPr/>
        <w:tc>
          <w:tcPr>
            <w:tcW w:w="2189"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554" w:type="dxa"/>
            <w:tcBorders/>
            <w:vAlign w:val="bottom"/>
          </w:tcPr>
          <w:p>
            <w:pPr>
              <w:pStyle w:val="TableContents"/>
              <w:bidi w:val="0"/>
              <w:spacing w:before="0" w:after="283"/>
              <w:jc w:val="left"/>
              <w:rPr/>
            </w:pPr>
            <w:r>
              <w:rPr/>
              <w:t>  </w:t>
            </w:r>
          </w:p>
        </w:tc>
        <w:tc>
          <w:tcPr>
            <w:tcW w:w="2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2023</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1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 2023</w:t>
            </w:r>
          </w:p>
        </w:tc>
        <w:tc>
          <w:tcPr>
            <w:tcW w:w="159"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Loan and other receivables carried at amortized cost</w:t>
            </w:r>
          </w:p>
        </w:tc>
        <w:tc>
          <w:tcPr>
            <w:tcW w:w="554"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14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95"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155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Loans receivable</w:t>
            </w:r>
          </w:p>
        </w:tc>
        <w:tc>
          <w:tcPr>
            <w:tcW w:w="55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w:t>
            </w:r>
          </w:p>
        </w:tc>
        <w:tc>
          <w:tcPr>
            <w:tcW w:w="1552" w:type="dxa"/>
            <w:tcBorders/>
            <w:vAlign w:val="bottom"/>
          </w:tcPr>
          <w:p>
            <w:pPr>
              <w:pStyle w:val="TableContents"/>
              <w:bidi w:val="0"/>
              <w:spacing w:before="0" w:after="283"/>
              <w:jc w:val="right"/>
              <w:rPr/>
            </w:pPr>
            <w:r>
              <w:rPr/>
              <w:t>25</w:t>
            </w:r>
          </w:p>
        </w:tc>
        <w:tc>
          <w:tcPr>
            <w:tcW w:w="159"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554"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52"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current expected credit losses</w:t>
            </w:r>
          </w:p>
        </w:tc>
        <w:tc>
          <w:tcPr>
            <w:tcW w:w="554"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right"/>
              <w:rPr/>
            </w:pPr>
            <w:r>
              <w:rPr/>
              <w:t>(22</w:t>
            </w:r>
          </w:p>
        </w:tc>
        <w:tc>
          <w:tcPr>
            <w:tcW w:w="159"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Loans and other receivables carried at amortized cost, net</w:t>
            </w:r>
          </w:p>
        </w:tc>
        <w:tc>
          <w:tcPr>
            <w:tcW w:w="554"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pPr>
            <w:r>
              <w:rPr/>
              <w:t>$</w:t>
            </w:r>
          </w:p>
        </w:tc>
        <w:tc>
          <w:tcPr>
            <w:tcW w:w="1416"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w:t>
            </w:r>
          </w:p>
        </w:tc>
        <w:tc>
          <w:tcPr>
            <w:tcW w:w="1552" w:type="dxa"/>
            <w:tcBorders/>
            <w:shd w:fill="CCEEFF" w:val="clear"/>
            <w:vAlign w:val="bottom"/>
          </w:tcPr>
          <w:p>
            <w:pPr>
              <w:pStyle w:val="TableContents"/>
              <w:bidi w:val="0"/>
              <w:spacing w:before="0" w:after="283"/>
              <w:jc w:val="right"/>
              <w:rPr/>
            </w:pPr>
            <w:r>
              <w:rPr/>
              <w:t>21</w:t>
            </w:r>
          </w:p>
        </w:tc>
        <w:tc>
          <w:tcPr>
            <w:tcW w:w="159" w:type="dxa"/>
            <w:tcBorders/>
            <w:shd w:fill="CCEEFF" w:val="clear"/>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14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55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allowance for current expected credit losses reflects the Companys best estimate of expected credit losses of the receivables portfolio determined on the basis of historical experience, current information, and forecasts of future economic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Loans receivable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March 31, 2021, the loan receivable of $23.0 million from Arduino SA (Arduino) was impaired in full as the balance was not expected to be recovered, resulting in the recognition of an expected credit loss of $23.0 million. For the fiscal quarter ended June 30, 2022, the Company reduced the allowance for expected credit losses given the change in collectability with a corresponding reversal of expense for the portion of the loan receivable that was repaid in exchange for Series B preferred stock in Arduino. </w:t>
      </w:r>
    </w:p>
    <w:p>
      <w:pPr>
        <w:pStyle w:val="TextBody"/>
        <w:bidi w:val="0"/>
        <w:spacing w:before="240" w:after="0"/>
        <w:jc w:val="left"/>
        <w:rPr>
          <w:rFonts w:ascii="Times New Roman" w:hAnsi="Times New Roman"/>
          <w:sz w:val="20"/>
        </w:rPr>
      </w:pPr>
      <w:r>
        <w:rPr>
          <w:rFonts w:ascii="Times New Roman" w:hAnsi="Times New Roman"/>
          <w:sz w:val="20"/>
        </w:rPr>
        <w:t xml:space="preserve">The remaining balance of loan receivables as of June 30, 2023 and March 31, 2023 comprised a four-year loan of $3.0 million issued to Cerfe Labs, Inc. The loan was fully impaired in the fiscal year ended March 31, 2023, subsequent to June 30, 2022. </w:t>
      </w:r>
    </w:p>
    <w:p>
      <w:pPr>
        <w:pStyle w:val="TextBody"/>
        <w:bidi w:val="0"/>
        <w:spacing w:before="360" w:after="0"/>
        <w:jc w:val="left"/>
        <w:rPr>
          <w:rFonts w:ascii="Times New Roman" w:hAnsi="Times New Roman"/>
          <w:i/>
          <w:sz w:val="20"/>
        </w:rPr>
      </w:pPr>
      <w:r>
        <w:rPr>
          <w:rFonts w:ascii="Times New Roman" w:hAnsi="Times New Roman"/>
          <w:i/>
          <w:sz w:val="20"/>
        </w:rPr>
        <w:t xml:space="preserve">Other receivables </w:t>
      </w:r>
    </w:p>
    <w:p>
      <w:pPr>
        <w:pStyle w:val="TextBody"/>
        <w:bidi w:val="0"/>
        <w:spacing w:before="120" w:after="0"/>
        <w:jc w:val="left"/>
        <w:rPr>
          <w:rFonts w:ascii="Times New Roman" w:hAnsi="Times New Roman"/>
          <w:sz w:val="20"/>
        </w:rPr>
      </w:pPr>
      <w:r>
        <w:rPr>
          <w:rFonts w:ascii="Times New Roman" w:hAnsi="Times New Roman"/>
          <w:sz w:val="20"/>
        </w:rPr>
        <w:t xml:space="preserve">Balances included in other receivables comprised mainly of the $12.0 million receivable from SoftBank Group Capital Limited recorded in prepaid and other current assets on the Condensed Consolidated Balance Sheets as of June 30, 2023 and March 31, 2023 related to the Companys November 2021 sale of Pelion IOT Limited and its subsidiaries (IoTP).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Loans Receivable </w:t>
      </w:r>
    </w:p>
    <w:p>
      <w:pPr>
        <w:pStyle w:val="TextBody"/>
        <w:bidi w:val="0"/>
        <w:spacing w:before="120" w:after="0"/>
        <w:jc w:val="left"/>
        <w:rPr>
          <w:rFonts w:ascii="Times New Roman" w:hAnsi="Times New Roman"/>
          <w:sz w:val="20"/>
        </w:rPr>
      </w:pPr>
      <w:r>
        <w:rPr>
          <w:rFonts w:ascii="Times New Roman" w:hAnsi="Times New Roman"/>
          <w:sz w:val="20"/>
        </w:rPr>
        <w:t xml:space="preserve">In June 2020, the Company acquired a $2.9 million principal balance convertible loan in PragmatIC Semiconductor Limited (PragmatIC). The entire convertible loan was converted to equity of PragmatIC Semiconductor Limited in October 2021. As of June 30, 2023 and March 31, 2023 the carrying value of the Companys non-marketable equity security in PragmatIC was $39.0 million, respectively. The Company accounts for the investment using the measurement alternative because the securities are not publicly traded and do not have a readily determinable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December 2021, the Company acquired a $29.0 million principal balance convertible loan in Ampere. The Company elected the fair value option to measure this convertible loan receivable for which changes in fair value are recorded in other non-operating income (loss), net on the Condensed Consolidated Income Statements. For the fiscal quarters ended June 30, 2023 and 2022, there were no material gains recognized.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Derivatives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2023, the notional value of outstanding foreign currency forward contracts was £215.0 million and the fair value was $9.7 million. As of March 31, 2023, the notional value of outstanding foreign currency forward contracts was £340.0 million and the fair value was $9.3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notional amounts of the Companys outstanding derivative instruments: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45"/>
        <w:gridCol w:w="570"/>
        <w:gridCol w:w="393"/>
        <w:gridCol w:w="1081"/>
        <w:gridCol w:w="60"/>
        <w:gridCol w:w="570"/>
        <w:gridCol w:w="456"/>
        <w:gridCol w:w="1217"/>
        <w:gridCol w:w="63"/>
      </w:tblGrid>
      <w:tr>
        <w:trPr/>
        <w:tc>
          <w:tcPr>
            <w:tcW w:w="3345"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3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57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2023</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w:t>
              <w:br/>
              <w:t>2023</w:t>
            </w:r>
          </w:p>
        </w:tc>
        <w:tc>
          <w:tcPr>
            <w:tcW w:w="63" w:type="dxa"/>
            <w:tcBorders/>
            <w:vAlign w:val="bottom"/>
          </w:tcPr>
          <w:p>
            <w:pPr>
              <w:pStyle w:val="TableContents"/>
              <w:bidi w:val="0"/>
              <w:spacing w:before="0" w:after="283"/>
              <w:jc w:val="left"/>
              <w:rPr/>
            </w:pPr>
            <w:r>
              <w:rPr/>
              <w:t> </w:t>
            </w:r>
          </w:p>
        </w:tc>
      </w:tr>
      <w:tr>
        <w:trPr/>
        <w:tc>
          <w:tcPr>
            <w:tcW w:w="33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Designated as cash flow hedges</w:t>
            </w:r>
          </w:p>
        </w:tc>
        <w:tc>
          <w:tcPr>
            <w:tcW w:w="57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34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57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w:t>
            </w:r>
          </w:p>
        </w:tc>
        <w:tc>
          <w:tcPr>
            <w:tcW w:w="1081" w:type="dxa"/>
            <w:tcBorders/>
            <w:vAlign w:val="bottom"/>
          </w:tcPr>
          <w:p>
            <w:pPr>
              <w:pStyle w:val="TableContents"/>
              <w:bidi w:val="0"/>
              <w:spacing w:before="0" w:after="283"/>
              <w:jc w:val="right"/>
              <w:rPr/>
            </w:pPr>
            <w:r>
              <w:rPr/>
              <w:t>264</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411</w:t>
            </w:r>
          </w:p>
        </w:tc>
        <w:tc>
          <w:tcPr>
            <w:tcW w:w="63" w:type="dxa"/>
            <w:tcBorders/>
            <w:vAlign w:val="bottom"/>
          </w:tcPr>
          <w:p>
            <w:pPr>
              <w:pStyle w:val="TableContents"/>
              <w:bidi w:val="0"/>
              <w:spacing w:before="0" w:after="283"/>
              <w:jc w:val="left"/>
              <w:rPr/>
            </w:pPr>
            <w:r>
              <w:rPr/>
              <w:t> </w:t>
            </w:r>
          </w:p>
        </w:tc>
      </w:tr>
      <w:tr>
        <w:trPr/>
        <w:tc>
          <w:tcPr>
            <w:tcW w:w="33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Non-designated hedges</w:t>
            </w:r>
          </w:p>
        </w:tc>
        <w:tc>
          <w:tcPr>
            <w:tcW w:w="57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34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57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w:t>
            </w:r>
          </w:p>
        </w:tc>
        <w:tc>
          <w:tcPr>
            <w:tcW w:w="10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fair value of the Companys outstanding derivative instruments: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862"/>
        <w:gridCol w:w="233"/>
        <w:gridCol w:w="510"/>
        <w:gridCol w:w="952"/>
        <w:gridCol w:w="65"/>
        <w:gridCol w:w="244"/>
        <w:gridCol w:w="578"/>
        <w:gridCol w:w="1083"/>
        <w:gridCol w:w="60"/>
        <w:gridCol w:w="233"/>
        <w:gridCol w:w="734"/>
        <w:gridCol w:w="733"/>
        <w:gridCol w:w="86"/>
        <w:gridCol w:w="286"/>
        <w:gridCol w:w="824"/>
        <w:gridCol w:w="837"/>
        <w:gridCol w:w="68"/>
      </w:tblGrid>
      <w:tr>
        <w:trPr/>
        <w:tc>
          <w:tcPr>
            <w:tcW w:w="1862"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432" w:type="dxa"/>
            <w:gridSpan w:val="6"/>
            <w:tcBorders/>
            <w:vAlign w:val="bottom"/>
          </w:tcPr>
          <w:p>
            <w:pPr>
              <w:pStyle w:val="TableContents"/>
              <w:bidi w:val="0"/>
              <w:spacing w:before="0" w:after="283"/>
              <w:jc w:val="center"/>
              <w:rPr>
                <w:b/>
              </w:rPr>
            </w:pPr>
            <w:r>
              <w:rPr>
                <w:b/>
              </w:rPr>
              <w:t>Derivative Assets</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500" w:type="dxa"/>
            <w:gridSpan w:val="6"/>
            <w:tcBorders/>
            <w:vAlign w:val="bottom"/>
          </w:tcPr>
          <w:p>
            <w:pPr>
              <w:pStyle w:val="TableContents"/>
              <w:bidi w:val="0"/>
              <w:spacing w:before="0" w:after="283"/>
              <w:jc w:val="center"/>
              <w:rPr>
                <w:b/>
              </w:rPr>
            </w:pPr>
            <w:r>
              <w:rPr>
                <w:b/>
              </w:rPr>
              <w:t>Derivative Liabilities</w:t>
            </w:r>
          </w:p>
        </w:tc>
        <w:tc>
          <w:tcPr>
            <w:tcW w:w="68" w:type="dxa"/>
            <w:tcBorders/>
            <w:vAlign w:val="bottom"/>
          </w:tcPr>
          <w:p>
            <w:pPr>
              <w:pStyle w:val="TableContents"/>
              <w:bidi w:val="0"/>
              <w:spacing w:before="0" w:after="283"/>
              <w:jc w:val="left"/>
              <w:rPr/>
            </w:pPr>
            <w:r>
              <w:rPr/>
              <w:t> </w:t>
            </w:r>
          </w:p>
        </w:tc>
      </w:tr>
      <w:tr>
        <w:trPr/>
        <w:tc>
          <w:tcPr>
            <w:tcW w:w="18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33"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2023</w:t>
            </w:r>
          </w:p>
        </w:tc>
        <w:tc>
          <w:tcPr>
            <w:tcW w:w="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w:t>
              <w:br/>
              <w:t>2023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2023</w:t>
            </w:r>
          </w:p>
        </w:tc>
        <w:tc>
          <w:tcPr>
            <w:tcW w:w="8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w:t>
              <w:br/>
              <w:t>2023</w:t>
            </w:r>
          </w:p>
        </w:tc>
        <w:tc>
          <w:tcPr>
            <w:tcW w:w="68" w:type="dxa"/>
            <w:tcBorders/>
            <w:vAlign w:val="bottom"/>
          </w:tcPr>
          <w:p>
            <w:pPr>
              <w:pStyle w:val="TableContents"/>
              <w:bidi w:val="0"/>
              <w:spacing w:before="0" w:after="283"/>
              <w:jc w:val="left"/>
              <w:rPr/>
            </w:pPr>
            <w:r>
              <w:rPr/>
              <w:t> </w:t>
            </w:r>
          </w:p>
        </w:tc>
      </w:tr>
      <w:tr>
        <w:trPr/>
        <w:tc>
          <w:tcPr>
            <w:tcW w:w="18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Designated as cash flow hedges</w:t>
            </w:r>
          </w:p>
        </w:tc>
        <w:tc>
          <w:tcPr>
            <w:tcW w:w="233"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6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233"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1</w:t>
            </w:r>
          </w:p>
        </w:tc>
        <w:tc>
          <w:tcPr>
            <w:tcW w:w="68" w:type="dxa"/>
            <w:tcBorders/>
            <w:vAlign w:val="bottom"/>
          </w:tcPr>
          <w:p>
            <w:pPr>
              <w:pStyle w:val="TableContents"/>
              <w:bidi w:val="0"/>
              <w:spacing w:before="0" w:after="283"/>
              <w:jc w:val="left"/>
              <w:rPr/>
            </w:pPr>
            <w:r>
              <w:rPr/>
              <w:t> </w:t>
            </w:r>
          </w:p>
        </w:tc>
      </w:tr>
      <w:tr>
        <w:trPr/>
        <w:tc>
          <w:tcPr>
            <w:tcW w:w="18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Non-designated hedges</w:t>
            </w:r>
          </w:p>
        </w:tc>
        <w:tc>
          <w:tcPr>
            <w:tcW w:w="233"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6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233"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 Hedge Gains (Losses)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net gains (losses) on foreign currency forward contracts designated as cash flow hedges for the fiscal quarter ended June 30, 2023. The Company did not have currency forward contracts designed as cash flow hedges for the fiscal quarter ended June 30, 2022: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926"/>
        <w:gridCol w:w="852"/>
        <w:gridCol w:w="488"/>
        <w:gridCol w:w="1148"/>
        <w:gridCol w:w="158"/>
      </w:tblGrid>
      <w:tr>
        <w:trPr/>
        <w:tc>
          <w:tcPr>
            <w:tcW w:w="5926" w:type="dxa"/>
            <w:tcBorders/>
            <w:vAlign w:val="center"/>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852" w:type="dxa"/>
            <w:tcBorders/>
            <w:vAlign w:val="bottom"/>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Quarter</w:t>
              <w:br/>
              <w:t>Ended June 30,</w:t>
              <w:br/>
              <w:t>2023</w:t>
            </w:r>
          </w:p>
        </w:tc>
        <w:tc>
          <w:tcPr>
            <w:tcW w:w="158" w:type="dxa"/>
            <w:tcBorders/>
            <w:vAlign w:val="bottom"/>
          </w:tcPr>
          <w:p>
            <w:pPr>
              <w:pStyle w:val="TableContents"/>
              <w:bidi w:val="0"/>
              <w:spacing w:before="0" w:after="283"/>
              <w:jc w:val="left"/>
              <w:rPr/>
            </w:pPr>
            <w:r>
              <w:rPr/>
              <w:t> </w:t>
            </w:r>
          </w:p>
        </w:tc>
      </w:tr>
      <w:tr>
        <w:trPr/>
        <w:tc>
          <w:tcPr>
            <w:tcW w:w="5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Statements of Comprehensive Income:</w:t>
            </w:r>
          </w:p>
        </w:tc>
        <w:tc>
          <w:tcPr>
            <w:tcW w:w="852"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114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26" w:type="dxa"/>
            <w:tcBorders/>
          </w:tcPr>
          <w:p>
            <w:pPr>
              <w:pStyle w:val="TableContents"/>
              <w:bidi w:val="0"/>
              <w:spacing w:before="0" w:after="0"/>
              <w:jc w:val="left"/>
              <w:rPr>
                <w:rFonts w:ascii="Times New Roman" w:hAnsi="Times New Roman"/>
                <w:sz w:val="20"/>
              </w:rPr>
            </w:pPr>
            <w:r>
              <w:rPr>
                <w:rFonts w:ascii="Times New Roman" w:hAnsi="Times New Roman"/>
                <w:sz w:val="20"/>
              </w:rPr>
              <w:t>Gains recognized in Accumulated other comprehensive income on cash flow hedge derivatives</w:t>
            </w:r>
          </w:p>
        </w:tc>
        <w:tc>
          <w:tcPr>
            <w:tcW w:w="852"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5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reclassified from Accumulated other comprehensive income into income</w:t>
            </w:r>
          </w:p>
        </w:tc>
        <w:tc>
          <w:tcPr>
            <w:tcW w:w="852"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5926" w:type="dxa"/>
            <w:tcBorders/>
          </w:tcPr>
          <w:p>
            <w:pPr>
              <w:pStyle w:val="TableContents"/>
              <w:bidi w:val="0"/>
              <w:spacing w:before="0" w:after="0"/>
              <w:jc w:val="left"/>
              <w:rPr>
                <w:rFonts w:ascii="Times New Roman" w:hAnsi="Times New Roman"/>
                <w:sz w:val="20"/>
              </w:rPr>
            </w:pPr>
            <w:r>
              <w:rPr>
                <w:rFonts w:ascii="Times New Roman" w:hAnsi="Times New Roman"/>
                <w:sz w:val="20"/>
              </w:rPr>
              <w:t>Tax expense on cash flow hedges</w:t>
            </w:r>
          </w:p>
        </w:tc>
        <w:tc>
          <w:tcPr>
            <w:tcW w:w="852"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926"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pPr>
            <w:r>
              <w:rPr/>
              <w:t>  </w:t>
            </w:r>
          </w:p>
        </w:tc>
        <w:tc>
          <w:tcPr>
            <w:tcW w:w="488"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fair value of the effective portion of designated cash flow hedges, net of tax</w:t>
            </w:r>
          </w:p>
        </w:tc>
        <w:tc>
          <w:tcPr>
            <w:tcW w:w="852"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926"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Income Statements, before tax:</w:t>
            </w:r>
          </w:p>
        </w:tc>
        <w:tc>
          <w:tcPr>
            <w:tcW w:w="852"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sz w:val="4"/>
                <w:szCs w:val="4"/>
              </w:rPr>
            </w:pPr>
            <w:r>
              <w:rPr>
                <w:sz w:val="4"/>
                <w:szCs w:val="4"/>
              </w:rPr>
            </w:r>
          </w:p>
        </w:tc>
        <w:tc>
          <w:tcPr>
            <w:tcW w:w="114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852"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592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852"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reported in accumulated other comprehensive income at the reporting date are expected to be reclassified into earnings within the next 12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2023, the Companys cash flow hedges were highly effective with immaterial amounts of ineffectiveness recorded in the Condensed Consolidated Income Statements for these designated cash flow hedges and all components of each derivatives gain or loss were included in the assessment of hedge effectiveness.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Non-designated Hedging Instrument Gains (Losses)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net gains (losses) on derivatives not designated as hedging instruments recorded in non-operating income (loss), net on the Condensed Consolidated Income Statements: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7"/>
        <w:gridCol w:w="612"/>
        <w:gridCol w:w="470"/>
        <w:gridCol w:w="470"/>
        <w:gridCol w:w="197"/>
        <w:gridCol w:w="870"/>
        <w:gridCol w:w="470"/>
        <w:gridCol w:w="1111"/>
        <w:gridCol w:w="158"/>
      </w:tblGrid>
      <w:tr>
        <w:trPr/>
        <w:tc>
          <w:tcPr>
            <w:tcW w:w="3397"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158" w:type="dxa"/>
            <w:tcBorders/>
            <w:vAlign w:val="bottom"/>
          </w:tcPr>
          <w:p>
            <w:pPr>
              <w:pStyle w:val="TableContents"/>
              <w:bidi w:val="0"/>
              <w:spacing w:before="0" w:after="283"/>
              <w:jc w:val="left"/>
              <w:rPr/>
            </w:pPr>
            <w:r>
              <w:rPr/>
              <w:t> </w:t>
            </w:r>
          </w:p>
        </w:tc>
      </w:tr>
      <w:tr>
        <w:trPr/>
        <w:tc>
          <w:tcPr>
            <w:tcW w:w="33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612"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pPr>
            <w:r>
              <w:rPr/>
              <w:t>  </w:t>
            </w:r>
          </w:p>
        </w:tc>
        <w:tc>
          <w:tcPr>
            <w:tcW w:w="1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3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612"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w:t>
            </w:r>
          </w:p>
        </w:tc>
        <w:tc>
          <w:tcPr>
            <w:tcW w:w="47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(30</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classifies foreign currency forward contracts as Level 2 fair value measurements pursuant to the fair value hierarchy. See Note 6, </w:t>
      </w:r>
      <w:r>
        <w:rPr>
          <w:rFonts w:ascii="Times New Roman" w:hAnsi="Times New Roman"/>
          <w:i/>
          <w:sz w:val="20"/>
        </w:rPr>
        <w:t>Fair Value</w:t>
      </w:r>
      <w:r>
        <w:rPr>
          <w:rFonts w:ascii="Times New Roman" w:hAnsi="Times New Roman"/>
          <w:sz w:val="20"/>
        </w:rPr>
        <w:t xml:space="preserve">, for further details.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measurement levels for any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fair value hierarchy for the liability measured and recognized at fair value as of June 30, 2023 and March 31, 2023 on a recurring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36"/>
        <w:gridCol w:w="175"/>
        <w:gridCol w:w="377"/>
        <w:gridCol w:w="378"/>
        <w:gridCol w:w="60"/>
        <w:gridCol w:w="175"/>
        <w:gridCol w:w="377"/>
        <w:gridCol w:w="378"/>
        <w:gridCol w:w="60"/>
        <w:gridCol w:w="175"/>
        <w:gridCol w:w="377"/>
        <w:gridCol w:w="378"/>
        <w:gridCol w:w="60"/>
        <w:gridCol w:w="175"/>
        <w:gridCol w:w="287"/>
        <w:gridCol w:w="288"/>
        <w:gridCol w:w="60"/>
        <w:gridCol w:w="175"/>
        <w:gridCol w:w="377"/>
        <w:gridCol w:w="378"/>
        <w:gridCol w:w="60"/>
        <w:gridCol w:w="175"/>
        <w:gridCol w:w="377"/>
        <w:gridCol w:w="378"/>
        <w:gridCol w:w="60"/>
        <w:gridCol w:w="175"/>
        <w:gridCol w:w="377"/>
        <w:gridCol w:w="378"/>
        <w:gridCol w:w="60"/>
        <w:gridCol w:w="174"/>
        <w:gridCol w:w="288"/>
        <w:gridCol w:w="288"/>
        <w:gridCol w:w="69"/>
      </w:tblGrid>
      <w:tr>
        <w:trPr/>
        <w:tc>
          <w:tcPr>
            <w:tcW w:w="263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63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54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June 30, 2023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54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March 31, 2023</w:t>
            </w:r>
          </w:p>
        </w:tc>
        <w:tc>
          <w:tcPr>
            <w:tcW w:w="69" w:type="dxa"/>
            <w:tcBorders/>
            <w:vAlign w:val="bottom"/>
          </w:tcPr>
          <w:p>
            <w:pPr>
              <w:pStyle w:val="TableContents"/>
              <w:bidi w:val="0"/>
              <w:spacing w:before="0" w:after="283"/>
              <w:jc w:val="left"/>
              <w:rPr/>
            </w:pPr>
            <w:r>
              <w:rPr/>
              <w:t> </w:t>
            </w:r>
          </w:p>
        </w:tc>
      </w:tr>
      <w:tr>
        <w:trPr/>
        <w:tc>
          <w:tcPr>
            <w:tcW w:w="26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75"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Financial liabilities</w:t>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2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288" w:type="dxa"/>
            <w:tcBorders/>
            <w:vAlign w:val="bottom"/>
          </w:tcPr>
          <w:p>
            <w:pPr>
              <w:pStyle w:val="TableContents"/>
              <w:bidi w:val="0"/>
              <w:spacing w:before="0" w:after="283"/>
              <w:jc w:val="right"/>
              <w:rPr/>
            </w:pPr>
            <w:r>
              <w:rPr/>
              <w:t>1</w:t>
            </w:r>
          </w:p>
        </w:tc>
        <w:tc>
          <w:tcPr>
            <w:tcW w:w="69" w:type="dxa"/>
            <w:tcBorders/>
            <w:vAlign w:val="bottom"/>
          </w:tcPr>
          <w:p>
            <w:pPr>
              <w:pStyle w:val="TableContents"/>
              <w:bidi w:val="0"/>
              <w:spacing w:before="0" w:after="283"/>
              <w:jc w:val="left"/>
              <w:rPr/>
            </w:pPr>
            <w:r>
              <w:rPr/>
              <w:t> </w:t>
            </w:r>
          </w:p>
        </w:tc>
      </w:tr>
      <w:tr>
        <w:trPr/>
        <w:tc>
          <w:tcPr>
            <w:tcW w:w="263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financial liabilities</w:t>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2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288" w:type="dxa"/>
            <w:tcBorders/>
            <w:shd w:fill="CCEEFF" w:val="clear"/>
            <w:vAlign w:val="bottom"/>
          </w:tcPr>
          <w:p>
            <w:pPr>
              <w:pStyle w:val="TableContents"/>
              <w:bidi w:val="0"/>
              <w:spacing w:before="0" w:after="283"/>
              <w:jc w:val="right"/>
              <w:rPr/>
            </w:pPr>
            <w:r>
              <w:rPr/>
              <w:t>1</w:t>
            </w:r>
          </w:p>
        </w:tc>
        <w:tc>
          <w:tcPr>
            <w:tcW w:w="69" w:type="dxa"/>
            <w:tcBorders/>
            <w:shd w:fill="CCEEFF" w:val="clear"/>
            <w:vAlign w:val="bottom"/>
          </w:tcPr>
          <w:p>
            <w:pPr>
              <w:pStyle w:val="TableContents"/>
              <w:bidi w:val="0"/>
              <w:spacing w:before="0" w:after="283"/>
              <w:jc w:val="left"/>
              <w:rPr/>
            </w:pPr>
            <w:r>
              <w:rPr/>
              <w:t> </w:t>
            </w:r>
          </w:p>
        </w:tc>
      </w:tr>
      <w:tr>
        <w:trPr/>
        <w:tc>
          <w:tcPr>
            <w:tcW w:w="263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fair value hierarchy for assets measured and recognized at fair value, excluding investments where the NAV practical expedient has been elected as of June 30, 2023 and March 31, 2023 on a recurring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6"/>
        <w:gridCol w:w="162"/>
        <w:gridCol w:w="209"/>
        <w:gridCol w:w="578"/>
        <w:gridCol w:w="60"/>
        <w:gridCol w:w="162"/>
        <w:gridCol w:w="393"/>
        <w:gridCol w:w="394"/>
        <w:gridCol w:w="60"/>
        <w:gridCol w:w="162"/>
        <w:gridCol w:w="209"/>
        <w:gridCol w:w="578"/>
        <w:gridCol w:w="60"/>
        <w:gridCol w:w="162"/>
        <w:gridCol w:w="140"/>
        <w:gridCol w:w="584"/>
        <w:gridCol w:w="60"/>
        <w:gridCol w:w="162"/>
        <w:gridCol w:w="209"/>
        <w:gridCol w:w="578"/>
        <w:gridCol w:w="60"/>
        <w:gridCol w:w="162"/>
        <w:gridCol w:w="264"/>
        <w:gridCol w:w="496"/>
        <w:gridCol w:w="60"/>
        <w:gridCol w:w="162"/>
        <w:gridCol w:w="209"/>
        <w:gridCol w:w="578"/>
        <w:gridCol w:w="60"/>
        <w:gridCol w:w="162"/>
        <w:gridCol w:w="140"/>
        <w:gridCol w:w="585"/>
        <w:gridCol w:w="79"/>
      </w:tblGrid>
      <w:tr>
        <w:trPr/>
        <w:tc>
          <w:tcPr>
            <w:tcW w:w="226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75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June 30, 2023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72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March 31, 2023</w:t>
            </w:r>
          </w:p>
        </w:tc>
        <w:tc>
          <w:tcPr>
            <w:tcW w:w="79" w:type="dxa"/>
            <w:tcBorders/>
            <w:vAlign w:val="bottom"/>
          </w:tcPr>
          <w:p>
            <w:pPr>
              <w:pStyle w:val="TableContents"/>
              <w:bidi w:val="0"/>
              <w:spacing w:before="0" w:after="283"/>
              <w:jc w:val="left"/>
              <w:rPr/>
            </w:pPr>
            <w:r>
              <w:rPr/>
              <w:t> </w:t>
            </w:r>
          </w:p>
        </w:tc>
      </w:tr>
      <w:tr>
        <w:trPr/>
        <w:tc>
          <w:tcPr>
            <w:tcW w:w="22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22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Financial assets</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5"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r>
      <w:tr>
        <w:trPr/>
        <w:tc>
          <w:tcPr>
            <w:tcW w:w="2266"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investments(1)</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801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4" w:type="dxa"/>
            <w:tcBorders/>
            <w:vAlign w:val="bottom"/>
          </w:tcPr>
          <w:p>
            <w:pPr>
              <w:pStyle w:val="TableContents"/>
              <w:bidi w:val="0"/>
              <w:spacing w:before="0" w:after="283"/>
              <w:jc w:val="right"/>
              <w:rPr/>
            </w:pPr>
            <w:r>
              <w:rPr/>
              <w:t>801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661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661</w:t>
            </w:r>
          </w:p>
        </w:tc>
        <w:tc>
          <w:tcPr>
            <w:tcW w:w="79" w:type="dxa"/>
            <w:tcBorders/>
            <w:vAlign w:val="bottom"/>
          </w:tcPr>
          <w:p>
            <w:pPr>
              <w:pStyle w:val="TableContents"/>
              <w:bidi w:val="0"/>
              <w:spacing w:before="0" w:after="283"/>
              <w:jc w:val="left"/>
              <w:rPr/>
            </w:pPr>
            <w:r>
              <w:rPr/>
              <w:t> </w:t>
            </w:r>
          </w:p>
        </w:tc>
      </w:tr>
      <w:tr>
        <w:trPr/>
        <w:tc>
          <w:tcPr>
            <w:tcW w:w="2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method investments(2)</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473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473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482</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482</w:t>
            </w:r>
          </w:p>
        </w:tc>
        <w:tc>
          <w:tcPr>
            <w:tcW w:w="79" w:type="dxa"/>
            <w:tcBorders/>
            <w:shd w:fill="CCEEFF" w:val="clear"/>
            <w:vAlign w:val="bottom"/>
          </w:tcPr>
          <w:p>
            <w:pPr>
              <w:pStyle w:val="TableContents"/>
              <w:bidi w:val="0"/>
              <w:spacing w:before="0" w:after="283"/>
              <w:jc w:val="left"/>
              <w:rPr/>
            </w:pPr>
            <w:r>
              <w:rPr/>
              <w:t> </w:t>
            </w:r>
          </w:p>
        </w:tc>
      </w:tr>
      <w:tr>
        <w:trPr/>
        <w:tc>
          <w:tcPr>
            <w:tcW w:w="2266"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 receivable</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31</w:t>
            </w:r>
          </w:p>
        </w:tc>
        <w:tc>
          <w:tcPr>
            <w:tcW w:w="79" w:type="dxa"/>
            <w:tcBorders/>
            <w:vAlign w:val="bottom"/>
          </w:tcPr>
          <w:p>
            <w:pPr>
              <w:pStyle w:val="TableContents"/>
              <w:bidi w:val="0"/>
              <w:spacing w:before="0" w:after="283"/>
              <w:jc w:val="left"/>
              <w:rPr/>
            </w:pPr>
            <w:r>
              <w:rPr/>
              <w:t> </w:t>
            </w:r>
          </w:p>
        </w:tc>
      </w:tr>
      <w:tr>
        <w:trPr/>
        <w:tc>
          <w:tcPr>
            <w:tcW w:w="2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forward contracts</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10</w:t>
            </w:r>
          </w:p>
        </w:tc>
        <w:tc>
          <w:tcPr>
            <w:tcW w:w="79" w:type="dxa"/>
            <w:tcBorders/>
            <w:shd w:fill="CCEEFF" w:val="clear"/>
            <w:vAlign w:val="bottom"/>
          </w:tcPr>
          <w:p>
            <w:pPr>
              <w:pStyle w:val="TableContents"/>
              <w:bidi w:val="0"/>
              <w:spacing w:before="0" w:after="283"/>
              <w:jc w:val="left"/>
              <w:rPr/>
            </w:pPr>
            <w:r>
              <w:rPr/>
              <w:t> </w:t>
            </w:r>
          </w:p>
        </w:tc>
      </w:tr>
      <w:tr>
        <w:trPr/>
        <w:tc>
          <w:tcPr>
            <w:tcW w:w="226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r>
      <w:tr>
        <w:trPr/>
        <w:tc>
          <w:tcPr>
            <w:tcW w:w="226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financial assets</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801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504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4" w:type="dxa"/>
            <w:tcBorders/>
            <w:vAlign w:val="bottom"/>
          </w:tcPr>
          <w:p>
            <w:pPr>
              <w:pStyle w:val="TableContents"/>
              <w:bidi w:val="0"/>
              <w:spacing w:before="0" w:after="283"/>
              <w:jc w:val="right"/>
              <w:rPr/>
            </w:pPr>
            <w:r>
              <w:rPr/>
              <w:t>1,305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661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513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1,184</w:t>
            </w:r>
          </w:p>
        </w:tc>
        <w:tc>
          <w:tcPr>
            <w:tcW w:w="79" w:type="dxa"/>
            <w:tcBorders/>
            <w:vAlign w:val="bottom"/>
          </w:tcPr>
          <w:p>
            <w:pPr>
              <w:pStyle w:val="TableContents"/>
              <w:bidi w:val="0"/>
              <w:spacing w:before="0" w:after="283"/>
              <w:jc w:val="left"/>
              <w:rPr/>
            </w:pPr>
            <w:r>
              <w:rPr/>
              <w:t> </w:t>
            </w:r>
          </w:p>
        </w:tc>
      </w:tr>
      <w:tr>
        <w:trPr/>
        <w:tc>
          <w:tcPr>
            <w:tcW w:w="226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investments represent term deposits with banks with a maturity between three and 12 months.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Subtopic 820-10, investments that are measured at fair value using the NAV practical expedient are not classified in the fair value hierarchy.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tables summarize changes in the fair value, along with other activity associated with the Companys Level 3 financial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Method Investments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37"/>
        <w:gridCol w:w="654"/>
        <w:gridCol w:w="393"/>
        <w:gridCol w:w="1085"/>
        <w:gridCol w:w="155"/>
        <w:gridCol w:w="612"/>
        <w:gridCol w:w="459"/>
        <w:gridCol w:w="1219"/>
        <w:gridCol w:w="158"/>
      </w:tblGrid>
      <w:tr>
        <w:trPr/>
        <w:tc>
          <w:tcPr>
            <w:tcW w:w="3837"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654"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2023</w:t>
            </w:r>
          </w:p>
        </w:tc>
        <w:tc>
          <w:tcPr>
            <w:tcW w:w="15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6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w:t>
              <w:br/>
              <w:t>2023</w:t>
            </w:r>
          </w:p>
        </w:tc>
        <w:tc>
          <w:tcPr>
            <w:tcW w:w="158"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Fair value of financial assets at the beginning of the period</w:t>
            </w:r>
          </w:p>
        </w:tc>
        <w:tc>
          <w:tcPr>
            <w:tcW w:w="654"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482</w:t>
            </w:r>
          </w:p>
        </w:tc>
        <w:tc>
          <w:tcPr>
            <w:tcW w:w="15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524</w:t>
            </w:r>
          </w:p>
        </w:tc>
        <w:tc>
          <w:tcPr>
            <w:tcW w:w="158"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Additions, net of contributions from shareholders of the Company</w:t>
            </w:r>
          </w:p>
        </w:tc>
        <w:tc>
          <w:tcPr>
            <w:tcW w:w="654"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Fair value losses recognized in the income statement</w:t>
            </w:r>
          </w:p>
        </w:tc>
        <w:tc>
          <w:tcPr>
            <w:tcW w:w="654"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(42</w:t>
            </w:r>
          </w:p>
        </w:tc>
        <w:tc>
          <w:tcPr>
            <w:tcW w:w="158"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Distributions to shareholders of the Company</w:t>
            </w:r>
          </w:p>
        </w:tc>
        <w:tc>
          <w:tcPr>
            <w:tcW w:w="654"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Fair value at the end of the period</w:t>
            </w:r>
          </w:p>
        </w:tc>
        <w:tc>
          <w:tcPr>
            <w:tcW w:w="654"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472</w:t>
            </w:r>
          </w:p>
        </w:tc>
        <w:tc>
          <w:tcPr>
            <w:tcW w:w="15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482</w:t>
            </w:r>
          </w:p>
        </w:tc>
        <w:tc>
          <w:tcPr>
            <w:tcW w:w="158"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Loans Receivable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68"/>
        <w:gridCol w:w="730"/>
        <w:gridCol w:w="511"/>
        <w:gridCol w:w="954"/>
        <w:gridCol w:w="60"/>
        <w:gridCol w:w="730"/>
        <w:gridCol w:w="579"/>
        <w:gridCol w:w="1076"/>
        <w:gridCol w:w="64"/>
      </w:tblGrid>
      <w:tr>
        <w:trPr/>
        <w:tc>
          <w:tcPr>
            <w:tcW w:w="3868" w:type="dxa"/>
            <w:tcBorders/>
            <w:vAlign w:val="center"/>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730"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2023</w:t>
            </w:r>
          </w:p>
        </w:tc>
        <w:tc>
          <w:tcPr>
            <w:tcW w:w="6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w:t>
              <w:br/>
              <w:t>2023</w:t>
            </w:r>
          </w:p>
        </w:tc>
        <w:tc>
          <w:tcPr>
            <w:tcW w:w="64" w:type="dxa"/>
            <w:tcBorders/>
            <w:vAlign w:val="bottom"/>
          </w:tcPr>
          <w:p>
            <w:pPr>
              <w:pStyle w:val="TableContents"/>
              <w:bidi w:val="0"/>
              <w:spacing w:before="0" w:after="283"/>
              <w:jc w:val="left"/>
              <w:rPr/>
            </w:pPr>
            <w:r>
              <w:rPr/>
              <w:t> </w:t>
            </w:r>
          </w:p>
        </w:tc>
      </w:tr>
      <w:tr>
        <w:trPr/>
        <w:tc>
          <w:tcPr>
            <w:tcW w:w="38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Fair value of financial assets at the beginning of the period</w:t>
            </w:r>
          </w:p>
        </w:tc>
        <w:tc>
          <w:tcPr>
            <w:tcW w:w="73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29</w:t>
            </w:r>
          </w:p>
        </w:tc>
        <w:tc>
          <w:tcPr>
            <w:tcW w:w="64" w:type="dxa"/>
            <w:tcBorders/>
            <w:shd w:fill="CCEEFF" w:val="clear"/>
            <w:vAlign w:val="bottom"/>
          </w:tcPr>
          <w:p>
            <w:pPr>
              <w:pStyle w:val="TableContents"/>
              <w:bidi w:val="0"/>
              <w:spacing w:before="0" w:after="283"/>
              <w:jc w:val="left"/>
              <w:rPr/>
            </w:pPr>
            <w:r>
              <w:rPr/>
              <w:t> </w:t>
            </w:r>
          </w:p>
        </w:tc>
      </w:tr>
      <w:tr>
        <w:trPr/>
        <w:tc>
          <w:tcPr>
            <w:tcW w:w="38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73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8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Converted into equity</w:t>
            </w:r>
          </w:p>
        </w:tc>
        <w:tc>
          <w:tcPr>
            <w:tcW w:w="73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8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Fair value gains recognized in the income statement</w:t>
            </w:r>
          </w:p>
        </w:tc>
        <w:tc>
          <w:tcPr>
            <w:tcW w:w="73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3868"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pPr>
            <w:r>
              <w:rPr/>
              <w:t>  </w:t>
            </w:r>
          </w:p>
        </w:tc>
        <w:tc>
          <w:tcPr>
            <w:tcW w:w="511"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0" w:type="dxa"/>
            <w:tcBorders/>
            <w:vAlign w:val="bottom"/>
          </w:tcPr>
          <w:p>
            <w:pPr>
              <w:pStyle w:val="TableContents"/>
              <w:bidi w:val="0"/>
              <w:spacing w:before="0" w:after="283"/>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Fair value at the end of the period</w:t>
            </w:r>
          </w:p>
        </w:tc>
        <w:tc>
          <w:tcPr>
            <w:tcW w:w="73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31</w:t>
            </w:r>
          </w:p>
        </w:tc>
        <w:tc>
          <w:tcPr>
            <w:tcW w:w="64" w:type="dxa"/>
            <w:tcBorders/>
            <w:shd w:fill="CCEEFF" w:val="clear"/>
            <w:vAlign w:val="bottom"/>
          </w:tcPr>
          <w:p>
            <w:pPr>
              <w:pStyle w:val="TableContents"/>
              <w:bidi w:val="0"/>
              <w:spacing w:before="0" w:after="283"/>
              <w:jc w:val="left"/>
              <w:rPr/>
            </w:pPr>
            <w:r>
              <w:rPr/>
              <w:t> </w:t>
            </w:r>
          </w:p>
        </w:tc>
      </w:tr>
      <w:tr>
        <w:trPr/>
        <w:tc>
          <w:tcPr>
            <w:tcW w:w="3868"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pPr>
            <w:r>
              <w:rPr/>
              <w:t>  </w:t>
            </w:r>
          </w:p>
        </w:tc>
        <w:tc>
          <w:tcPr>
            <w:tcW w:w="511" w:type="dxa"/>
            <w:tcBorders/>
            <w:vAlign w:val="bottom"/>
          </w:tcPr>
          <w:p>
            <w:pPr>
              <w:pStyle w:val="TableContents"/>
              <w:pBdr>
                <w:top w:val="double" w:sz="6" w:space="1" w:color="000000"/>
              </w:pBdr>
              <w:bidi w:val="0"/>
              <w:spacing w:before="0" w:after="0"/>
              <w:jc w:val="left"/>
              <w:rPr/>
            </w:pPr>
            <w:r>
              <w:rPr/>
              <w:t> </w:t>
            </w:r>
          </w:p>
        </w:tc>
        <w:tc>
          <w:tcPr>
            <w:tcW w:w="9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0" w:type="dxa"/>
            <w:tcBorders/>
            <w:vAlign w:val="bottom"/>
          </w:tcPr>
          <w:p>
            <w:pPr>
              <w:pStyle w:val="TableContents"/>
              <w:bidi w:val="0"/>
              <w:spacing w:before="0" w:after="283"/>
              <w:jc w:val="left"/>
              <w:rPr/>
            </w:pPr>
            <w:r>
              <w:rPr/>
              <w:t>  </w:t>
            </w:r>
          </w:p>
        </w:tc>
        <w:tc>
          <w:tcPr>
            <w:tcW w:w="579"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below for a description of the valuation techniques and inputs used in the fair value measurement of Level 3 investments including equity method investments, convertible loans receivable, and currency exchange contracts.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elected the fair value option in accordance with the guidance in ASC 825, Financial Instruments (ASC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and/or (ii) subject to availability of sufficient information, the income approach based on the discounted cash flow method and iii) the probability-weighted, expected return (PWER) approach. </w:t>
      </w:r>
    </w:p>
    <w:p>
      <w:pPr>
        <w:pStyle w:val="TextBody"/>
        <w:bidi w:val="0"/>
        <w:spacing w:before="240" w:after="0"/>
        <w:jc w:val="left"/>
        <w:rPr>
          <w:rFonts w:ascii="Times New Roman" w:hAnsi="Times New Roman"/>
          <w:sz w:val="20"/>
        </w:rPr>
      </w:pPr>
      <w:r>
        <w:rPr>
          <w:rFonts w:ascii="Times New Roman" w:hAnsi="Times New Roman"/>
          <w:sz w:val="20"/>
        </w:rPr>
        <w:t xml:space="preserve">The market-calibration approach considers valuation multiples that are calibrated to the valuation as of the prior valuation date (i.e., quarterly) based on: (a) 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quarters ended June 30, 2023, the PWER approach was used to measure the fair value of Ampere. The PWER approach is based on discrete future exit scenarios to determine the value of various equity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provide quantitative information related to certain key assumptions utilized in the valuation of equity method investments accounted for under the fair value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3"/>
        <w:gridCol w:w="124"/>
        <w:gridCol w:w="429"/>
        <w:gridCol w:w="1152"/>
        <w:gridCol w:w="60"/>
        <w:gridCol w:w="124"/>
        <w:gridCol w:w="437"/>
        <w:gridCol w:w="1173"/>
        <w:gridCol w:w="60"/>
        <w:gridCol w:w="124"/>
        <w:gridCol w:w="1999"/>
        <w:gridCol w:w="124"/>
        <w:gridCol w:w="1392"/>
        <w:gridCol w:w="124"/>
        <w:gridCol w:w="1440"/>
      </w:tblGrid>
      <w:tr>
        <w:trPr/>
        <w:tc>
          <w:tcPr>
            <w:tcW w:w="144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 of June 30, 2023 and March 31, 2023</w:t>
            </w:r>
          </w:p>
        </w:tc>
      </w:tr>
      <w:tr>
        <w:trPr/>
        <w:tc>
          <w:tcPr>
            <w:tcW w:w="14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24" w:type="dxa"/>
            <w:tcBorders/>
            <w:vAlign w:val="bottom"/>
          </w:tcPr>
          <w:p>
            <w:pPr>
              <w:pStyle w:val="TableContents"/>
              <w:bidi w:val="0"/>
              <w:spacing w:before="0" w:after="283"/>
              <w:jc w:val="left"/>
              <w:rPr/>
            </w:pPr>
            <w:r>
              <w:rPr/>
              <w:t> </w:t>
            </w:r>
          </w:p>
        </w:tc>
        <w:tc>
          <w:tcPr>
            <w:tcW w:w="1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as of</w:t>
              <w:br/>
              <w:t>June 30, 2023</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as of</w:t>
              <w:br/>
              <w:t>March 31, 2023</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99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Valuation</w:t>
            </w:r>
          </w:p>
          <w:p>
            <w:pPr>
              <w:pStyle w:val="TableContents"/>
              <w:bidi w:val="0"/>
              <w:spacing w:before="0" w:after="20"/>
              <w:jc w:val="center"/>
              <w:rPr>
                <w:rFonts w:ascii="Times New Roman" w:hAnsi="Times New Roman"/>
                <w:b/>
                <w:sz w:val="16"/>
              </w:rPr>
            </w:pPr>
            <w:r>
              <w:rPr>
                <w:rFonts w:ascii="Times New Roman" w:hAnsi="Times New Roman"/>
                <w:b/>
                <w:sz w:val="16"/>
              </w:rPr>
              <w:t>Technique</w:t>
            </w:r>
          </w:p>
        </w:tc>
        <w:tc>
          <w:tcPr>
            <w:tcW w:w="124" w:type="dxa"/>
            <w:tcBorders/>
            <w:vAlign w:val="bottom"/>
          </w:tcPr>
          <w:p>
            <w:pPr>
              <w:pStyle w:val="TableContents"/>
              <w:bidi w:val="0"/>
              <w:spacing w:before="0" w:after="283"/>
              <w:jc w:val="left"/>
              <w:rPr/>
            </w:pPr>
            <w:r>
              <w:rPr/>
              <w:t> </w:t>
            </w:r>
          </w:p>
        </w:tc>
        <w:tc>
          <w:tcPr>
            <w:tcW w:w="139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Unobservable</w:t>
            </w:r>
          </w:p>
          <w:p>
            <w:pPr>
              <w:pStyle w:val="TableContents"/>
              <w:bidi w:val="0"/>
              <w:spacing w:before="0" w:after="20"/>
              <w:jc w:val="center"/>
              <w:rPr>
                <w:rFonts w:ascii="Times New Roman" w:hAnsi="Times New Roman"/>
                <w:b/>
                <w:sz w:val="16"/>
              </w:rPr>
            </w:pPr>
            <w:r>
              <w:rPr>
                <w:rFonts w:ascii="Times New Roman" w:hAnsi="Times New Roman"/>
                <w:b/>
                <w:sz w:val="16"/>
              </w:rPr>
              <w:t>Inputs</w:t>
            </w:r>
          </w:p>
        </w:tc>
        <w:tc>
          <w:tcPr>
            <w:tcW w:w="124" w:type="dxa"/>
            <w:tcBorders/>
            <w:vAlign w:val="bottom"/>
          </w:tcPr>
          <w:p>
            <w:pPr>
              <w:pStyle w:val="TableContents"/>
              <w:bidi w:val="0"/>
              <w:spacing w:before="0" w:after="283"/>
              <w:jc w:val="left"/>
              <w:rPr/>
            </w:pPr>
            <w:r>
              <w:rPr/>
              <w:t> </w:t>
            </w:r>
          </w:p>
        </w:tc>
        <w:tc>
          <w:tcPr>
            <w:tcW w:w="14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Range of Estimates</w:t>
            </w:r>
          </w:p>
        </w:tc>
      </w:tr>
      <w:tr>
        <w:trPr/>
        <w:tc>
          <w:tcPr>
            <w:tcW w:w="1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Method Investments</w:t>
            </w:r>
          </w:p>
        </w:tc>
        <w:tc>
          <w:tcPr>
            <w:tcW w:w="124" w:type="dxa"/>
            <w:tcBorders/>
            <w:shd w:fill="CCEEFF" w:val="clear"/>
            <w:vAlign w:val="bottom"/>
          </w:tcPr>
          <w:p>
            <w:pPr>
              <w:pStyle w:val="TableContents"/>
              <w:bidi w:val="0"/>
              <w:spacing w:before="0" w:after="283"/>
              <w:jc w:val="left"/>
              <w:rPr/>
            </w:pPr>
            <w:r>
              <w:rPr/>
              <w:t> </w:t>
            </w:r>
          </w:p>
        </w:tc>
        <w:tc>
          <w:tcPr>
            <w:tcW w:w="429"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w:t>
            </w:r>
          </w:p>
        </w:tc>
        <w:tc>
          <w:tcPr>
            <w:tcW w:w="1152" w:type="dxa"/>
            <w:tcBorders/>
            <w:shd w:fill="CCEEFF" w:val="clear"/>
          </w:tcPr>
          <w:p>
            <w:pPr>
              <w:pStyle w:val="TableContents"/>
              <w:bidi w:val="0"/>
              <w:spacing w:before="0" w:after="20"/>
              <w:jc w:val="right"/>
              <w:rPr>
                <w:rFonts w:ascii="Times New Roman" w:hAnsi="Times New Roman"/>
                <w:sz w:val="20"/>
              </w:rPr>
            </w:pPr>
            <w:r>
              <w:rPr>
                <w:rFonts w:ascii="Times New Roman" w:hAnsi="Times New Roman"/>
                <w:sz w:val="20"/>
              </w:rPr>
              <w:t>473</w:t>
            </w:r>
          </w:p>
        </w:tc>
        <w:tc>
          <w:tcPr>
            <w:tcW w:w="60" w:type="dxa"/>
            <w:tcBorders/>
            <w:shd w:fill="CCEEFF" w:val="clear"/>
          </w:tcPr>
          <w:p>
            <w:pPr>
              <w:pStyle w:val="TableContents"/>
              <w:bidi w:val="0"/>
              <w:spacing w:before="0" w:after="20"/>
              <w:jc w:val="left"/>
              <w:rPr/>
            </w:pPr>
            <w:r>
              <w:rPr/>
              <w:t> </w:t>
            </w:r>
          </w:p>
        </w:tc>
        <w:tc>
          <w:tcPr>
            <w:tcW w:w="124" w:type="dxa"/>
            <w:tcBorders/>
            <w:shd w:fill="CCEEFF" w:val="clear"/>
            <w:vAlign w:val="bottom"/>
          </w:tcPr>
          <w:p>
            <w:pPr>
              <w:pStyle w:val="TableContents"/>
              <w:bidi w:val="0"/>
              <w:spacing w:before="0" w:after="283"/>
              <w:jc w:val="left"/>
              <w:rPr/>
            </w:pPr>
            <w:r>
              <w:rPr/>
              <w:t> </w:t>
            </w:r>
          </w:p>
        </w:tc>
        <w:tc>
          <w:tcPr>
            <w:tcW w:w="437"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w:t>
            </w:r>
          </w:p>
        </w:tc>
        <w:tc>
          <w:tcPr>
            <w:tcW w:w="1173" w:type="dxa"/>
            <w:tcBorders/>
            <w:shd w:fill="CCEEFF" w:val="clear"/>
          </w:tcPr>
          <w:p>
            <w:pPr>
              <w:pStyle w:val="TableContents"/>
              <w:bidi w:val="0"/>
              <w:spacing w:before="0" w:after="20"/>
              <w:jc w:val="right"/>
              <w:rPr>
                <w:rFonts w:ascii="Times New Roman" w:hAnsi="Times New Roman"/>
                <w:sz w:val="20"/>
              </w:rPr>
            </w:pPr>
            <w:r>
              <w:rPr>
                <w:rFonts w:ascii="Times New Roman" w:hAnsi="Times New Roman"/>
                <w:sz w:val="20"/>
              </w:rPr>
              <w:t>482</w:t>
            </w:r>
          </w:p>
        </w:tc>
        <w:tc>
          <w:tcPr>
            <w:tcW w:w="60" w:type="dxa"/>
            <w:tcBorders/>
            <w:shd w:fill="CCEEFF" w:val="clear"/>
          </w:tcPr>
          <w:p>
            <w:pPr>
              <w:pStyle w:val="TableContents"/>
              <w:bidi w:val="0"/>
              <w:spacing w:before="0" w:after="20"/>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999"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Acetone  Market-Calibration or discounted cash flow</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Ampere  PWER</w:t>
            </w:r>
          </w:p>
        </w:tc>
        <w:tc>
          <w:tcPr>
            <w:tcW w:w="124" w:type="dxa"/>
            <w:tcBorders/>
            <w:shd w:fill="CCEEFF" w:val="clear"/>
            <w:vAlign w:val="bottom"/>
          </w:tcPr>
          <w:p>
            <w:pPr>
              <w:pStyle w:val="TableContents"/>
              <w:bidi w:val="0"/>
              <w:spacing w:before="0" w:after="283"/>
              <w:jc w:val="left"/>
              <w:rPr/>
            </w:pPr>
            <w:r>
              <w:rPr/>
              <w:t> </w:t>
            </w:r>
          </w:p>
        </w:tc>
        <w:tc>
          <w:tcPr>
            <w:tcW w:w="1392"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LTM Revenue Multiple</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Probability of success IPO, time to future exit scenario, discount rate</w:t>
            </w:r>
          </w:p>
        </w:tc>
        <w:tc>
          <w:tcPr>
            <w:tcW w:w="124" w:type="dxa"/>
            <w:tcBorders/>
            <w:shd w:fill="CCEEFF" w:val="clear"/>
            <w:vAlign w:val="bottom"/>
          </w:tcPr>
          <w:p>
            <w:pPr>
              <w:pStyle w:val="TableContents"/>
              <w:bidi w:val="0"/>
              <w:spacing w:before="0" w:after="283"/>
              <w:jc w:val="left"/>
              <w:rPr/>
            </w:pPr>
            <w:r>
              <w:rPr/>
              <w:t> </w:t>
            </w:r>
          </w:p>
        </w:tc>
        <w:tc>
          <w:tcPr>
            <w:tcW w:w="1440" w:type="dxa"/>
            <w:tcBorders/>
            <w:shd w:fill="CCEEFF" w:val="clear"/>
          </w:tcPr>
          <w:p>
            <w:pPr>
              <w:pStyle w:val="TableContents"/>
              <w:bidi w:val="0"/>
              <w:spacing w:before="0" w:after="283"/>
              <w:jc w:val="center"/>
              <w:rPr/>
            </w:pPr>
            <w:r>
              <w:rPr/>
              <w:t>1.9x  2.3x Probability weighted  100%, discount rate  18.61%</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Loans ReceivableAmpere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the Company acquired a $29.0 million convertible promissory note in Ampere, which is included in other non-current assets on the Condensed Consolidated Balance Sheets. As of June 30, 2023 and March 31, 2023, the Companys maximum exposure to loss are the amounts invested in, and advanced to, Ampere. As of June 30, 2023 and March 31, 2023, the Company has not converted any of its convertible promissory note into equity.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 </w:t>
      </w:r>
    </w:p>
    <w:p>
      <w:pPr>
        <w:pStyle w:val="TextBody"/>
        <w:bidi w:val="0"/>
        <w:spacing w:before="240" w:after="0"/>
        <w:jc w:val="left"/>
        <w:rPr>
          <w:rFonts w:ascii="Times New Roman" w:hAnsi="Times New Roman"/>
          <w:sz w:val="20"/>
        </w:rPr>
      </w:pPr>
      <w:r>
        <w:rPr>
          <w:rFonts w:ascii="Times New Roman" w:hAnsi="Times New Roman"/>
          <w:sz w:val="20"/>
        </w:rPr>
        <w:t xml:space="preserve">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 </w:t>
      </w:r>
    </w:p>
    <w:p>
      <w:pPr>
        <w:pStyle w:val="TextBody"/>
        <w:bidi w:val="0"/>
        <w:spacing w:before="240" w:after="0"/>
        <w:jc w:val="left"/>
        <w:rPr>
          <w:rFonts w:ascii="Times New Roman" w:hAnsi="Times New Roman"/>
          <w:sz w:val="20"/>
        </w:rPr>
      </w:pPr>
      <w:r>
        <w:rPr>
          <w:rFonts w:ascii="Times New Roman" w:hAnsi="Times New Roman"/>
          <w:sz w:val="20"/>
        </w:rPr>
        <w:t xml:space="preserve">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June 30, 2023 and March 31, 2023, the Company has not recognized any credit losses related to this convertible loan.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calculated using significant unobservable inputs did not differ materially from the amortized cost basis for the fiscal quarters ended June 30,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Currency Exchange Contracts </w:t>
      </w:r>
    </w:p>
    <w:p>
      <w:pPr>
        <w:pStyle w:val="TextBody"/>
        <w:bidi w:val="0"/>
        <w:spacing w:before="120" w:after="0"/>
        <w:jc w:val="left"/>
        <w:rPr>
          <w:rFonts w:ascii="Times New Roman" w:hAnsi="Times New Roman"/>
          <w:sz w:val="20"/>
        </w:rPr>
      </w:pPr>
      <w:r>
        <w:rPr>
          <w:rFonts w:ascii="Times New Roman" w:hAnsi="Times New Roman"/>
          <w:sz w:val="20"/>
        </w:rPr>
        <w:t xml:space="preserve">For currency exchange contracts, these contracts are valued at the present value of future cash flows based on forward exchange rates at the balance sheet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had the following share-based payment arrangements during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Share UnitsThe Arm Limited All Employee Plan 2019 (2019 AEP)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2019 AEP, for the fiscal quarters ended June 30, 2023, and 2022, the Company recognized $80.2 million and $4.6 million of share-based compensation cost, respectively, and $14.5 million and $0.8 million of tax benefit associated with these awards, respectively, As of June 30, 2023 and March 31, 2023, $194.4 million and $114.2 million was recognized as a liability in the non-current portion of accrued compensation and share-based compensation on the Condensed Consolidated Balance Sheets, respectively. As of June 30, 2023, there was $225.5 million of total unrecognized compensation cost related to awards issued under the 2019 AEP expected to be recognized over a weighted-average period of 2.7 years.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starting from May 2022 through June 2022, the Companys remuneration committee modified the terms of the 2019 AEP to accelerate the vesting for approximately 435 employees affected by restructuring activities initiated in the year ended March 31, 2022. The affected participants of the plan were provided the option to i) settle all unvested RSUs for a cash payment equivalent to the product of (a) a fixed amount as determined by the remuneration committee (b) 50% of the number of RSUs held by the participant, or ii) retain the RSUs until they become vested pursuant to the original vesting terms. The Company accounted for this acceleration as a modification of vesting in connection with a settlement which resulted in the recognition of incremental share-based compensation cost. For the fiscal quarter ended June 30, 2022, the Company recognized incremental share-based compensation cost of $11.8 million related to the cash receipt option and $2.2 million related to the RSUs retention option,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identifies the RSU activity under the 2019 AEP for the fiscal quarter ended June 30,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23"/>
        <w:gridCol w:w="250"/>
        <w:gridCol w:w="60"/>
        <w:gridCol w:w="1150"/>
        <w:gridCol w:w="60"/>
        <w:gridCol w:w="250"/>
        <w:gridCol w:w="274"/>
        <w:gridCol w:w="1146"/>
        <w:gridCol w:w="60"/>
        <w:gridCol w:w="250"/>
        <w:gridCol w:w="284"/>
        <w:gridCol w:w="801"/>
        <w:gridCol w:w="64"/>
      </w:tblGrid>
      <w:tr>
        <w:trPr/>
        <w:tc>
          <w:tcPr>
            <w:tcW w:w="3923"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RSU amounts)</w:t>
            </w:r>
          </w:p>
        </w:tc>
        <w:tc>
          <w:tcPr>
            <w:tcW w:w="250"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RSUs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w:t>
              <w:br/>
              <w:t>RSU</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Fair</w:t>
              <w:br/>
              <w:t>Value</w:t>
            </w:r>
          </w:p>
        </w:tc>
        <w:tc>
          <w:tcPr>
            <w:tcW w:w="64" w:type="dxa"/>
            <w:tcBorders/>
            <w:vAlign w:val="bottom"/>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2023</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11,601,185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23.33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271</w:t>
            </w:r>
          </w:p>
        </w:tc>
        <w:tc>
          <w:tcPr>
            <w:tcW w:w="64" w:type="dxa"/>
            <w:tcBorders/>
            <w:shd w:fill="CCEEFF" w:val="clear"/>
            <w:vAlign w:val="bottom"/>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107,637</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23"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1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June 30, 2023</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11,493,548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36.53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420</w:t>
            </w:r>
          </w:p>
        </w:tc>
        <w:tc>
          <w:tcPr>
            <w:tcW w:w="64" w:type="dxa"/>
            <w:tcBorders/>
            <w:shd w:fill="CCEEFF" w:val="clear"/>
            <w:vAlign w:val="bottom"/>
          </w:tcPr>
          <w:p>
            <w:pPr>
              <w:pStyle w:val="TableContents"/>
              <w:bidi w:val="0"/>
              <w:spacing w:before="0" w:after="283"/>
              <w:jc w:val="left"/>
              <w:rPr/>
            </w:pPr>
            <w:r>
              <w:rPr/>
              <w:t> </w:t>
            </w:r>
          </w:p>
        </w:tc>
      </w:tr>
      <w:tr>
        <w:trPr/>
        <w:tc>
          <w:tcPr>
            <w:tcW w:w="3923"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1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Expected to vest as of June 30, 2023</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11,493,548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36.53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420</w:t>
            </w:r>
          </w:p>
        </w:tc>
        <w:tc>
          <w:tcPr>
            <w:tcW w:w="64" w:type="dxa"/>
            <w:tcBorders/>
            <w:vAlign w:val="bottom"/>
          </w:tcPr>
          <w:p>
            <w:pPr>
              <w:pStyle w:val="TableContents"/>
              <w:bidi w:val="0"/>
              <w:spacing w:before="0" w:after="283"/>
              <w:jc w:val="left"/>
              <w:rPr/>
            </w:pPr>
            <w:r>
              <w:rPr/>
              <w:t> </w:t>
            </w:r>
          </w:p>
        </w:tc>
      </w:tr>
      <w:tr>
        <w:trPr/>
        <w:tc>
          <w:tcPr>
            <w:tcW w:w="3923"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1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fiscal quarter ended June 30, 2022, liability-classified share-based awards paid totaled $15.9 million related to the RSUs that had vesting conditions accelerated pursuant to restructuring activities, of which $11.8 million of share-based compensation was recognized in the fiscal quarter ended June 30, 2022. For the fiscal quarters June 30, 2023 and 2022, the Company did not have any payments arising from normal course vesting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Share UnitsExecutive IPO Plan (2019 EIP)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quarters ended June 30, 2023 and 2022, $0.8 million and $(0.6) million of share-based compensation cost (credit) was recognized in connection with awards issued under the 2019 EIP. The share-based compensation credit for the fiscal quarter ended June 30, 2022 was attributable to executive departures. For the fiscal quarters ended June 30, 2023 and 2022, the tax benefit and expense recorded was $0.1 million and $0.1 million, respectively. As of June 30, 2023 and March 31, 2023, $4.4 million and $3.6 million, was recognized in the non-current portion of accrued compensation and share-based compensation on the Condensed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Balance Sheets, respectively. As of June 30, 2023, there was $3.7 million of total unrecognized compensation expense related to liability-classified RSUs under the 2019 EIP expected to be recognized over a weighted average period of 2.7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identifies the RSU activity under the 2019 EIP for the fiscal quarter ended June 30,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88"/>
        <w:gridCol w:w="232"/>
        <w:gridCol w:w="78"/>
        <w:gridCol w:w="1053"/>
        <w:gridCol w:w="60"/>
        <w:gridCol w:w="232"/>
        <w:gridCol w:w="308"/>
        <w:gridCol w:w="1235"/>
        <w:gridCol w:w="60"/>
        <w:gridCol w:w="231"/>
        <w:gridCol w:w="864"/>
        <w:gridCol w:w="865"/>
        <w:gridCol w:w="66"/>
      </w:tblGrid>
      <w:tr>
        <w:trPr/>
        <w:tc>
          <w:tcPr>
            <w:tcW w:w="3288"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2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RSU amounts)</w:t>
            </w:r>
          </w:p>
        </w:tc>
        <w:tc>
          <w:tcPr>
            <w:tcW w:w="232"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RSUs</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Fair Value Per</w:t>
            </w:r>
            <w:r>
              <w:rPr/>
              <w:br/>
            </w:r>
            <w:r>
              <w:rPr>
                <w:b/>
              </w:rPr>
              <w:t>RSU</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Fair Value</w:t>
            </w:r>
          </w:p>
        </w:tc>
        <w:tc>
          <w:tcPr>
            <w:tcW w:w="66" w:type="dxa"/>
            <w:tcBorders/>
            <w:vAlign w:val="bottom"/>
          </w:tcPr>
          <w:p>
            <w:pPr>
              <w:pStyle w:val="TableContents"/>
              <w:bidi w:val="0"/>
              <w:spacing w:before="0" w:after="283"/>
              <w:jc w:val="left"/>
              <w:rPr/>
            </w:pPr>
            <w:r>
              <w:rPr/>
              <w:t> </w:t>
            </w:r>
          </w:p>
        </w:tc>
      </w:tr>
      <w:tr>
        <w:trPr/>
        <w:tc>
          <w:tcPr>
            <w:tcW w:w="3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2023</w:t>
            </w:r>
          </w:p>
        </w:tc>
        <w:tc>
          <w:tcPr>
            <w:tcW w:w="23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192,999</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37.43</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7</w:t>
            </w:r>
          </w:p>
        </w:tc>
        <w:tc>
          <w:tcPr>
            <w:tcW w:w="66" w:type="dxa"/>
            <w:tcBorders/>
            <w:shd w:fill="CCEEFF" w:val="clear"/>
            <w:vAlign w:val="bottom"/>
          </w:tcPr>
          <w:p>
            <w:pPr>
              <w:pStyle w:val="TableContents"/>
              <w:bidi w:val="0"/>
              <w:spacing w:before="0" w:after="283"/>
              <w:jc w:val="left"/>
              <w:rPr/>
            </w:pPr>
            <w:r>
              <w:rPr/>
              <w:t> </w:t>
            </w:r>
          </w:p>
        </w:tc>
      </w:tr>
      <w:tr>
        <w:trPr/>
        <w:tc>
          <w:tcPr>
            <w:tcW w:w="328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3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288"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288"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June 30, 2023</w:t>
            </w:r>
          </w:p>
        </w:tc>
        <w:tc>
          <w:tcPr>
            <w:tcW w:w="23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192,999</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42.12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8</w:t>
            </w:r>
          </w:p>
        </w:tc>
        <w:tc>
          <w:tcPr>
            <w:tcW w:w="66" w:type="dxa"/>
            <w:tcBorders/>
            <w:shd w:fill="CCEEFF" w:val="clear"/>
            <w:vAlign w:val="bottom"/>
          </w:tcPr>
          <w:p>
            <w:pPr>
              <w:pStyle w:val="TableContents"/>
              <w:bidi w:val="0"/>
              <w:spacing w:before="0" w:after="283"/>
              <w:jc w:val="left"/>
              <w:rPr/>
            </w:pPr>
            <w:r>
              <w:rPr/>
              <w:t> </w:t>
            </w:r>
          </w:p>
        </w:tc>
      </w:tr>
      <w:tr>
        <w:trPr/>
        <w:tc>
          <w:tcPr>
            <w:tcW w:w="3288"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288" w:type="dxa"/>
            <w:tcBorders/>
          </w:tcPr>
          <w:p>
            <w:pPr>
              <w:pStyle w:val="TableContents"/>
              <w:bidi w:val="0"/>
              <w:spacing w:before="0" w:after="0"/>
              <w:jc w:val="left"/>
              <w:rPr>
                <w:rFonts w:ascii="Times New Roman" w:hAnsi="Times New Roman"/>
                <w:sz w:val="20"/>
              </w:rPr>
            </w:pPr>
            <w:r>
              <w:rPr>
                <w:rFonts w:ascii="Times New Roman" w:hAnsi="Times New Roman"/>
                <w:sz w:val="20"/>
              </w:rPr>
              <w:t>Expected to vest as of June 30, 2023</w:t>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192,999</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42.12</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left"/>
              <w:rPr/>
            </w:pPr>
            <w:r>
              <w:rPr/>
              <w:t>$</w:t>
            </w:r>
          </w:p>
        </w:tc>
        <w:tc>
          <w:tcPr>
            <w:tcW w:w="865" w:type="dxa"/>
            <w:tcBorders/>
            <w:vAlign w:val="bottom"/>
          </w:tcPr>
          <w:p>
            <w:pPr>
              <w:pStyle w:val="TableContents"/>
              <w:bidi w:val="0"/>
              <w:spacing w:before="0" w:after="283"/>
              <w:jc w:val="right"/>
              <w:rPr/>
            </w:pPr>
            <w:r>
              <w:rPr/>
              <w:t>8</w:t>
            </w:r>
          </w:p>
        </w:tc>
        <w:tc>
          <w:tcPr>
            <w:tcW w:w="66" w:type="dxa"/>
            <w:tcBorders/>
            <w:vAlign w:val="bottom"/>
          </w:tcPr>
          <w:p>
            <w:pPr>
              <w:pStyle w:val="TableContents"/>
              <w:bidi w:val="0"/>
              <w:spacing w:before="0" w:after="283"/>
              <w:jc w:val="left"/>
              <w:rPr/>
            </w:pPr>
            <w:r>
              <w:rPr/>
              <w:t> </w:t>
            </w:r>
          </w:p>
        </w:tc>
      </w:tr>
      <w:tr>
        <w:trPr/>
        <w:tc>
          <w:tcPr>
            <w:tcW w:w="3288"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did not have any payments for liability-classified share-based awards for the fiscal quarter ended June 30, 2023. As of June 30, 2023 and March 31, 2023, none of the RSUs under the 2019 EIP have vested.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Phantom Share Scheme (Cash-Settled)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and March 31, 2023, there were no Phantom Shares outstanding. The Company recognized a credit for share-based compensation cost of $0.3 million in connection with the Phantom Shares for the fiscal quarter ended June 30, 2022, which was attributable to executive departures. There was no tax benefit or expense recorded for the Phantom Shares for the fiscal quarter ended June 30, 2022. As of March 31, 2023, $1.1 million was recognized in accrued compensation and benefits on the Condensed Consolidated Balance Sheets. For the fiscal quarter ended June 30, 2023, the Company paid $0.9 million for the vested Phantom Shares. The variance between the amount accrued and paid of $1.1 million and $0.9 million, respectively, was driven by foreign exchange differences as participants were paid in foreign denominated currencies. As of June 30, 2023, the Company did not have any unpaid amounts in relation to the vested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Share Units  2022 Arm Limited RSU Award Plan (2022 RSU Plan) </w:t>
      </w:r>
    </w:p>
    <w:p>
      <w:pPr>
        <w:pStyle w:val="TextBody"/>
        <w:bidi w:val="0"/>
        <w:spacing w:before="120" w:after="0"/>
        <w:jc w:val="left"/>
        <w:rPr>
          <w:rFonts w:ascii="Times New Roman" w:hAnsi="Times New Roman"/>
          <w:sz w:val="20"/>
        </w:rPr>
      </w:pPr>
      <w:r>
        <w:rPr>
          <w:rFonts w:ascii="Times New Roman" w:hAnsi="Times New Roman"/>
          <w:sz w:val="20"/>
        </w:rPr>
        <w:t xml:space="preserve">In June 2022, the 2022 RSU Plan was established to grant RSUs to all employees of the Company (All Employee Awards). The RSUs vest in tranches, require continuous service through the vesting date and are subject to graded vesting over time. The 2022 RSU Plan allows for either cash or share settlement of the RSUs by tranche at the discretion of the Companys remuneration committee. At the time of issuance, the Company intended to settle the RSUs in shares at the vesting date and such RSUs were accounted for as equity-classified awards.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2022, the Company determined that it would settle the first tranche of the RSUs outstanding that vested in March and May 2023 by paying cash instead of issuing equity. Other than the change in intent regarding form of settlement, no other terms or conditions regarding the RSUs were changed. The Company accounted for this change as a modification in accordance with ASC 718, </w:t>
      </w:r>
      <w:r>
        <w:rPr>
          <w:rFonts w:ascii="Times New Roman" w:hAnsi="Times New Roman"/>
          <w:i/>
          <w:sz w:val="20"/>
        </w:rPr>
        <w:t>CompensationStock Compensation</w:t>
      </w:r>
      <w:r>
        <w:rPr>
          <w:rFonts w:ascii="Times New Roman" w:hAnsi="Times New Roman"/>
          <w:sz w:val="20"/>
        </w:rPr>
        <w:t xml:space="preserve">, and reclassified the affected portion of the award from equity to liability and will remeasure the award at fair value at each reporting period through the date of settlement with consideration that total compensation cost cannot be less than the grant-date fair-value-based measure of the original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identifies the RSU activity under the 2022 RSU Plan for the fiscal quarter ended June 30,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16"/>
        <w:gridCol w:w="262"/>
        <w:gridCol w:w="91"/>
        <w:gridCol w:w="1688"/>
        <w:gridCol w:w="60"/>
        <w:gridCol w:w="262"/>
        <w:gridCol w:w="382"/>
        <w:gridCol w:w="1529"/>
        <w:gridCol w:w="65"/>
      </w:tblGrid>
      <w:tr>
        <w:trPr/>
        <w:tc>
          <w:tcPr>
            <w:tcW w:w="3416"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RSU amounts)</w:t>
            </w:r>
          </w:p>
        </w:tc>
        <w:tc>
          <w:tcPr>
            <w:tcW w:w="262" w:type="dxa"/>
            <w:tcBorders/>
            <w:vAlign w:val="bottom"/>
          </w:tcPr>
          <w:p>
            <w:pPr>
              <w:pStyle w:val="TableContents"/>
              <w:bidi w:val="0"/>
              <w:spacing w:before="0" w:after="283"/>
              <w:jc w:val="left"/>
              <w:rPr/>
            </w:pPr>
            <w:r>
              <w:rPr/>
              <w:t>  </w:t>
            </w:r>
          </w:p>
        </w:tc>
        <w:tc>
          <w:tcPr>
            <w:tcW w:w="1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RSUs</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 Fair</w:t>
              <w:br/>
              <w:t>Value Per RSU</w:t>
            </w:r>
          </w:p>
        </w:tc>
        <w:tc>
          <w:tcPr>
            <w:tcW w:w="65" w:type="dxa"/>
            <w:tcBorders/>
            <w:vAlign w:val="bottom"/>
          </w:tcPr>
          <w:p>
            <w:pPr>
              <w:pStyle w:val="TableContents"/>
              <w:bidi w:val="0"/>
              <w:spacing w:before="0" w:after="283"/>
              <w:jc w:val="left"/>
              <w:rPr/>
            </w:pPr>
            <w:r>
              <w:rPr/>
              <w:t> </w:t>
            </w:r>
          </w:p>
        </w:tc>
      </w:tr>
      <w:tr>
        <w:trPr/>
        <w:tc>
          <w:tcPr>
            <w:tcW w:w="34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as of March 31, 2023</w:t>
            </w:r>
          </w:p>
        </w:tc>
        <w:tc>
          <w:tcPr>
            <w:tcW w:w="26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88" w:type="dxa"/>
            <w:tcBorders/>
            <w:shd w:fill="CCEEFF" w:val="clear"/>
            <w:vAlign w:val="bottom"/>
          </w:tcPr>
          <w:p>
            <w:pPr>
              <w:pStyle w:val="TableContents"/>
              <w:bidi w:val="0"/>
              <w:spacing w:before="0" w:after="283"/>
              <w:jc w:val="right"/>
              <w:rPr/>
            </w:pPr>
            <w:r>
              <w:rPr/>
              <w:t>11,129,734</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29" w:type="dxa"/>
            <w:tcBorders/>
            <w:shd w:fill="CCEEFF" w:val="clear"/>
            <w:vAlign w:val="bottom"/>
          </w:tcPr>
          <w:p>
            <w:pPr>
              <w:pStyle w:val="TableContents"/>
              <w:bidi w:val="0"/>
              <w:spacing w:before="0" w:after="283"/>
              <w:jc w:val="right"/>
              <w:rPr/>
            </w:pPr>
            <w:r>
              <w:rPr/>
              <w:t>35.87</w:t>
            </w:r>
          </w:p>
        </w:tc>
        <w:tc>
          <w:tcPr>
            <w:tcW w:w="65" w:type="dxa"/>
            <w:tcBorders/>
            <w:shd w:fill="CCEEFF" w:val="clear"/>
            <w:vAlign w:val="bottom"/>
          </w:tcPr>
          <w:p>
            <w:pPr>
              <w:pStyle w:val="TableContents"/>
              <w:bidi w:val="0"/>
              <w:spacing w:before="0" w:after="283"/>
              <w:jc w:val="left"/>
              <w:rPr/>
            </w:pPr>
            <w:r>
              <w:rPr/>
              <w:t> </w:t>
            </w:r>
          </w:p>
        </w:tc>
      </w:tr>
      <w:tr>
        <w:trPr/>
        <w:tc>
          <w:tcPr>
            <w:tcW w:w="34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88" w:type="dxa"/>
            <w:tcBorders/>
            <w:vAlign w:val="bottom"/>
          </w:tcPr>
          <w:p>
            <w:pPr>
              <w:pStyle w:val="TableContents"/>
              <w:bidi w:val="0"/>
              <w:spacing w:before="0" w:after="283"/>
              <w:jc w:val="right"/>
              <w:rPr/>
            </w:pPr>
            <w:r>
              <w:rPr/>
              <w:t>16,274,852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43.33</w:t>
            </w:r>
          </w:p>
        </w:tc>
        <w:tc>
          <w:tcPr>
            <w:tcW w:w="65" w:type="dxa"/>
            <w:tcBorders/>
            <w:vAlign w:val="bottom"/>
          </w:tcPr>
          <w:p>
            <w:pPr>
              <w:pStyle w:val="TableContents"/>
              <w:bidi w:val="0"/>
              <w:spacing w:before="0" w:after="283"/>
              <w:jc w:val="left"/>
              <w:rPr/>
            </w:pPr>
            <w:r>
              <w:rPr/>
              <w:t> </w:t>
            </w:r>
          </w:p>
        </w:tc>
      </w:tr>
      <w:tr>
        <w:trPr/>
        <w:tc>
          <w:tcPr>
            <w:tcW w:w="34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6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88" w:type="dxa"/>
            <w:tcBorders/>
            <w:shd w:fill="CCEEFF" w:val="clear"/>
            <w:vAlign w:val="bottom"/>
          </w:tcPr>
          <w:p>
            <w:pPr>
              <w:pStyle w:val="TableContents"/>
              <w:bidi w:val="0"/>
              <w:spacing w:before="0" w:after="283"/>
              <w:jc w:val="right"/>
              <w:rPr/>
            </w:pPr>
            <w:r>
              <w:rPr/>
              <w:t>100,154</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31.71</w:t>
            </w:r>
          </w:p>
        </w:tc>
        <w:tc>
          <w:tcPr>
            <w:tcW w:w="65" w:type="dxa"/>
            <w:tcBorders/>
            <w:shd w:fill="CCEEFF" w:val="clear"/>
            <w:vAlign w:val="bottom"/>
          </w:tcPr>
          <w:p>
            <w:pPr>
              <w:pStyle w:val="TableContents"/>
              <w:bidi w:val="0"/>
              <w:spacing w:before="0" w:after="283"/>
              <w:jc w:val="left"/>
              <w:rPr/>
            </w:pPr>
            <w:r>
              <w:rPr/>
              <w:t> </w:t>
            </w:r>
          </w:p>
        </w:tc>
      </w:tr>
      <w:tr>
        <w:trPr/>
        <w:tc>
          <w:tcPr>
            <w:tcW w:w="34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6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88" w:type="dxa"/>
            <w:tcBorders/>
            <w:vAlign w:val="bottom"/>
          </w:tcPr>
          <w:p>
            <w:pPr>
              <w:pStyle w:val="TableContents"/>
              <w:bidi w:val="0"/>
              <w:spacing w:before="0" w:after="283"/>
              <w:jc w:val="right"/>
              <w:rPr/>
            </w:pPr>
            <w:r>
              <w:rPr/>
              <w:t>239,083</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39.64</w:t>
            </w:r>
          </w:p>
        </w:tc>
        <w:tc>
          <w:tcPr>
            <w:tcW w:w="65" w:type="dxa"/>
            <w:tcBorders/>
            <w:vAlign w:val="bottom"/>
          </w:tcPr>
          <w:p>
            <w:pPr>
              <w:pStyle w:val="TableContents"/>
              <w:bidi w:val="0"/>
              <w:spacing w:before="0" w:after="283"/>
              <w:jc w:val="left"/>
              <w:rPr/>
            </w:pPr>
            <w:r>
              <w:rPr/>
              <w:t> </w:t>
            </w:r>
          </w:p>
        </w:tc>
      </w:tr>
      <w:tr>
        <w:trPr/>
        <w:tc>
          <w:tcPr>
            <w:tcW w:w="341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as of June 30, 2023</w:t>
            </w:r>
          </w:p>
        </w:tc>
        <w:tc>
          <w:tcPr>
            <w:tcW w:w="26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88" w:type="dxa"/>
            <w:tcBorders/>
            <w:shd w:fill="CCEEFF" w:val="clear"/>
            <w:vAlign w:val="bottom"/>
          </w:tcPr>
          <w:p>
            <w:pPr>
              <w:pStyle w:val="TableContents"/>
              <w:bidi w:val="0"/>
              <w:spacing w:before="0" w:after="283"/>
              <w:jc w:val="right"/>
              <w:rPr/>
            </w:pPr>
            <w:r>
              <w:rPr/>
              <w:t>27,065,349</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29" w:type="dxa"/>
            <w:tcBorders/>
            <w:shd w:fill="CCEEFF" w:val="clear"/>
            <w:vAlign w:val="bottom"/>
          </w:tcPr>
          <w:p>
            <w:pPr>
              <w:pStyle w:val="TableContents"/>
              <w:bidi w:val="0"/>
              <w:spacing w:before="0" w:after="283"/>
              <w:jc w:val="right"/>
              <w:rPr/>
            </w:pPr>
            <w:r>
              <w:rPr/>
              <w:t>40.34</w:t>
            </w:r>
          </w:p>
        </w:tc>
        <w:tc>
          <w:tcPr>
            <w:tcW w:w="65" w:type="dxa"/>
            <w:tcBorders/>
            <w:shd w:fill="CCEEFF" w:val="clear"/>
            <w:vAlign w:val="bottom"/>
          </w:tcPr>
          <w:p>
            <w:pPr>
              <w:pStyle w:val="TableContents"/>
              <w:bidi w:val="0"/>
              <w:spacing w:before="0" w:after="283"/>
              <w:jc w:val="left"/>
              <w:rPr/>
            </w:pPr>
            <w:r>
              <w:rPr/>
              <w:t> </w:t>
            </w:r>
          </w:p>
        </w:tc>
      </w:tr>
      <w:tr>
        <w:trPr/>
        <w:tc>
          <w:tcPr>
            <w:tcW w:w="341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2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Expected to vest as of June 30, 2023</w:t>
            </w:r>
          </w:p>
        </w:tc>
        <w:tc>
          <w:tcPr>
            <w:tcW w:w="26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88" w:type="dxa"/>
            <w:tcBorders/>
            <w:vAlign w:val="bottom"/>
          </w:tcPr>
          <w:p>
            <w:pPr>
              <w:pStyle w:val="TableContents"/>
              <w:bidi w:val="0"/>
              <w:spacing w:before="0" w:after="283"/>
              <w:jc w:val="right"/>
              <w:rPr/>
            </w:pPr>
            <w:r>
              <w:rPr/>
              <w:t>27,065,349</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529" w:type="dxa"/>
            <w:tcBorders/>
            <w:vAlign w:val="bottom"/>
          </w:tcPr>
          <w:p>
            <w:pPr>
              <w:pStyle w:val="TableContents"/>
              <w:bidi w:val="0"/>
              <w:spacing w:before="0" w:after="283"/>
              <w:jc w:val="right"/>
              <w:rPr/>
            </w:pPr>
            <w:r>
              <w:rPr/>
              <w:t>40.34</w:t>
            </w:r>
          </w:p>
        </w:tc>
        <w:tc>
          <w:tcPr>
            <w:tcW w:w="65" w:type="dxa"/>
            <w:tcBorders/>
            <w:vAlign w:val="bottom"/>
          </w:tcPr>
          <w:p>
            <w:pPr>
              <w:pStyle w:val="TableContents"/>
              <w:bidi w:val="0"/>
              <w:spacing w:before="0" w:after="283"/>
              <w:jc w:val="left"/>
              <w:rPr/>
            </w:pPr>
            <w:r>
              <w:rPr/>
              <w:t> </w:t>
            </w:r>
          </w:p>
        </w:tc>
      </w:tr>
      <w:tr>
        <w:trPr/>
        <w:tc>
          <w:tcPr>
            <w:tcW w:w="341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2023 and March 31, 2023, the total outstanding shares related to liability-classified and expected to vest was 183,882 and 284,036 with the weighted average fair value per RSUs of $46.98 and $40.47, respectively. For the fiscal quarter ended June 30, 2023, the Company paid $232.5 million arising from the normal vesting of liability-classified share-based awards. The remaining liability-classified awards will vest in August 2023. For the fiscal quarters ended June 30, 2023 and 2022, $63.3 million and $9.5 million of share-based compensation cost was recognized in connection with RSUs, respectively. The tax benefits recorded for the fiscal quarters ended June 30, 2023 and 2022 were $11.8 and $1.3 million, respectively. As of June 30, 2023, $60.7 million and $6.8 million were recognized in additional paid-in capital and accrued compensation and benefits on the Condensed Consolidated Balance Sheets, respectively. As of March 31, 2023, the Company recognized $1.9 million and $234.8 million in additional paid-in capital and accrued compensation and benefits on the Condensed Consolidated Balance Sheets. As of June 30, 2023, there was a $1,026.4 million for total unrecognized compensation expense expected to be recognized over a weighted-average period of 2.5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Awards Granted under the 2022 RSU Plan  Executive Awards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2022, the Company issued two types of executive awards (the Annual Awards and Launch Awards) under the 2022 RSU Plan to certain of our executive officers (collectively, the Executive Awards). The Executive Awards entitle participants to a fixed amount of cash or, upon the occurrence of a change in control or an initial public offering, ordinary shares of the Company at the discretion of the remuneration committee. As of June 30, 2023, awards are expected to settle in cash at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quarter ended June 30, 2023, $13.4 million in share-based compensation cost and $2.5 million of tax benefit, was recognized in connection with the Executive Awards granted under the 2022 RSU Plan. As of June 30, 2023, $20.6 million was recognized as a liability comprising $3.3 million and $17.3 million in accrued compensation and benefits and non-current portion of accrued compensation and share-based compensation on the Condensed Consolidated Balance Sheet, respectively. As of March 31, 2023, $32.2 million was recognized as a liability comprising $18.4 million and $13.8 million in accrued compensation and benefits and non-current portion of accrued compensation and share-based compensation on the Consolidated Balance Sheets. As of June 30, 2023, there was $75.2 million of total unrecognized compensation cost related to liability-classified Executive Awards expected to be recognized over a weighted-average period of 2.2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2023, Executive Awards vested and paid was $25 million due to the normal course of vesting for liability-classified awards. The table below shows the Companys commitment for potential payments and the liability recognized as of June 30,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73"/>
        <w:gridCol w:w="424"/>
        <w:gridCol w:w="545"/>
        <w:gridCol w:w="1017"/>
        <w:gridCol w:w="60"/>
        <w:gridCol w:w="424"/>
        <w:gridCol w:w="332"/>
        <w:gridCol w:w="618"/>
        <w:gridCol w:w="62"/>
      </w:tblGrid>
      <w:tr>
        <w:trPr/>
        <w:tc>
          <w:tcPr>
            <w:tcW w:w="4273"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2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Executive Award (in millions)</w:t>
            </w:r>
          </w:p>
        </w:tc>
        <w:tc>
          <w:tcPr>
            <w:tcW w:w="424" w:type="dxa"/>
            <w:tcBorders/>
            <w:vAlign w:val="bottom"/>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Potential Fixed</w:t>
              <w:br/>
              <w:t>Monetary</w:t>
              <w:br/>
              <w:t>Amount</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Accrued</w:t>
              <w:br/>
              <w:t>Liability(1)</w:t>
            </w:r>
          </w:p>
        </w:tc>
        <w:tc>
          <w:tcPr>
            <w:tcW w:w="62"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Launch Awards</w:t>
            </w:r>
          </w:p>
        </w:tc>
        <w:tc>
          <w:tcPr>
            <w:tcW w:w="424"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18</w:t>
            </w:r>
          </w:p>
        </w:tc>
        <w:tc>
          <w:tcPr>
            <w:tcW w:w="62" w:type="dxa"/>
            <w:tcBorders/>
            <w:shd w:fill="CCEEFF" w:val="clear"/>
            <w:vAlign w:val="bottom"/>
          </w:tcPr>
          <w:p>
            <w:pPr>
              <w:pStyle w:val="TableContents"/>
              <w:bidi w:val="0"/>
              <w:spacing w:before="0" w:after="283"/>
              <w:jc w:val="left"/>
              <w:rPr/>
            </w:pPr>
            <w:r>
              <w:rPr/>
              <w:t> </w:t>
            </w:r>
          </w:p>
        </w:tc>
      </w:tr>
      <w:tr>
        <w:trPr/>
        <w:tc>
          <w:tcPr>
            <w:tcW w:w="42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Annual Awards</w:t>
            </w:r>
          </w:p>
        </w:tc>
        <w:tc>
          <w:tcPr>
            <w:tcW w:w="424"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4273"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5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4"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20</w:t>
            </w:r>
          </w:p>
        </w:tc>
        <w:tc>
          <w:tcPr>
            <w:tcW w:w="62" w:type="dxa"/>
            <w:tcBorders/>
            <w:shd w:fill="CCEEFF" w:val="clear"/>
            <w:vAlign w:val="bottom"/>
          </w:tcPr>
          <w:p>
            <w:pPr>
              <w:pStyle w:val="TableContents"/>
              <w:bidi w:val="0"/>
              <w:spacing w:before="0" w:after="283"/>
              <w:jc w:val="left"/>
              <w:rPr/>
            </w:pPr>
            <w:r>
              <w:rPr/>
              <w:t> </w:t>
            </w:r>
          </w:p>
        </w:tc>
      </w:tr>
      <w:tr>
        <w:trPr/>
        <w:tc>
          <w:tcPr>
            <w:tcW w:w="4273"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545"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amount recorded for performance-based awards that probable of achievement.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Cost </w:t>
      </w:r>
    </w:p>
    <w:p>
      <w:pPr>
        <w:pStyle w:val="TextBody"/>
        <w:bidi w:val="0"/>
        <w:spacing w:before="120" w:after="0"/>
        <w:jc w:val="left"/>
        <w:rPr>
          <w:rFonts w:ascii="Times New Roman" w:hAnsi="Times New Roman"/>
          <w:sz w:val="20"/>
        </w:rPr>
      </w:pPr>
      <w:r>
        <w:rPr>
          <w:rFonts w:ascii="Times New Roman" w:hAnsi="Times New Roman"/>
          <w:sz w:val="20"/>
        </w:rPr>
        <w:t xml:space="preserve">A summary of share-based compensation cost recognized on the Condensed Consolidated Income Statements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50"/>
        <w:gridCol w:w="572"/>
        <w:gridCol w:w="396"/>
        <w:gridCol w:w="1064"/>
        <w:gridCol w:w="168"/>
        <w:gridCol w:w="775"/>
        <w:gridCol w:w="512"/>
        <w:gridCol w:w="956"/>
        <w:gridCol w:w="62"/>
      </w:tblGrid>
      <w:tr>
        <w:trPr/>
        <w:tc>
          <w:tcPr>
            <w:tcW w:w="3250" w:type="dxa"/>
            <w:tcBorders/>
            <w:vAlign w:val="center"/>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8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62" w:type="dxa"/>
            <w:tcBorders/>
            <w:vAlign w:val="bottom"/>
          </w:tcPr>
          <w:p>
            <w:pPr>
              <w:pStyle w:val="TableContents"/>
              <w:bidi w:val="0"/>
              <w:spacing w:before="0" w:after="283"/>
              <w:jc w:val="left"/>
              <w:rPr/>
            </w:pPr>
            <w:r>
              <w:rPr/>
              <w:t> </w:t>
            </w:r>
          </w:p>
        </w:tc>
      </w:tr>
      <w:tr>
        <w:trPr/>
        <w:tc>
          <w:tcPr>
            <w:tcW w:w="32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57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68"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2" w:type="dxa"/>
            <w:tcBorders/>
            <w:vAlign w:val="bottom"/>
          </w:tcPr>
          <w:p>
            <w:pPr>
              <w:pStyle w:val="TableContents"/>
              <w:bidi w:val="0"/>
              <w:spacing w:before="0" w:after="283"/>
              <w:jc w:val="left"/>
              <w:rPr/>
            </w:pPr>
            <w:r>
              <w:rPr/>
              <w:t> </w:t>
            </w:r>
          </w:p>
        </w:tc>
      </w:tr>
      <w:tr>
        <w:trPr/>
        <w:tc>
          <w:tcPr>
            <w:tcW w:w="32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572"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6</w:t>
            </w:r>
          </w:p>
        </w:tc>
        <w:tc>
          <w:tcPr>
            <w:tcW w:w="168"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32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572"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49</w:t>
            </w:r>
          </w:p>
        </w:tc>
        <w:tc>
          <w:tcPr>
            <w:tcW w:w="168"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32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72"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103</w:t>
            </w:r>
          </w:p>
        </w:tc>
        <w:tc>
          <w:tcPr>
            <w:tcW w:w="168"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6</w:t>
            </w:r>
          </w:p>
        </w:tc>
        <w:tc>
          <w:tcPr>
            <w:tcW w:w="62" w:type="dxa"/>
            <w:tcBorders/>
            <w:shd w:fill="CCEEFF" w:val="clear"/>
            <w:vAlign w:val="bottom"/>
          </w:tcPr>
          <w:p>
            <w:pPr>
              <w:pStyle w:val="TableContents"/>
              <w:bidi w:val="0"/>
              <w:spacing w:before="0" w:after="283"/>
              <w:jc w:val="left"/>
              <w:rPr/>
            </w:pPr>
            <w:r>
              <w:rPr/>
              <w:t> </w:t>
            </w:r>
          </w:p>
        </w:tc>
      </w:tr>
      <w:tr>
        <w:trPr/>
        <w:tc>
          <w:tcPr>
            <w:tcW w:w="325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pPr>
            <w:r>
              <w:rPr/>
              <w:t>  </w:t>
            </w:r>
          </w:p>
        </w:tc>
        <w:tc>
          <w:tcPr>
            <w:tcW w:w="512"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72"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158</w:t>
            </w:r>
          </w:p>
        </w:tc>
        <w:tc>
          <w:tcPr>
            <w:tcW w:w="168"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w:t>
            </w:r>
          </w:p>
        </w:tc>
        <w:tc>
          <w:tcPr>
            <w:tcW w:w="956"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325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775" w:type="dxa"/>
            <w:tcBorders/>
            <w:vAlign w:val="bottom"/>
          </w:tcPr>
          <w:p>
            <w:pPr>
              <w:pStyle w:val="TableContents"/>
              <w:bidi w:val="0"/>
              <w:spacing w:before="0" w:after="283"/>
              <w:jc w:val="left"/>
              <w:rPr/>
            </w:pPr>
            <w:r>
              <w:rPr/>
              <w:t>  </w:t>
            </w:r>
          </w:p>
        </w:tc>
        <w:tc>
          <w:tcPr>
            <w:tcW w:w="512"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share-based compensation cost was capitalized as of June 30, 2023 and March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fiscal quarters ended June 30, 2023 and 2022, income tax expense was $22 million and $61 million, respectively. The income tax expense as a percentage of income before taxes was 17% and 21% for the fiscal quarters ended June 30,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effective tax rate decreased compared to the same period last year primarily due to a reduction in irrecoverable overseas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The effective tax rates for the fiscal quarters ended June 30, 2023 and 2022 differed from the United Kingdom statutory rate of 25% and 19%, respectively, primarily due to patent box and research and development tax credits. </w:t>
      </w:r>
    </w:p>
    <w:p>
      <w:pPr>
        <w:pStyle w:val="TextBody"/>
        <w:bidi w:val="0"/>
        <w:spacing w:before="240" w:after="0"/>
        <w:jc w:val="left"/>
        <w:rPr>
          <w:rFonts w:ascii="Times New Roman" w:hAnsi="Times New Roman"/>
          <w:sz w:val="20"/>
        </w:rPr>
      </w:pPr>
      <w:r>
        <w:rPr>
          <w:rFonts w:ascii="Times New Roman" w:hAnsi="Times New Roman"/>
          <w:sz w:val="20"/>
        </w:rPr>
        <w:t xml:space="preserve">The impact of the increase in the United Kingdom statutory rate was offset by an increase in patent box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reconciliation of basic and diluted earnings per share computations for all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33"/>
        <w:gridCol w:w="563"/>
        <w:gridCol w:w="140"/>
        <w:gridCol w:w="1405"/>
        <w:gridCol w:w="60"/>
        <w:gridCol w:w="563"/>
        <w:gridCol w:w="140"/>
        <w:gridCol w:w="1405"/>
        <w:gridCol w:w="63"/>
      </w:tblGrid>
      <w:tr>
        <w:trPr/>
        <w:tc>
          <w:tcPr>
            <w:tcW w:w="4233"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33"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7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Quarter Ended June 30,</w:t>
            </w:r>
          </w:p>
        </w:tc>
        <w:tc>
          <w:tcPr>
            <w:tcW w:w="63" w:type="dxa"/>
            <w:tcBorders/>
            <w:vAlign w:val="bottom"/>
          </w:tcPr>
          <w:p>
            <w:pPr>
              <w:pStyle w:val="TableContents"/>
              <w:bidi w:val="0"/>
              <w:spacing w:before="0" w:after="283"/>
              <w:jc w:val="left"/>
              <w:rPr/>
            </w:pPr>
            <w:r>
              <w:rPr/>
              <w:t> </w:t>
            </w:r>
          </w:p>
        </w:tc>
      </w:tr>
      <w:tr>
        <w:trPr/>
        <w:tc>
          <w:tcPr>
            <w:tcW w:w="42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 except per share amounts)</w:t>
            </w:r>
          </w:p>
        </w:tc>
        <w:tc>
          <w:tcPr>
            <w:tcW w:w="563"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42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225</w:t>
            </w:r>
          </w:p>
        </w:tc>
        <w:tc>
          <w:tcPr>
            <w:tcW w:w="63" w:type="dxa"/>
            <w:tcBorders/>
            <w:shd w:fill="CCEEFF" w:val="clear"/>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 used to calculate basic net income (loss) per share</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1,025,234,000</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1,025,234,000</w:t>
            </w:r>
          </w:p>
        </w:tc>
        <w:tc>
          <w:tcPr>
            <w:tcW w:w="63" w:type="dxa"/>
            <w:tcBorders/>
            <w:vAlign w:val="bottom"/>
          </w:tcPr>
          <w:p>
            <w:pPr>
              <w:pStyle w:val="TableContents"/>
              <w:bidi w:val="0"/>
              <w:spacing w:before="0" w:after="283"/>
              <w:jc w:val="left"/>
              <w:rPr/>
            </w:pPr>
            <w:r>
              <w:rPr/>
              <w:t> </w:t>
            </w:r>
          </w:p>
        </w:tc>
      </w:tr>
      <w:tr>
        <w:trPr/>
        <w:tc>
          <w:tcPr>
            <w:tcW w:w="42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Equity-classified awards</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3,384,467</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668,205</w:t>
            </w:r>
          </w:p>
        </w:tc>
        <w:tc>
          <w:tcPr>
            <w:tcW w:w="63" w:type="dxa"/>
            <w:tcBorders/>
            <w:shd w:fill="CCEEFF" w:val="clear"/>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 used to calculate diluted net income (loss) per share</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1,028,618,467</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1,025,902,205</w:t>
            </w:r>
          </w:p>
        </w:tc>
        <w:tc>
          <w:tcPr>
            <w:tcW w:w="63" w:type="dxa"/>
            <w:tcBorders/>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per ordinary share - basic</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0.10</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0.22</w:t>
            </w:r>
          </w:p>
        </w:tc>
        <w:tc>
          <w:tcPr>
            <w:tcW w:w="63" w:type="dxa"/>
            <w:tcBorders/>
            <w:shd w:fill="CCEEFF" w:val="clear"/>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per ordinary share - diluted</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0.10</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0.22</w:t>
            </w:r>
          </w:p>
        </w:tc>
        <w:tc>
          <w:tcPr>
            <w:tcW w:w="63" w:type="dxa"/>
            <w:tcBorders/>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that would have been anti-dilutive were excluded from the computation of diluted earnings per share for all periods presented. The following securities were not included in the computation of diluted shares outstanding primarily because for all reporting periods a change in control or an initial public offering was not probable to occur, and therefore, settlement of securities is expected in cash upon the passage of time.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11"/>
        <w:gridCol w:w="236"/>
        <w:gridCol w:w="60"/>
        <w:gridCol w:w="1114"/>
        <w:gridCol w:w="60"/>
        <w:gridCol w:w="236"/>
        <w:gridCol w:w="60"/>
        <w:gridCol w:w="1114"/>
        <w:gridCol w:w="64"/>
      </w:tblGrid>
      <w:tr>
        <w:trPr/>
        <w:tc>
          <w:tcPr>
            <w:tcW w:w="481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1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6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4" w:type="dxa"/>
            <w:tcBorders/>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48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stock units (1)</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11,143,275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12,331,875</w:t>
            </w:r>
          </w:p>
        </w:tc>
        <w:tc>
          <w:tcPr>
            <w:tcW w:w="64" w:type="dxa"/>
            <w:tcBorders/>
            <w:shd w:fill="CCEEFF" w:val="clear"/>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Executive awards (2)</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441,457</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11,584,732</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12,331,875</w:t>
            </w:r>
          </w:p>
        </w:tc>
        <w:tc>
          <w:tcPr>
            <w:tcW w:w="64" w:type="dxa"/>
            <w:tcBorders/>
            <w:shd w:fill="CCEEFF" w:val="clear"/>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RSUs exclude certain awards which require cash settlement and do not allow for share settlement.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Awards include amounts associated with the Annual Awards and Launch Awards. As these awards require settlement based on a fixed monetary amount, the quantity of securities was calculated based on the total fixed monetary amount divided by the closing average market price of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party to litigation and other legal proceedings in the ordinary course of business. While the results of any litigation or other legal proceedings are uncertain, management does not believe the ultimate resolution of any pending legal matters is likely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$40.0 million loss contingency related to an offer made by the Company in respect of an ongoing contract dispute between the Company and a non-top five customer. That particular customers claims arise from a contract dating to a very early period in the Companys history and that contract is both non-standard and significantly dissimilar from other customers contracts. The Company took into consideration advice received from experts in the specific matter and current status of settlement negotiations, which may be ongoing. A complaint has not been filed by either party, and the Company and the customer are involved in ongoing negotiations to resolve the dispute outside of court. The Company can provide no assurances as to the ultimate resolution of this dispute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it will ultimately be litigated or to the ultimate costs that will be associated with a resolution. As of June 30, 2023, the loss contingency remained unsettled with no change in the Companys estimate of the loss contingency. No other material amounts related to litigation settlements were recognized in the fiscal quarters ended June 30,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Kronos Guarantee </w:t>
      </w:r>
    </w:p>
    <w:p>
      <w:pPr>
        <w:pStyle w:val="TextBody"/>
        <w:bidi w:val="0"/>
        <w:spacing w:before="120" w:after="0"/>
        <w:jc w:val="left"/>
        <w:rPr>
          <w:rFonts w:ascii="Times New Roman" w:hAnsi="Times New Roman"/>
          <w:sz w:val="20"/>
        </w:rPr>
      </w:pPr>
      <w:r>
        <w:rPr>
          <w:rFonts w:ascii="Times New Roman" w:hAnsi="Times New Roman"/>
          <w:sz w:val="20"/>
        </w:rPr>
        <w:t xml:space="preserve">In March 2022, a wholly owned United Kingdom subsidiary of SoftBank Group, Kronos I (UK) Limited (Kronos), was created for the purpose of SoftBank Group arranging a facility agreement (the Facility Agreement) with J.P. Morgan SE as Facility Agent to be secured by its equity interest in the Company. SoftBank Group pledged its ownership interest in the Company by transferring such interest to an entity that sits between Kronos and the Company, and SoftBank Group has no further obligation under the Facility Agreement. The Company is in compliance with all applicable operating and financial covenants pursuant to the Facility Agreement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Under the Facility Agreement, the lenders initially were committed to make up to $8.0 billion of funds available to Kronos under a Bridge Facility and Term Facility (together with the Bridge Facility, the Facility). In March 2022, the Term Facility was funded for $7.1 billion and the Bridge Facility was funded for $0.9 billion. </w:t>
      </w:r>
    </w:p>
    <w:p>
      <w:pPr>
        <w:pStyle w:val="TextBody"/>
        <w:bidi w:val="0"/>
        <w:spacing w:before="240" w:after="0"/>
        <w:jc w:val="left"/>
        <w:rPr>
          <w:rFonts w:ascii="Times New Roman" w:hAnsi="Times New Roman"/>
          <w:sz w:val="20"/>
        </w:rPr>
      </w:pPr>
      <w:r>
        <w:rPr>
          <w:rFonts w:ascii="Times New Roman" w:hAnsi="Times New Roman"/>
          <w:sz w:val="20"/>
        </w:rPr>
        <w:t xml:space="preserve">In June 2022, an amendment was executed which expanded the total commitment of the Term Facility to $8.5 billion via an additional term facility of $1.4 billion, $0.9 billion of which was used to repay the Bridge Facility in full with the remaining $0.5 billion representing incremental debt. The Term Facility matures on the earlier of two years after Kronos draws upon the facility or three months after the effective date of a public listing of the Companys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Beyond the pledge of the interest in the Company as collateral for the Facility, in March 2022, the Company entered into the Arm Undertaking (the Undertaking) to confirm and agree to comply with certain terms of the Facility Agreement (including operational restrictions) and a springing guarantee and indemnity agreement (the Guarantee) with J.P. Morgan SE. The Guarantee commences upon an Arm Guarantee Trigger Event, which includes a public listing of the Companys ordinary shares not occurring within 18 months of the closing date of the Facility or any public announcement or notice to lenders that a listing will not be undertaken and failure by the Company or its subsidiaries to comply with the obligations under the Undertaking. Until an Arm Guarantee Trigger Event occurs, the Company is not obligated to perform or make payment on the obligations of Kronos. </w:t>
      </w:r>
    </w:p>
    <w:p>
      <w:pPr>
        <w:pStyle w:val="TextBody"/>
        <w:bidi w:val="0"/>
        <w:spacing w:before="240" w:after="0"/>
        <w:jc w:val="left"/>
        <w:rPr>
          <w:rFonts w:ascii="Times New Roman" w:hAnsi="Times New Roman"/>
          <w:sz w:val="20"/>
        </w:rPr>
      </w:pPr>
      <w:r>
        <w:rPr>
          <w:rFonts w:ascii="Times New Roman" w:hAnsi="Times New Roman"/>
          <w:sz w:val="20"/>
        </w:rPr>
        <w:t xml:space="preserve">Once an Arm Guarantee Trigger Event has occurred, the Company guarantees all overdue payments under the Facility Agreement. The total commitment is $8.5 billion and would only become a potential obligation to the Company if Kronos were to default on any such obligation, as Kronos remains the primary obligor under the Facility Agreement even after an Arm Guarantee Trigger Event. Upon default, the lenders can satisfy their claim either through the collateral of Kronos interest in the Company or through the Company servicing the debt and meeting payment obligations pursuant to the Guarantee. SoftBank Group as the owner of Kronos may avoid default by restructuring the Facility Agreement, or otherwise monetizing the collateral for the necessary liquidity to meet payment obligations under the Facility Agreement. The Company believes that the likelihood of assuming the debt obligations under the Guarantee is remote due to Kronos significant collateralization of the obligations under the Facility Agreement and that SoftBank Group will avoid a default by Kronos for which the obligations would become enforceable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the Companys potential obligation is an issued Guarantee to the lenders for obligations of Kronos, an entity under common control, the Company is not required to recognize the Guarantee.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Arduino Guarantee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guarantor for a $5.4 million credit facility available to Arduino. The guaranty expires in January 2024. As of June 30, 2023 and March 31, 2023, no claims have been made against the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Arm China and Acetone Limited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restructuring of its direct investment in Arm Technology (China) Co. Limited (Arm China) in the fiscal year ended March 31, 2022, the Company has a 10% non-voting ownership interest in Acetone Limited, whose primary asset is a 48.18% interest in Arm China. The Company has no direct material transactions with Acetone Limited.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quarters ended June 30, 2023 and 2022, the Company recognized revenue of $138.9 million and $165.6 million, respectively recognized expenses of $16.1 million and $13.2 million, respectively under a service share arrangement with Arm China. The Company leases certain assets to Arm China and rental income was immaterial for all periods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 Company had a net receivable of $280.3 million ($298.0 million receivable less $17.7 million payable) from Arm China. As of June 30, 2023, the Company had contract liabilities of $136.6 million relating to Arm China. As of March 31, 2023, the Company had a net receivable of $386.9 million ($400.7 million receivable less $13.9 million payable) from Arm China. As of March 31, 2023, the Company had contract liabilities of $103.4 million. </w:t>
      </w:r>
    </w:p>
    <w:p>
      <w:pPr>
        <w:pStyle w:val="TextBody"/>
        <w:bidi w:val="0"/>
        <w:spacing w:before="240" w:after="0"/>
        <w:jc w:val="left"/>
        <w:rPr>
          <w:rFonts w:ascii="Times New Roman" w:hAnsi="Times New Roman"/>
          <w:sz w:val="20"/>
        </w:rPr>
      </w:pPr>
      <w:r>
        <w:rPr>
          <w:rFonts w:ascii="Times New Roman" w:hAnsi="Times New Roman"/>
          <w:sz w:val="20"/>
        </w:rPr>
        <w:t xml:space="preserve">See Note 3, Equity Investments, for discussion of the impact of Acetone Limited on the Companys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Entities Related by Virtue of Common Control in SoftBank Group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had other revenue and expense transactions, along with receivable and balances with other entities by virtue of common control in SoftBank Group. For the fiscal quarters ended June 30, 2023 and 2022, the Company recognized revenue of $0.2 million and $0.4 million, respectively. As of June 30, 2023, the Company had accounts receivable, other receivables and contract liabilities of $0.3 million, $12.0 million and $1.6 million, respectively. As of March 31, 2023, the Company had accounts receivable, other receivables and contract liabilities of $0.5 million, $12.0 million and $1.6 million, respectively. The Company also had immaterial lessee leases with a certain related party by virtue of common control in SoftBank Group.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SoftBank Group Facility </w:t>
      </w:r>
    </w:p>
    <w:p>
      <w:pPr>
        <w:pStyle w:val="TextBody"/>
        <w:bidi w:val="0"/>
        <w:spacing w:before="120" w:after="0"/>
        <w:jc w:val="left"/>
        <w:rPr>
          <w:rFonts w:ascii="Times New Roman" w:hAnsi="Times New Roman"/>
          <w:sz w:val="20"/>
        </w:rPr>
      </w:pPr>
      <w:r>
        <w:rPr>
          <w:rFonts w:ascii="Times New Roman" w:hAnsi="Times New Roman"/>
          <w:sz w:val="20"/>
        </w:rPr>
        <w:t xml:space="preserve">In March 2022, Kronos entered into the Facility Agreement which is secured by its interest in the Company. The Company also entered into the Undertaking to confirm and agree to comply with the terms of the Facility Agreement and a Guarantee of the obligations under the Facility Agreement owed by Kronos, an entity under common control of SoftBank Group. Under the terms of the Guarantee, upon an Arm Guarantee Trigger Event, the Guarantee springs into effect, such that any future payment default by Kronos following such date may require performance by the Company if not settled by use of the share collateral or otherwise restructured. Refer to Note 10, Commitments and Contingencies for further details on this Guarantee. The Guarantee does not spring into effect if a public listing has become effective, and if a public listing takes place after the Guarantee has become effective, the Guarantee terminates.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Equity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revenue transactions, along with receivable and contract liability balances for certain other equity investees, for which the Company has significant influence or, for investments in limited partnerships or certain limit liability companies that maintain a specific ownership account for each investor, has more than virtually no influence (i.e., at least 3% to 5% ownership). For the fiscal quarters ended June 30, 2023 and 2022, the Company recognized revenue of $1.0 million and $1.6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 Company had accounts receivable, contract assets and contract liabilities of $6.7 million, $2.7 million and $32.3 million, respectively. As of March 31, 2023, the Company had accounts receivable, contract assets and contract liabilities of $0.5 million, $8.7 million and $30.2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Linaro Limited </w:t>
      </w:r>
    </w:p>
    <w:p>
      <w:pPr>
        <w:pStyle w:val="TextBody"/>
        <w:bidi w:val="0"/>
        <w:spacing w:before="120" w:after="0"/>
        <w:jc w:val="left"/>
        <w:rPr>
          <w:rFonts w:ascii="Times New Roman" w:hAnsi="Times New Roman"/>
          <w:sz w:val="20"/>
        </w:rPr>
      </w:pPr>
      <w:r>
        <w:rPr>
          <w:rFonts w:ascii="Times New Roman" w:hAnsi="Times New Roman"/>
          <w:sz w:val="20"/>
        </w:rPr>
        <w:t xml:space="preserve">Linaro Limited (Linaro) is a not-for-profit entity for which the Company is a member and exhibits significant influence. For the fiscal quarters ended June 30, 2023 and 2022, the Company incurred subscription costs of 2.4 million and $0.0 million, respectively, from Linaro. As of June 30, 2023 and March 31, 2023, $0.1 million and $0.3 million was owed to Linaro.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the Company entered into an agreement with Linaro to sell certain net assets of the Company that meets the definition of a business in exchange for cash consideration of $4.0 million to be paid in equal annual installments over five years. As of June 30, 2023 and March 31, 2023, total purchase consideration remained unpaid.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Loans to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equity investment in Trustonic Limited was written down to zero carrying value due to recognition of the Companys share of losses. Accordingly, the Companys subsequent share of losses has been written off against the loan balance due from Trustonic Limited.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and March 31, 2023, the Company had a loan receivable of $19.2 million and $19.2 million, respectively with Arduino, a related party, which was subject to impairment considerations. The Company also has an outstanding loan receivable of $3.0 million with Cerfe Labs, Inc., a related party which was fully impaired in the fiscal year ended March 31, 2023. Refer to Note 4, Financial Instruments, for further information regarding this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certain advisory service agreements with Raine Securities LLC, a related party. For the fiscal quarters ended June 30, 2023 and 2022, the Company incurred zero and $0.6 million in expenses, respectively, for certain additional advisory services provided by Raine Securities LLC. As of June 30, 2023 and March 31, 2023 the Company had payables of zero and $2.5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Subsequent to June 30, 2023, the Company obtained board approval to commence corporate reorganization steps. This corporate reorganization is being effected solely for the purpose of reorganizing the Companys corporate structure, in which Arm Limited will become a wholly owned subsidiary of the holding company, Arm Holdings Limited. The Company has completed some of those steps, but the corporate reorganization has not been completed. </w:t>
      </w:r>
    </w:p>
    <w:p>
      <w:pPr>
        <w:pStyle w:val="TextBody"/>
        <w:bidi w:val="0"/>
        <w:spacing w:before="240" w:after="0"/>
        <w:jc w:val="left"/>
        <w:rPr>
          <w:rFonts w:ascii="Times New Roman" w:hAnsi="Times New Roman"/>
          <w:sz w:val="20"/>
        </w:rPr>
      </w:pPr>
      <w:r>
        <w:rPr>
          <w:rFonts w:ascii="Times New Roman" w:hAnsi="Times New Roman"/>
          <w:sz w:val="20"/>
        </w:rPr>
        <w:t xml:space="preserve">In August 2023, the Kronos Guarantee as described in Note 10, Commitments and Contingencies, was amended to extend the Arm Guarantee Trigger Event period in relation to a public listing of the Companys ordinary shares not occurring, from 18 months to 21 months, of the closing date of the Facility or any public announcement or notice to lenders that a listing will not be undertaken and failure by the Company or its subsidiaries to comply with the obligations under the Undertaking.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American Depositary Shares </w:t>
      </w:r>
    </w:p>
    <w:p>
      <w:pPr>
        <w:pStyle w:val="TextBody"/>
        <w:bidi w:val="0"/>
        <w:spacing w:before="0" w:after="0"/>
        <w:jc w:val="center"/>
        <w:rPr>
          <w:rFonts w:ascii="Times New Roman" w:hAnsi="Times New Roman"/>
          <w:b/>
          <w:sz w:val="32"/>
        </w:rPr>
      </w:pPr>
      <w:r>
        <w:rPr>
          <w:rFonts w:ascii="Times New Roman" w:hAnsi="Times New Roman"/>
          <w:b/>
          <w:sz w:val="32"/>
        </w:rPr>
        <w:t xml:space="preserve">(Representing                  Ordinary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10820" cy="679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0820" cy="679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4"/>
        <w:gridCol w:w="101"/>
        <w:gridCol w:w="2889"/>
        <w:gridCol w:w="101"/>
        <w:gridCol w:w="2497"/>
        <w:gridCol w:w="101"/>
        <w:gridCol w:w="2292"/>
      </w:tblGrid>
      <w:tr>
        <w:trPr/>
        <w:tc>
          <w:tcPr>
            <w:tcW w:w="22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b/>
              </w:rPr>
            </w:pPr>
            <w:r>
              <w:rPr>
                <w:b/>
              </w:rPr>
              <w:t>Barclays</w:t>
            </w:r>
          </w:p>
        </w:tc>
        <w:tc>
          <w:tcPr>
            <w:tcW w:w="101" w:type="dxa"/>
            <w:tcBorders/>
            <w:vAlign w:val="bottom"/>
          </w:tcPr>
          <w:p>
            <w:pPr>
              <w:pStyle w:val="TableContents"/>
              <w:bidi w:val="0"/>
              <w:spacing w:before="0" w:after="283"/>
              <w:jc w:val="left"/>
              <w:rPr/>
            </w:pPr>
            <w:r>
              <w:rPr/>
              <w:t> </w:t>
            </w:r>
          </w:p>
        </w:tc>
        <w:tc>
          <w:tcPr>
            <w:tcW w:w="2889"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right"/>
              <w:rPr>
                <w:b/>
              </w:rPr>
            </w:pPr>
            <w:r>
              <w:rPr>
                <w:b/>
              </w:rPr>
              <w:t>J.P. Morgan</w:t>
            </w:r>
          </w:p>
        </w:tc>
        <w:tc>
          <w:tcPr>
            <w:tcW w:w="101" w:type="dxa"/>
            <w:tcBorders/>
            <w:vAlign w:val="bottom"/>
          </w:tcPr>
          <w:p>
            <w:pPr>
              <w:pStyle w:val="TableContents"/>
              <w:bidi w:val="0"/>
              <w:spacing w:before="0" w:after="283"/>
              <w:jc w:val="left"/>
              <w:rPr/>
            </w:pPr>
            <w:r>
              <w:rPr/>
              <w:t> </w:t>
            </w:r>
          </w:p>
        </w:tc>
        <w:tc>
          <w:tcPr>
            <w:tcW w:w="2292" w:type="dxa"/>
            <w:tcBorders/>
          </w:tcPr>
          <w:p>
            <w:pPr>
              <w:pStyle w:val="TableContents"/>
              <w:bidi w:val="0"/>
              <w:spacing w:before="0" w:after="283"/>
              <w:jc w:val="right"/>
              <w:rPr>
                <w:b/>
              </w:rPr>
            </w:pPr>
            <w:r>
              <w:rPr>
                <w:b/>
              </w:rPr>
              <w:t>Mizuho</w:t>
            </w:r>
          </w:p>
        </w:tc>
      </w:tr>
    </w:tbl>
    <w:p>
      <w:pPr>
        <w:pStyle w:val="TextBody"/>
        <w:bidi w:val="0"/>
        <w:spacing w:before="160" w:after="0"/>
        <w:jc w:val="center"/>
        <w:rPr>
          <w:rFonts w:ascii="Times New Roman" w:hAnsi="Times New Roman"/>
          <w:sz w:val="20"/>
        </w:rPr>
      </w:pPr>
      <w:r>
        <w:rPr>
          <w:rFonts w:ascii="Times New Roman" w:hAnsi="Times New Roman"/>
          <w:i/>
          <w:sz w:val="20"/>
        </w:rPr>
        <w:t>(in alphabetical order)</w:t>
      </w:r>
      <w:r>
        <w:rPr>
          <w:rFonts w:ascii="Times New Roman" w:hAnsi="Times New Roman"/>
          <w:sz w:val="20"/>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53"/>
        <w:gridCol w:w="101"/>
        <w:gridCol w:w="2524"/>
        <w:gridCol w:w="101"/>
        <w:gridCol w:w="2601"/>
        <w:gridCol w:w="101"/>
        <w:gridCol w:w="2424"/>
      </w:tblGrid>
      <w:tr>
        <w:trPr/>
        <w:tc>
          <w:tcPr>
            <w:tcW w:w="23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b/>
              </w:rPr>
            </w:pPr>
            <w:r>
              <w:rPr>
                <w:b/>
              </w:rPr>
              <w:t>BofA Securities</w:t>
            </w:r>
          </w:p>
        </w:tc>
        <w:tc>
          <w:tcPr>
            <w:tcW w:w="101" w:type="dxa"/>
            <w:tcBorders/>
            <w:vAlign w:val="bottom"/>
          </w:tcPr>
          <w:p>
            <w:pPr>
              <w:pStyle w:val="TableContents"/>
              <w:bidi w:val="0"/>
              <w:spacing w:before="0" w:after="283"/>
              <w:jc w:val="left"/>
              <w:rPr/>
            </w:pPr>
            <w:r>
              <w:rPr/>
              <w:t> </w:t>
            </w:r>
          </w:p>
        </w:tc>
        <w:tc>
          <w:tcPr>
            <w:tcW w:w="2524" w:type="dxa"/>
            <w:tcBorders/>
          </w:tcPr>
          <w:p>
            <w:pPr>
              <w:pStyle w:val="TableContents"/>
              <w:bidi w:val="0"/>
              <w:spacing w:before="0" w:after="283"/>
              <w:jc w:val="center"/>
              <w:rPr>
                <w:b/>
              </w:rPr>
            </w:pPr>
            <w:r>
              <w:rPr>
                <w:b/>
              </w:rPr>
              <w:t>Citigroup</w:t>
            </w:r>
          </w:p>
        </w:tc>
        <w:tc>
          <w:tcPr>
            <w:tcW w:w="101" w:type="dxa"/>
            <w:tcBorders/>
            <w:vAlign w:val="bottom"/>
          </w:tcPr>
          <w:p>
            <w:pPr>
              <w:pStyle w:val="TableContents"/>
              <w:bidi w:val="0"/>
              <w:spacing w:before="0" w:after="283"/>
              <w:jc w:val="left"/>
              <w:rPr/>
            </w:pPr>
            <w:r>
              <w:rPr/>
              <w:t> </w:t>
            </w:r>
          </w:p>
        </w:tc>
        <w:tc>
          <w:tcPr>
            <w:tcW w:w="2601" w:type="dxa"/>
            <w:tcBorders/>
          </w:tcPr>
          <w:p>
            <w:pPr>
              <w:pStyle w:val="TableContents"/>
              <w:bidi w:val="0"/>
              <w:spacing w:before="0" w:after="283"/>
              <w:jc w:val="center"/>
              <w:rPr>
                <w:b/>
              </w:rPr>
            </w:pPr>
            <w:r>
              <w:rPr>
                <w:b/>
              </w:rPr>
              <w:t>Deutsche Bank Securities</w:t>
            </w:r>
          </w:p>
        </w:tc>
        <w:tc>
          <w:tcPr>
            <w:tcW w:w="101" w:type="dxa"/>
            <w:tcBorders/>
            <w:vAlign w:val="bottom"/>
          </w:tcPr>
          <w:p>
            <w:pPr>
              <w:pStyle w:val="TableContents"/>
              <w:bidi w:val="0"/>
              <w:spacing w:before="0" w:after="283"/>
              <w:jc w:val="left"/>
              <w:rPr/>
            </w:pPr>
            <w:r>
              <w:rPr/>
              <w:t> </w:t>
            </w:r>
          </w:p>
        </w:tc>
        <w:tc>
          <w:tcPr>
            <w:tcW w:w="2424" w:type="dxa"/>
            <w:tcBorders/>
          </w:tcPr>
          <w:p>
            <w:pPr>
              <w:pStyle w:val="TableContents"/>
              <w:bidi w:val="0"/>
              <w:spacing w:before="0" w:after="283"/>
              <w:jc w:val="right"/>
              <w:rPr>
                <w:b/>
              </w:rPr>
            </w:pPr>
            <w:r>
              <w:rPr>
                <w:b/>
              </w:rPr>
              <w:t>Jefferies</w:t>
            </w:r>
          </w:p>
        </w:tc>
      </w:tr>
    </w:tbl>
    <w:tbl>
      <w:tblPr>
        <w:tblW w:w="5000" w:type="pct"/>
        <w:jc w:val="left"/>
        <w:tblInd w:w="0" w:type="dxa"/>
        <w:tblLayout w:type="fixed"/>
        <w:tblCellMar>
          <w:top w:w="0" w:type="dxa"/>
          <w:left w:w="0" w:type="dxa"/>
          <w:bottom w:w="0" w:type="dxa"/>
          <w:right w:w="0" w:type="dxa"/>
        </w:tblCellMar>
      </w:tblPr>
      <w:tblGrid>
        <w:gridCol w:w="1668"/>
        <w:gridCol w:w="93"/>
        <w:gridCol w:w="2330"/>
        <w:gridCol w:w="93"/>
        <w:gridCol w:w="1340"/>
        <w:gridCol w:w="93"/>
        <w:gridCol w:w="1280"/>
        <w:gridCol w:w="93"/>
        <w:gridCol w:w="1485"/>
        <w:gridCol w:w="93"/>
        <w:gridCol w:w="1637"/>
      </w:tblGrid>
      <w:tr>
        <w:trPr/>
        <w:tc>
          <w:tcPr>
            <w:tcW w:w="1668"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1668" w:type="dxa"/>
            <w:tcBorders/>
          </w:tcPr>
          <w:p>
            <w:pPr>
              <w:pStyle w:val="TableContents"/>
              <w:bidi w:val="0"/>
              <w:spacing w:before="0" w:after="283"/>
              <w:jc w:val="left"/>
              <w:rPr>
                <w:b/>
              </w:rPr>
            </w:pPr>
            <w:r>
              <w:rPr>
                <w:b/>
              </w:rPr>
              <w:t>BNP PARIBAS</w:t>
            </w:r>
          </w:p>
        </w:tc>
        <w:tc>
          <w:tcPr>
            <w:tcW w:w="93" w:type="dxa"/>
            <w:tcBorders/>
            <w:vAlign w:val="bottom"/>
          </w:tcPr>
          <w:p>
            <w:pPr>
              <w:pStyle w:val="TableContents"/>
              <w:bidi w:val="0"/>
              <w:spacing w:before="0" w:after="283"/>
              <w:jc w:val="left"/>
              <w:rPr/>
            </w:pPr>
            <w:r>
              <w:rPr/>
              <w:t> </w:t>
            </w:r>
          </w:p>
        </w:tc>
        <w:tc>
          <w:tcPr>
            <w:tcW w:w="2330" w:type="dxa"/>
            <w:tcBorders/>
          </w:tcPr>
          <w:p>
            <w:pPr>
              <w:pStyle w:val="TableContents"/>
              <w:bidi w:val="0"/>
              <w:spacing w:before="0" w:after="283"/>
              <w:jc w:val="center"/>
              <w:rPr>
                <w:b/>
              </w:rPr>
            </w:pPr>
            <w:r>
              <w:rPr>
                <w:b/>
              </w:rPr>
              <w:t>Credit Agricole CIB</w:t>
            </w:r>
          </w:p>
        </w:tc>
        <w:tc>
          <w:tcPr>
            <w:tcW w:w="9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center"/>
              <w:rPr>
                <w:b/>
              </w:rPr>
            </w:pPr>
            <w:r>
              <w:rPr>
                <w:b/>
              </w:rPr>
              <w:t>MUFG</w:t>
            </w:r>
          </w:p>
        </w:tc>
        <w:tc>
          <w:tcPr>
            <w:tcW w:w="93"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0"/>
              <w:jc w:val="center"/>
              <w:rPr>
                <w:rFonts w:ascii="Times New Roman" w:hAnsi="Times New Roman"/>
                <w:b/>
                <w:sz w:val="20"/>
              </w:rPr>
            </w:pPr>
            <w:r>
              <w:rPr>
                <w:rFonts w:ascii="Times New Roman" w:hAnsi="Times New Roman"/>
                <w:b/>
                <w:sz w:val="20"/>
              </w:rPr>
              <w:t>Natixis</w:t>
            </w:r>
          </w:p>
        </w:tc>
        <w:tc>
          <w:tcPr>
            <w:tcW w:w="93"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center"/>
              <w:rPr>
                <w:b/>
              </w:rPr>
            </w:pPr>
            <w:r>
              <w:rPr>
                <w:b/>
              </w:rPr>
              <w:t>Santander</w:t>
            </w:r>
          </w:p>
        </w:tc>
        <w:tc>
          <w:tcPr>
            <w:tcW w:w="93" w:type="dxa"/>
            <w:tcBorders/>
            <w:vAlign w:val="bottom"/>
          </w:tcPr>
          <w:p>
            <w:pPr>
              <w:pStyle w:val="TableContents"/>
              <w:bidi w:val="0"/>
              <w:spacing w:before="0" w:after="283"/>
              <w:jc w:val="left"/>
              <w:rPr/>
            </w:pPr>
            <w:r>
              <w:rPr/>
              <w:t> </w:t>
            </w:r>
          </w:p>
        </w:tc>
        <w:tc>
          <w:tcPr>
            <w:tcW w:w="1637" w:type="dxa"/>
            <w:tcBorders/>
          </w:tcPr>
          <w:p>
            <w:pPr>
              <w:pStyle w:val="TableContents"/>
              <w:bidi w:val="0"/>
              <w:spacing w:before="0" w:after="283"/>
              <w:jc w:val="right"/>
              <w:rPr>
                <w:b/>
              </w:rPr>
            </w:pPr>
            <w:r>
              <w:rPr>
                <w:b/>
              </w:rPr>
              <w:t>SMBC Nikko</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12800" w:type="dxa"/>
        <w:jc w:val="center"/>
        <w:tblInd w:w="0" w:type="dxa"/>
        <w:tblLayout w:type="fixed"/>
        <w:tblCellMar>
          <w:top w:w="0" w:type="dxa"/>
          <w:left w:w="0" w:type="dxa"/>
          <w:bottom w:w="0" w:type="dxa"/>
          <w:right w:w="0" w:type="dxa"/>
        </w:tblCellMar>
      </w:tblPr>
      <w:tblGrid>
        <w:gridCol w:w="2315"/>
        <w:gridCol w:w="60"/>
        <w:gridCol w:w="2375"/>
        <w:gridCol w:w="60"/>
        <w:gridCol w:w="935"/>
        <w:gridCol w:w="60"/>
        <w:gridCol w:w="1670"/>
        <w:gridCol w:w="60"/>
        <w:gridCol w:w="470"/>
        <w:gridCol w:w="60"/>
        <w:gridCol w:w="1595"/>
        <w:gridCol w:w="60"/>
        <w:gridCol w:w="3080"/>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2315" w:type="dxa"/>
            <w:tcBorders/>
          </w:tcPr>
          <w:p>
            <w:pPr>
              <w:pStyle w:val="TableContents"/>
              <w:bidi w:val="0"/>
              <w:spacing w:before="0" w:after="283"/>
              <w:jc w:val="left"/>
              <w:rPr>
                <w:b/>
              </w:rPr>
            </w:pPr>
            <w:r>
              <w:rPr>
                <w:b/>
              </w:rPr>
              <w:t>BMO Capital Markets</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20"/>
              <w:jc w:val="center"/>
              <w:rPr>
                <w:rFonts w:ascii="Times New Roman" w:hAnsi="Times New Roman"/>
                <w:b/>
                <w:sz w:val="16"/>
              </w:rPr>
            </w:pPr>
            <w:r>
              <w:rPr>
                <w:rFonts w:ascii="Times New Roman" w:hAnsi="Times New Roman"/>
                <w:b/>
                <w:sz w:val="16"/>
              </w:rPr>
              <w:t>Daiwa Capital Markets America</w:t>
            </w:r>
          </w:p>
        </w:tc>
        <w:tc>
          <w:tcPr>
            <w:tcW w:w="6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0"/>
              <w:jc w:val="center"/>
              <w:rPr>
                <w:rFonts w:ascii="Times New Roman" w:hAnsi="Times New Roman"/>
                <w:b/>
                <w:sz w:val="16"/>
              </w:rPr>
            </w:pPr>
            <w:r>
              <w:rPr>
                <w:rFonts w:ascii="Times New Roman" w:hAnsi="Times New Roman"/>
                <w:b/>
                <w:sz w:val="16"/>
              </w:rPr>
              <w:t xml:space="preserve">Evercore ISI </w:t>
            </w:r>
          </w:p>
        </w:tc>
        <w:tc>
          <w:tcPr>
            <w:tcW w:w="60"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0"/>
              <w:jc w:val="center"/>
              <w:rPr>
                <w:rFonts w:ascii="Times New Roman" w:hAnsi="Times New Roman"/>
                <w:b/>
                <w:sz w:val="16"/>
              </w:rPr>
            </w:pPr>
            <w:r>
              <w:rPr>
                <w:rFonts w:ascii="Times New Roman" w:hAnsi="Times New Roman"/>
                <w:b/>
                <w:sz w:val="16"/>
              </w:rPr>
              <w:t>Guggenheim Securities</w:t>
            </w:r>
          </w:p>
        </w:tc>
        <w:tc>
          <w:tcPr>
            <w:tcW w:w="60" w:type="dxa"/>
            <w:tcBorders/>
            <w:vAlign w:val="bottom"/>
          </w:tcPr>
          <w:p>
            <w:pPr>
              <w:pStyle w:val="TableContents"/>
              <w:bidi w:val="0"/>
              <w:spacing w:before="0" w:after="283"/>
              <w:jc w:val="left"/>
              <w:rPr/>
            </w:pPr>
            <w:r>
              <w:rPr/>
              <w:t> </w:t>
            </w:r>
          </w:p>
        </w:tc>
        <w:tc>
          <w:tcPr>
            <w:tcW w:w="470" w:type="dxa"/>
            <w:tcBorders/>
          </w:tcPr>
          <w:p>
            <w:pPr>
              <w:pStyle w:val="TableContents"/>
              <w:bidi w:val="0"/>
              <w:spacing w:before="0" w:after="20"/>
              <w:jc w:val="center"/>
              <w:rPr>
                <w:rFonts w:ascii="Times New Roman" w:hAnsi="Times New Roman"/>
                <w:b/>
                <w:sz w:val="16"/>
              </w:rPr>
            </w:pPr>
            <w:r>
              <w:rPr>
                <w:rFonts w:ascii="Times New Roman" w:hAnsi="Times New Roman"/>
                <w:b/>
                <w:sz w:val="16"/>
              </w:rPr>
              <w:t xml:space="preserve">HSBC </w:t>
            </w:r>
          </w:p>
        </w:tc>
        <w:tc>
          <w:tcPr>
            <w:tcW w:w="60" w:type="dxa"/>
            <w:tcBorders/>
            <w:vAlign w:val="bottom"/>
          </w:tcPr>
          <w:p>
            <w:pPr>
              <w:pStyle w:val="TableContents"/>
              <w:bidi w:val="0"/>
              <w:spacing w:before="0" w:after="283"/>
              <w:jc w:val="left"/>
              <w:rPr/>
            </w:pPr>
            <w:r>
              <w:rPr/>
              <w:t> </w:t>
            </w:r>
          </w:p>
        </w:tc>
        <w:tc>
          <w:tcPr>
            <w:tcW w:w="1595" w:type="dxa"/>
            <w:tcBorders/>
          </w:tcPr>
          <w:p>
            <w:pPr>
              <w:pStyle w:val="TableContents"/>
              <w:bidi w:val="0"/>
              <w:spacing w:before="0" w:after="20"/>
              <w:jc w:val="center"/>
              <w:rPr>
                <w:rFonts w:ascii="Times New Roman" w:hAnsi="Times New Roman"/>
                <w:b/>
                <w:sz w:val="16"/>
              </w:rPr>
            </w:pPr>
            <w:r>
              <w:rPr>
                <w:rFonts w:ascii="Times New Roman" w:hAnsi="Times New Roman"/>
                <w:b/>
                <w:sz w:val="16"/>
              </w:rPr>
              <w:t>IMI - Intesa Sanpaolo</w:t>
            </w:r>
          </w:p>
        </w:tc>
        <w:tc>
          <w:tcPr>
            <w:tcW w:w="60" w:type="dxa"/>
            <w:tcBorders/>
            <w:vAlign w:val="bottom"/>
          </w:tcPr>
          <w:p>
            <w:pPr>
              <w:pStyle w:val="TableContents"/>
              <w:bidi w:val="0"/>
              <w:spacing w:before="0" w:after="283"/>
              <w:jc w:val="left"/>
              <w:rPr/>
            </w:pPr>
            <w:r>
              <w:rPr/>
              <w:t> </w:t>
            </w:r>
          </w:p>
        </w:tc>
        <w:tc>
          <w:tcPr>
            <w:tcW w:w="3080" w:type="dxa"/>
            <w:tcBorders/>
          </w:tcPr>
          <w:p>
            <w:pPr>
              <w:pStyle w:val="TableContents"/>
              <w:bidi w:val="0"/>
              <w:spacing w:before="0" w:after="283"/>
              <w:jc w:val="right"/>
              <w:rPr>
                <w:b/>
              </w:rPr>
            </w:pPr>
            <w:r>
              <w:rPr>
                <w:b/>
              </w:rPr>
              <w:t>Independence Point Securities</w:t>
            </w:r>
          </w:p>
        </w:tc>
      </w:tr>
    </w:tbl>
    <w:tbl>
      <w:tblPr>
        <w:tblW w:w="12425" w:type="dxa"/>
        <w:jc w:val="center"/>
        <w:tblInd w:w="0" w:type="dxa"/>
        <w:tblLayout w:type="fixed"/>
        <w:tblCellMar>
          <w:top w:w="0" w:type="dxa"/>
          <w:left w:w="0" w:type="dxa"/>
          <w:bottom w:w="0" w:type="dxa"/>
          <w:right w:w="0" w:type="dxa"/>
        </w:tblCellMar>
      </w:tblPr>
      <w:tblGrid>
        <w:gridCol w:w="2675"/>
        <w:gridCol w:w="60"/>
        <w:gridCol w:w="1625"/>
        <w:gridCol w:w="60"/>
        <w:gridCol w:w="1475"/>
        <w:gridCol w:w="60"/>
        <w:gridCol w:w="800"/>
        <w:gridCol w:w="60"/>
        <w:gridCol w:w="2540"/>
        <w:gridCol w:w="60"/>
        <w:gridCol w:w="1145"/>
        <w:gridCol w:w="60"/>
        <w:gridCol w:w="1805"/>
      </w:tblGrid>
      <w:tr>
        <w:trPr/>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b/>
              </w:rPr>
            </w:pPr>
            <w:r>
              <w:rPr>
                <w:b/>
              </w:rPr>
              <w:t>KeyBanc Capital Markets</w:t>
            </w:r>
          </w:p>
        </w:tc>
        <w:tc>
          <w:tcPr>
            <w:tcW w:w="6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0"/>
              <w:jc w:val="center"/>
              <w:rPr>
                <w:rFonts w:ascii="Times New Roman" w:hAnsi="Times New Roman"/>
                <w:b/>
                <w:sz w:val="16"/>
              </w:rPr>
            </w:pPr>
            <w:r>
              <w:rPr>
                <w:rFonts w:ascii="Times New Roman" w:hAnsi="Times New Roman"/>
                <w:b/>
                <w:sz w:val="16"/>
              </w:rPr>
              <w:t>Loop Capital Markets</w:t>
            </w:r>
          </w:p>
        </w:tc>
        <w:tc>
          <w:tcPr>
            <w:tcW w:w="60" w:type="dxa"/>
            <w:tcBorders/>
            <w:vAlign w:val="bottom"/>
          </w:tcPr>
          <w:p>
            <w:pPr>
              <w:pStyle w:val="TableContents"/>
              <w:bidi w:val="0"/>
              <w:spacing w:before="0" w:after="283"/>
              <w:jc w:val="left"/>
              <w:rPr/>
            </w:pPr>
            <w:r>
              <w:rPr/>
              <w:t> </w:t>
            </w:r>
          </w:p>
        </w:tc>
        <w:tc>
          <w:tcPr>
            <w:tcW w:w="1475" w:type="dxa"/>
            <w:tcBorders/>
          </w:tcPr>
          <w:p>
            <w:pPr>
              <w:pStyle w:val="TableContents"/>
              <w:bidi w:val="0"/>
              <w:spacing w:before="0" w:after="20"/>
              <w:jc w:val="center"/>
              <w:rPr>
                <w:rFonts w:ascii="Times New Roman" w:hAnsi="Times New Roman"/>
                <w:b/>
                <w:sz w:val="16"/>
              </w:rPr>
            </w:pPr>
            <w:r>
              <w:rPr>
                <w:rFonts w:ascii="Times New Roman" w:hAnsi="Times New Roman"/>
                <w:b/>
                <w:sz w:val="16"/>
              </w:rPr>
              <w:t xml:space="preserve">Ramirez &amp; Co., Inc. </w:t>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0"/>
              <w:jc w:val="center"/>
              <w:rPr>
                <w:rFonts w:ascii="Times New Roman" w:hAnsi="Times New Roman"/>
                <w:b/>
                <w:sz w:val="16"/>
              </w:rPr>
            </w:pPr>
            <w:r>
              <w:rPr>
                <w:rFonts w:ascii="Times New Roman" w:hAnsi="Times New Roman"/>
                <w:b/>
                <w:sz w:val="16"/>
              </w:rPr>
              <w:t>Rosenblatt</w:t>
            </w:r>
          </w:p>
        </w:tc>
        <w:tc>
          <w:tcPr>
            <w:tcW w:w="60" w:type="dxa"/>
            <w:tcBorders/>
            <w:vAlign w:val="bottom"/>
          </w:tcPr>
          <w:p>
            <w:pPr>
              <w:pStyle w:val="TableContents"/>
              <w:bidi w:val="0"/>
              <w:spacing w:before="0" w:after="283"/>
              <w:jc w:val="left"/>
              <w:rPr/>
            </w:pPr>
            <w:r>
              <w:rPr/>
              <w:t> </w:t>
            </w:r>
          </w:p>
        </w:tc>
        <w:tc>
          <w:tcPr>
            <w:tcW w:w="2540" w:type="dxa"/>
            <w:tcBorders/>
          </w:tcPr>
          <w:p>
            <w:pPr>
              <w:pStyle w:val="TableContents"/>
              <w:bidi w:val="0"/>
              <w:spacing w:before="0" w:after="283"/>
              <w:jc w:val="center"/>
              <w:rPr>
                <w:b/>
              </w:rPr>
            </w:pPr>
            <w:r>
              <w:rPr>
                <w:b/>
              </w:rPr>
              <w:t>SOCIETE GENERALE</w:t>
            </w:r>
          </w:p>
        </w:tc>
        <w:tc>
          <w:tcPr>
            <w:tcW w:w="6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b/>
              </w:rPr>
            </w:pPr>
            <w:r>
              <w:rPr>
                <w:b/>
              </w:rPr>
              <w:t>TD Cowen</w:t>
            </w:r>
          </w:p>
        </w:tc>
        <w:tc>
          <w:tcPr>
            <w:tcW w:w="60" w:type="dxa"/>
            <w:tcBorders/>
            <w:vAlign w:val="bottom"/>
          </w:tcPr>
          <w:p>
            <w:pPr>
              <w:pStyle w:val="TableContents"/>
              <w:bidi w:val="0"/>
              <w:spacing w:before="0" w:after="283"/>
              <w:jc w:val="left"/>
              <w:rPr/>
            </w:pPr>
            <w:r>
              <w:rPr/>
              <w:t> </w:t>
            </w:r>
          </w:p>
        </w:tc>
        <w:tc>
          <w:tcPr>
            <w:tcW w:w="1805" w:type="dxa"/>
            <w:tcBorders/>
          </w:tcPr>
          <w:p>
            <w:pPr>
              <w:pStyle w:val="TableContents"/>
              <w:bidi w:val="0"/>
              <w:spacing w:before="0" w:after="20"/>
              <w:jc w:val="right"/>
              <w:rPr>
                <w:rFonts w:ascii="Times New Roman" w:hAnsi="Times New Roman"/>
                <w:b/>
                <w:sz w:val="16"/>
              </w:rPr>
            </w:pPr>
            <w:r>
              <w:rPr>
                <w:rFonts w:ascii="Times New Roman" w:hAnsi="Times New Roman"/>
                <w:b/>
                <w:sz w:val="16"/>
              </w:rPr>
              <w:t>Wolfe | Nomura Alliance</w:t>
            </w:r>
          </w:p>
        </w:tc>
      </w:tr>
    </w:tbl>
    <w:p>
      <w:pPr>
        <w:pStyle w:val="TextBody"/>
        <w:bidi w:val="0"/>
        <w:spacing w:before="480" w:after="0"/>
        <w:jc w:val="center"/>
        <w:rPr/>
      </w:pPr>
      <w:r>
        <w:rPr/>
        <w:t>            </w:t>
      </w:r>
      <w:r>
        <w:rPr>
          <w:rFonts w:ascii="Times New Roman" w:hAnsi="Times New Roman"/>
          <w:b/>
          <w:sz w:val="20"/>
        </w:rPr>
        <w:t xml:space="preserve">, 2023 </w:t>
      </w:r>
    </w:p>
    <w:p>
      <w:pPr>
        <w:pStyle w:val="TextBody"/>
        <w:bidi w:val="0"/>
        <w:spacing w:before="1600" w:after="0"/>
        <w:jc w:val="left"/>
        <w:rPr>
          <w:rFonts w:ascii="Times New Roman" w:hAnsi="Times New Roman"/>
          <w:b/>
          <w:sz w:val="20"/>
        </w:rPr>
      </w:pPr>
      <w:r>
        <w:rPr>
          <w:rFonts w:ascii="Times New Roman" w:hAnsi="Times New Roman"/>
          <w:b/>
          <w:sz w:val="20"/>
        </w:rPr>
        <w:t xml:space="preserve">Through and including             , 2023 (the 25th day after the date of this prospectus), all the dealers effecting transactions in the ADSs whether or not participating in this offering, may be required to deliver a prospectus. This delivery requirement is in addition to a dealers obligation to deliver a prospectus when acting as an underwriter and with respect to an unsold allotment or subscription.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6.</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Companies Act, but without prejudice to any indemnity to which the person concerned may otherwise be entitled, every director, former director and secretary of the Company (the Relevant Officer) shall have the benefit of the following indemnification provisions in the Articles against any liability incurred by or attaching to them (and including all costs, charges, losses, expenses and liabilities incurred by them in relation thereto), provided that the Articles shall be deemed not to provide for, or entitle any such person to, indemnification to the extent that it would cause the Articles, or any element of them, to be treated as void under the Companies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any negligence, default, breach of duty or breach of trust by them in relation to the Company or any associated company (as defined in section 256 of the Companies Act) thereof, other than: (i) any liability incurred to the Company or any associated company thereof; (ii) the payment of a fine imposed in any criminal proceeding or a sum payable to a regulatory authority by way of a penalty in respect of non-compliance with any requirement of a regulatory nature (however arising); (iii) the defense of any criminal proceeding if the Relevant Officer is convicted, (iv) the defense of any civil proceeding brought by the Company or its associated company in which judgment is given against the Relevant Officer; and (v) any application for relief under sections 661(3), 661(4) or 1157 of the Companies Act in which the court refuses to grant relief to the Relevant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or in connection with their duties, powers or office, including in connection with the activities of the Company or an associated company thereof in their capacity as a trustee of an occupational pension scheme, other than: (i) the payment of a fine imposed in any criminal proceeding or a sum payable to a regulatory authority by way of a penalty in respect of non-compliance with any requirement of a regulatory nature (however arising); and (ii) the defense of any criminal proceeding if the Relevant Officer is convicted.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Companies Act, the Company may provide any Relevant Officer with funds to meet expenditures incurred or to be incurred by them: (i) in defending any criminal or civil proceedings in connection with any negligence, default, breach of duty or breach of trust by them in relation to the Company or an associated company thereof, or (ii) in connection with any application for relief under the provisions mentioned in section 205 of the Companies Act and otherwise may take any action to enable any such Relevant Officer to avoid incurring such expenditure. Relevant Officers who have received payment from the Company under the relevant indemnification provisions must repay the amount they received in accordance with the Companies Act or in any other circumstances that the Company may prescribe or where the Company has reserved the right to require repayment.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that the Company will enter into in connection with the offering of ADSs being registered hereby provides that the underwriters will indemnify, under certain conditions, the Relevant Officers of the Company against certain liabilities arising in connection with this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Recent Sales of Unregistered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issued and sold the following securities: </w:t>
      </w:r>
    </w:p>
    <w:p>
      <w:pPr>
        <w:pStyle w:val="TextBody"/>
        <w:bidi w:val="0"/>
        <w:spacing w:before="240" w:after="0"/>
        <w:jc w:val="left"/>
        <w:rPr>
          <w:rFonts w:ascii="Times New Roman" w:hAnsi="Times New Roman"/>
          <w:sz w:val="20"/>
        </w:rPr>
      </w:pPr>
      <w:r>
        <w:rPr>
          <w:rFonts w:ascii="Times New Roman" w:hAnsi="Times New Roman"/>
          <w:sz w:val="20"/>
        </w:rPr>
        <w:t xml:space="preserve">Since April 1, 2020, we have granted certain employees an aggregate of 2,511,206 RSUs under the 2019 AEP, certain executive officers an aggregate of 2,592,286 RSUs under the 2019 EIP, certain employees an aggregate of 34,285,187 RSUs under the 2022 RSU Plan and certain of our non-executive directors an aggregate of 39,845 RSUs under the NED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stated, the issuances of the above securities were deemed to be exempt from registration under the Securities Act in reliance upon (i) Section 4(a)(2) of the Securities Act or Regulation D promulgated thereunder as transactions by an issuer not involving any public offering, (ii) under Regulation S promulgated under the Securities Act as offers, sales and issuances were not made to persons in the U.S. and no directed selling efforts were made in the U.S., or (iii) under Rule 701 promulgated under the Securities Act as transactions pursuant to benefit plans and contracts relating to compensation. </w:t>
      </w:r>
    </w:p>
    <w:p>
      <w:pPr>
        <w:pStyle w:val="TextBody"/>
        <w:bidi w:val="0"/>
        <w:spacing w:before="240" w:after="0"/>
        <w:jc w:val="left"/>
        <w:rPr>
          <w:rFonts w:ascii="Times New Roman" w:hAnsi="Times New Roman"/>
          <w:sz w:val="20"/>
        </w:rPr>
      </w:pPr>
      <w:r>
        <w:rPr>
          <w:rFonts w:ascii="Times New Roman" w:hAnsi="Times New Roman"/>
          <w:sz w:val="20"/>
        </w:rPr>
        <w:t xml:space="preserve">None of the foregoing transactions involved any underwriters, underwriting discounts or commissions or any public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
        <w:gridCol w:w="411"/>
        <w:gridCol w:w="9110"/>
      </w:tblGrid>
      <w:tr>
        <w:trPr/>
        <w:tc>
          <w:tcPr>
            <w:tcW w:w="684"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9110" w:type="dxa"/>
            <w:tcBorders/>
            <w:vAlign w:val="center"/>
          </w:tcPr>
          <w:p>
            <w:pPr>
              <w:pStyle w:val="TableContents"/>
              <w:bidi w:val="0"/>
              <w:spacing w:before="0" w:after="283"/>
              <w:jc w:val="left"/>
              <w:rPr>
                <w:sz w:val="4"/>
                <w:szCs w:val="4"/>
              </w:rPr>
            </w:pPr>
            <w:r>
              <w:rPr>
                <w:sz w:val="4"/>
                <w:szCs w:val="4"/>
              </w:rPr>
            </w:r>
          </w:p>
        </w:tc>
      </w:tr>
      <w:tr>
        <w:trPr/>
        <w:tc>
          <w:tcPr>
            <w:tcW w:w="68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Number</w:t>
            </w:r>
          </w:p>
        </w:tc>
        <w:tc>
          <w:tcPr>
            <w:tcW w:w="411" w:type="dxa"/>
            <w:tcBorders/>
            <w:vAlign w:val="bottom"/>
          </w:tcPr>
          <w:p>
            <w:pPr>
              <w:pStyle w:val="TableContents"/>
              <w:bidi w:val="0"/>
              <w:spacing w:before="0" w:after="283"/>
              <w:jc w:val="left"/>
              <w:rPr/>
            </w:pPr>
            <w:r>
              <w:rPr/>
              <w:t>  </w:t>
            </w:r>
          </w:p>
        </w:tc>
        <w:tc>
          <w:tcPr>
            <w:tcW w:w="91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 of Exhibit</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  </w:t>
            </w:r>
            <w:r>
              <w:rPr/>
              <w:t>1.1*</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Form of Underwriting Agreement.</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  </w:t>
            </w:r>
            <w:r>
              <w:rPr/>
              <w:t>3.1*</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Articles of Association, as amended.</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  </w:t>
            </w:r>
            <w:r>
              <w:rPr/>
              <w:t>3.2*</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Form of Articles of Association to become effective upon the closing of this offering.</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  </w:t>
            </w:r>
            <w:r>
              <w:rPr/>
              <w:t>4.1*</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Form of Deposit Agreement.</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  </w:t>
            </w:r>
            <w:r>
              <w:rPr/>
              <w:t>4.2*</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Form of American Depositary Receipt (included in exhibit 4.1).</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  </w:t>
            </w:r>
            <w:r>
              <w:rPr/>
              <w:t>5.1*</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Opinion of Morrison &amp; Foerster (UK) LLP.</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10.1+</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d393891dex101.htm">
              <w:r>
                <w:rPr>
                  <w:rStyle w:val="InternetLink"/>
                </w:rPr>
                <w:t xml:space="preserve">Arm IP License Agreement, dated April 24, 2018, by and between Arm Limited and Arm Technology (China) Co. Ltd. </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10.2#*</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The 2023 Omnibus Incentive Plan.</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10.3*</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Form of Shareholder Governance Agreement.</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10.4*</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Consulting Agreement by and between Arm Limited and SoftBank Group Corp.</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10.5*</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Form of Deed of Indemnity between the Registrant and each of its directors.</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21.1</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d393891dex211.htm">
              <w:r>
                <w:rPr>
                  <w:rStyle w:val="InternetLink"/>
                </w:rPr>
                <w:t>Subsidiaries of the Registrant.</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23.1</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d393891dex231.htm">
              <w:r>
                <w:rPr>
                  <w:rStyle w:val="InternetLink"/>
                </w:rPr>
                <w:t>Consent of Deloitte &amp; Touche LLP, the Registrants independent registered public accounting firm.</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23.2*</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r>
              <w:rPr/>
              <w:t>Consent of Morrison &amp; Foerster (UK) LLP (included in Exhibit 5.1).</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24.1</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ii393891_4">
              <w:r>
                <w:rPr>
                  <w:rStyle w:val="InternetLink"/>
                </w:rPr>
                <w:t xml:space="preserve">Power of Attorney (included on signature page to this registration statement). </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107</w:t>
            </w:r>
          </w:p>
        </w:tc>
        <w:tc>
          <w:tcPr>
            <w:tcW w:w="411"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d393891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have been redacted pursuant to Item 601(b)(10)(iv) of Regulation S-K because it is both not material and is the type of information that the Company treats as private or confidential. The Company agrees to furnish supplementally an unredacted copy of this exhibit to the SEC upon its request.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any compensatory plan, contract or arrangement.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None. All schedules have been omitted because the information required to be set forth therein is not applicable or has been included in the consolidated financial statements and notes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9.</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registrant pursuant to the foregoing provisions, or otherwise, the registrant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person controlling the registrant in the successful defense of any action, suit or proceeding) is asserted by such director, officer or person controlling the registrant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8" w:name="ii393891_4"/>
      <w:bookmarkEnd w:id="4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Cambridge, United Kingdom on August 21,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75"/>
        <w:gridCol w:w="82"/>
        <w:gridCol w:w="3225"/>
      </w:tblGrid>
      <w:tr>
        <w:trPr/>
        <w:tc>
          <w:tcPr>
            <w:tcW w:w="77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ARM HOLDINGS LIMITED</w:t>
            </w:r>
          </w:p>
        </w:tc>
      </w:tr>
      <w:tr>
        <w:trPr>
          <w:trHeight w:val="240" w:hRule="atLeast"/>
        </w:trPr>
        <w:tc>
          <w:tcPr>
            <w:tcW w:w="775"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2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Rene Haas</w:t>
            </w:r>
          </w:p>
        </w:tc>
      </w:tr>
      <w:tr>
        <w:trPr/>
        <w:tc>
          <w:tcPr>
            <w:tcW w:w="775" w:type="dxa"/>
            <w:tcBorders/>
          </w:tcPr>
          <w:p>
            <w:pPr>
              <w:pStyle w:val="TableContents"/>
              <w:bidi w:val="0"/>
              <w:spacing w:before="0" w:after="283"/>
              <w:jc w:val="left"/>
              <w:rPr/>
            </w:pPr>
            <w:r>
              <w:rPr/>
              <w:t>Name:</w:t>
            </w:r>
          </w:p>
        </w:tc>
        <w:tc>
          <w:tcPr>
            <w:tcW w:w="82"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283"/>
              <w:jc w:val="left"/>
              <w:rPr/>
            </w:pPr>
            <w:r>
              <w:rPr/>
              <w:t>Rene Haas</w:t>
            </w:r>
          </w:p>
        </w:tc>
      </w:tr>
      <w:tr>
        <w:trPr/>
        <w:tc>
          <w:tcPr>
            <w:tcW w:w="775" w:type="dxa"/>
            <w:tcBorders/>
          </w:tcPr>
          <w:p>
            <w:pPr>
              <w:pStyle w:val="TableContents"/>
              <w:bidi w:val="0"/>
              <w:spacing w:before="0" w:after="283"/>
              <w:jc w:val="left"/>
              <w:rPr/>
            </w:pPr>
            <w:r>
              <w:rPr/>
              <w:t>Title:</w:t>
            </w:r>
          </w:p>
        </w:tc>
        <w:tc>
          <w:tcPr>
            <w:tcW w:w="82"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hereby constitutes and appoints Rene Haas and Jason Child, and each of them, his or her true and lawful agent, proxy and attorney-in-fact, with full power of substitution and resubstitution, for and in his or her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40"/>
        <w:gridCol w:w="120"/>
        <w:gridCol w:w="4120"/>
        <w:gridCol w:w="203"/>
        <w:gridCol w:w="2422"/>
      </w:tblGrid>
      <w:tr>
        <w:trPr/>
        <w:tc>
          <w:tcPr>
            <w:tcW w:w="3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2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r>
      <w:tr>
        <w:trPr/>
        <w:tc>
          <w:tcPr>
            <w:tcW w:w="33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w:t>
            </w:r>
          </w:p>
        </w:tc>
        <w:tc>
          <w:tcPr>
            <w:tcW w:w="120" w:type="dxa"/>
            <w:tcBorders/>
            <w:vAlign w:val="bottom"/>
          </w:tcPr>
          <w:p>
            <w:pPr>
              <w:pStyle w:val="TableContents"/>
              <w:bidi w:val="0"/>
              <w:spacing w:before="0" w:after="283"/>
              <w:jc w:val="left"/>
              <w:rPr/>
            </w:pPr>
            <w:r>
              <w:rPr/>
              <w:t>  </w:t>
            </w:r>
          </w:p>
        </w:tc>
        <w:tc>
          <w:tcPr>
            <w:tcW w:w="4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Title</w:t>
            </w:r>
          </w:p>
        </w:tc>
        <w:tc>
          <w:tcPr>
            <w:tcW w:w="203" w:type="dxa"/>
            <w:tcBorders/>
            <w:vAlign w:val="bottom"/>
          </w:tcPr>
          <w:p>
            <w:pPr>
              <w:pStyle w:val="TableContents"/>
              <w:bidi w:val="0"/>
              <w:spacing w:before="0" w:after="283"/>
              <w:jc w:val="left"/>
              <w:rPr/>
            </w:pPr>
            <w:r>
              <w:rPr/>
              <w:t> </w:t>
            </w:r>
          </w:p>
        </w:tc>
        <w:tc>
          <w:tcPr>
            <w:tcW w:w="24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r>
      <w:tr>
        <w:trPr>
          <w:trHeight w:val="240" w:hRule="atLeast"/>
        </w:trPr>
        <w:tc>
          <w:tcPr>
            <w:tcW w:w="3340" w:type="dxa"/>
            <w:tcBorders/>
            <w:vAlign w:val="center"/>
          </w:tcPr>
          <w:p>
            <w:pPr>
              <w:pStyle w:val="TableContents"/>
              <w:bidi w:val="0"/>
              <w:spacing w:before="0" w:after="283"/>
              <w:jc w:val="left"/>
              <w:rPr>
                <w:sz w:val="4"/>
                <w:szCs w:val="4"/>
              </w:rPr>
            </w:pPr>
            <w:r>
              <w:rPr>
                <w:sz w:val="4"/>
                <w:szCs w:val="4"/>
              </w:rPr>
            </w:r>
          </w:p>
        </w:tc>
        <w:tc>
          <w:tcPr>
            <w:tcW w:w="4240" w:type="dxa"/>
            <w:gridSpan w:val="2"/>
            <w:tcBorders/>
            <w:vAlign w:val="center"/>
          </w:tcPr>
          <w:p>
            <w:pPr>
              <w:pStyle w:val="TableContents"/>
              <w:bidi w:val="0"/>
              <w:spacing w:before="0" w:after="283"/>
              <w:jc w:val="left"/>
              <w:rPr>
                <w:sz w:val="4"/>
                <w:szCs w:val="4"/>
              </w:rPr>
            </w:pPr>
            <w:r>
              <w:rPr>
                <w:sz w:val="4"/>
                <w:szCs w:val="4"/>
              </w:rPr>
            </w:r>
          </w:p>
        </w:tc>
        <w:tc>
          <w:tcPr>
            <w:tcW w:w="2625" w:type="dxa"/>
            <w:gridSpan w:val="2"/>
            <w:tcBorders/>
            <w:vAlign w:val="center"/>
          </w:tcPr>
          <w:p>
            <w:pPr>
              <w:pStyle w:val="TableContents"/>
              <w:bidi w:val="0"/>
              <w:spacing w:before="0" w:after="283"/>
              <w:jc w:val="left"/>
              <w:rPr>
                <w:sz w:val="4"/>
                <w:szCs w:val="4"/>
              </w:rPr>
            </w:pPr>
            <w:r>
              <w:rPr>
                <w:sz w:val="4"/>
                <w:szCs w:val="4"/>
              </w:rPr>
            </w:r>
          </w:p>
        </w:tc>
      </w:tr>
      <w:tr>
        <w:trPr/>
        <w:tc>
          <w:tcPr>
            <w:tcW w:w="3340"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Rene Haas</w:t>
            </w:r>
          </w:p>
          <w:p>
            <w:pPr>
              <w:pStyle w:val="TableContents"/>
              <w:bidi w:val="0"/>
              <w:spacing w:before="0" w:after="20"/>
              <w:jc w:val="center"/>
              <w:rPr>
                <w:rFonts w:ascii="Times New Roman" w:hAnsi="Times New Roman"/>
                <w:sz w:val="20"/>
              </w:rPr>
            </w:pPr>
            <w:r>
              <w:rPr>
                <w:rFonts w:ascii="Times New Roman" w:hAnsi="Times New Roman"/>
                <w:sz w:val="20"/>
              </w:rPr>
              <w:t>Rene Haas</w:t>
            </w:r>
          </w:p>
        </w:tc>
        <w:tc>
          <w:tcPr>
            <w:tcW w:w="120" w:type="dxa"/>
            <w:tcBorders/>
            <w:vAlign w:val="bottom"/>
          </w:tcPr>
          <w:p>
            <w:pPr>
              <w:pStyle w:val="TableContents"/>
              <w:bidi w:val="0"/>
              <w:spacing w:before="0" w:after="283"/>
              <w:jc w:val="left"/>
              <w:rPr/>
            </w:pPr>
            <w:r>
              <w:rPr/>
              <w:t>  </w:t>
            </w:r>
          </w:p>
        </w:tc>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203" w:type="dxa"/>
            <w:tcBorders/>
            <w:vAlign w:val="bottom"/>
          </w:tcPr>
          <w:p>
            <w:pPr>
              <w:pStyle w:val="TableContents"/>
              <w:bidi w:val="0"/>
              <w:spacing w:before="0" w:after="283"/>
              <w:jc w:val="left"/>
              <w:rPr/>
            </w:pPr>
            <w:r>
              <w:rPr/>
              <w:t> </w:t>
            </w:r>
          </w:p>
        </w:tc>
        <w:tc>
          <w:tcPr>
            <w:tcW w:w="2422" w:type="dxa"/>
            <w:tcBorders/>
          </w:tcPr>
          <w:p>
            <w:pPr>
              <w:pStyle w:val="TableContents"/>
              <w:bidi w:val="0"/>
              <w:spacing w:before="0" w:after="283"/>
              <w:jc w:val="center"/>
              <w:rPr/>
            </w:pPr>
            <w:r>
              <w:rPr/>
              <w:t>August 21, 2023</w:t>
            </w:r>
          </w:p>
        </w:tc>
      </w:tr>
      <w:tr>
        <w:trPr>
          <w:trHeight w:val="240" w:hRule="atLeast"/>
        </w:trPr>
        <w:tc>
          <w:tcPr>
            <w:tcW w:w="3340" w:type="dxa"/>
            <w:tcBorders/>
            <w:vAlign w:val="center"/>
          </w:tcPr>
          <w:p>
            <w:pPr>
              <w:pStyle w:val="TableContents"/>
              <w:bidi w:val="0"/>
              <w:spacing w:before="0" w:after="283"/>
              <w:jc w:val="left"/>
              <w:rPr>
                <w:sz w:val="4"/>
                <w:szCs w:val="4"/>
              </w:rPr>
            </w:pPr>
            <w:r>
              <w:rPr>
                <w:sz w:val="4"/>
                <w:szCs w:val="4"/>
              </w:rPr>
            </w:r>
          </w:p>
        </w:tc>
        <w:tc>
          <w:tcPr>
            <w:tcW w:w="4240" w:type="dxa"/>
            <w:gridSpan w:val="2"/>
            <w:tcBorders/>
            <w:vAlign w:val="center"/>
          </w:tcPr>
          <w:p>
            <w:pPr>
              <w:pStyle w:val="TableContents"/>
              <w:bidi w:val="0"/>
              <w:spacing w:before="0" w:after="283"/>
              <w:jc w:val="left"/>
              <w:rPr>
                <w:sz w:val="4"/>
                <w:szCs w:val="4"/>
              </w:rPr>
            </w:pPr>
            <w:r>
              <w:rPr>
                <w:sz w:val="4"/>
                <w:szCs w:val="4"/>
              </w:rPr>
            </w:r>
          </w:p>
        </w:tc>
        <w:tc>
          <w:tcPr>
            <w:tcW w:w="2625" w:type="dxa"/>
            <w:gridSpan w:val="2"/>
            <w:tcBorders/>
            <w:vAlign w:val="center"/>
          </w:tcPr>
          <w:p>
            <w:pPr>
              <w:pStyle w:val="TableContents"/>
              <w:bidi w:val="0"/>
              <w:spacing w:before="0" w:after="283"/>
              <w:jc w:val="left"/>
              <w:rPr>
                <w:sz w:val="4"/>
                <w:szCs w:val="4"/>
              </w:rPr>
            </w:pPr>
            <w:r>
              <w:rPr>
                <w:sz w:val="4"/>
                <w:szCs w:val="4"/>
              </w:rPr>
            </w:r>
          </w:p>
        </w:tc>
      </w:tr>
      <w:tr>
        <w:trPr/>
        <w:tc>
          <w:tcPr>
            <w:tcW w:w="3340"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Jason Child</w:t>
            </w:r>
          </w:p>
          <w:p>
            <w:pPr>
              <w:pStyle w:val="TableContents"/>
              <w:bidi w:val="0"/>
              <w:spacing w:before="0" w:after="20"/>
              <w:jc w:val="center"/>
              <w:rPr>
                <w:rFonts w:ascii="Times New Roman" w:hAnsi="Times New Roman"/>
                <w:sz w:val="20"/>
              </w:rPr>
            </w:pPr>
            <w:r>
              <w:rPr>
                <w:rFonts w:ascii="Times New Roman" w:hAnsi="Times New Roman"/>
                <w:sz w:val="20"/>
              </w:rPr>
              <w:t>Jason Child</w:t>
            </w:r>
          </w:p>
        </w:tc>
        <w:tc>
          <w:tcPr>
            <w:tcW w:w="120" w:type="dxa"/>
            <w:tcBorders/>
            <w:vAlign w:val="bottom"/>
          </w:tcPr>
          <w:p>
            <w:pPr>
              <w:pStyle w:val="TableContents"/>
              <w:bidi w:val="0"/>
              <w:spacing w:before="0" w:after="283"/>
              <w:jc w:val="left"/>
              <w:rPr/>
            </w:pPr>
            <w:r>
              <w:rPr/>
              <w:t>  </w:t>
            </w:r>
          </w:p>
        </w:tc>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c>
          <w:tcPr>
            <w:tcW w:w="203" w:type="dxa"/>
            <w:tcBorders/>
            <w:vAlign w:val="bottom"/>
          </w:tcPr>
          <w:p>
            <w:pPr>
              <w:pStyle w:val="TableContents"/>
              <w:bidi w:val="0"/>
              <w:spacing w:before="0" w:after="283"/>
              <w:jc w:val="left"/>
              <w:rPr/>
            </w:pPr>
            <w:r>
              <w:rPr/>
              <w:t> </w:t>
            </w:r>
          </w:p>
        </w:tc>
        <w:tc>
          <w:tcPr>
            <w:tcW w:w="2422" w:type="dxa"/>
            <w:tcBorders/>
          </w:tcPr>
          <w:p>
            <w:pPr>
              <w:pStyle w:val="TableContents"/>
              <w:bidi w:val="0"/>
              <w:spacing w:before="0" w:after="283"/>
              <w:jc w:val="center"/>
              <w:rPr/>
            </w:pPr>
            <w:r>
              <w:rPr/>
              <w:t>August 21, 2023</w:t>
            </w:r>
          </w:p>
        </w:tc>
      </w:tr>
      <w:tr>
        <w:trPr>
          <w:trHeight w:val="240" w:hRule="atLeast"/>
        </w:trPr>
        <w:tc>
          <w:tcPr>
            <w:tcW w:w="3340" w:type="dxa"/>
            <w:tcBorders/>
            <w:vAlign w:val="center"/>
          </w:tcPr>
          <w:p>
            <w:pPr>
              <w:pStyle w:val="TableContents"/>
              <w:bidi w:val="0"/>
              <w:spacing w:before="0" w:after="283"/>
              <w:jc w:val="left"/>
              <w:rPr>
                <w:sz w:val="4"/>
                <w:szCs w:val="4"/>
              </w:rPr>
            </w:pPr>
            <w:r>
              <w:rPr>
                <w:sz w:val="4"/>
                <w:szCs w:val="4"/>
              </w:rPr>
            </w:r>
          </w:p>
        </w:tc>
        <w:tc>
          <w:tcPr>
            <w:tcW w:w="4240" w:type="dxa"/>
            <w:gridSpan w:val="2"/>
            <w:tcBorders/>
            <w:vAlign w:val="center"/>
          </w:tcPr>
          <w:p>
            <w:pPr>
              <w:pStyle w:val="TableContents"/>
              <w:bidi w:val="0"/>
              <w:spacing w:before="0" w:after="283"/>
              <w:jc w:val="left"/>
              <w:rPr>
                <w:sz w:val="4"/>
                <w:szCs w:val="4"/>
              </w:rPr>
            </w:pPr>
            <w:r>
              <w:rPr>
                <w:sz w:val="4"/>
                <w:szCs w:val="4"/>
              </w:rPr>
            </w:r>
          </w:p>
        </w:tc>
        <w:tc>
          <w:tcPr>
            <w:tcW w:w="2625" w:type="dxa"/>
            <w:gridSpan w:val="2"/>
            <w:tcBorders/>
            <w:vAlign w:val="center"/>
          </w:tcPr>
          <w:p>
            <w:pPr>
              <w:pStyle w:val="TableContents"/>
              <w:bidi w:val="0"/>
              <w:spacing w:before="0" w:after="283"/>
              <w:jc w:val="left"/>
              <w:rPr>
                <w:sz w:val="4"/>
                <w:szCs w:val="4"/>
              </w:rPr>
            </w:pPr>
            <w:r>
              <w:rPr>
                <w:sz w:val="4"/>
                <w:szCs w:val="4"/>
              </w:rPr>
            </w:r>
          </w:p>
        </w:tc>
      </w:tr>
      <w:tr>
        <w:trPr/>
        <w:tc>
          <w:tcPr>
            <w:tcW w:w="3340"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Laura Bartels</w:t>
            </w:r>
          </w:p>
          <w:p>
            <w:pPr>
              <w:pStyle w:val="TableContents"/>
              <w:bidi w:val="0"/>
              <w:spacing w:before="0" w:after="20"/>
              <w:jc w:val="center"/>
              <w:rPr>
                <w:rFonts w:ascii="Times New Roman" w:hAnsi="Times New Roman"/>
                <w:sz w:val="20"/>
              </w:rPr>
            </w:pPr>
            <w:r>
              <w:rPr>
                <w:rFonts w:ascii="Times New Roman" w:hAnsi="Times New Roman"/>
                <w:sz w:val="20"/>
              </w:rPr>
              <w:t>Laura Bartels</w:t>
            </w:r>
          </w:p>
        </w:tc>
        <w:tc>
          <w:tcPr>
            <w:tcW w:w="120" w:type="dxa"/>
            <w:tcBorders/>
            <w:vAlign w:val="bottom"/>
          </w:tcPr>
          <w:p>
            <w:pPr>
              <w:pStyle w:val="TableContents"/>
              <w:bidi w:val="0"/>
              <w:spacing w:before="0" w:after="283"/>
              <w:jc w:val="left"/>
              <w:rPr/>
            </w:pPr>
            <w:r>
              <w:rPr/>
              <w:t>  </w:t>
            </w:r>
          </w:p>
        </w:tc>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c>
          <w:tcPr>
            <w:tcW w:w="203" w:type="dxa"/>
            <w:tcBorders/>
            <w:vAlign w:val="bottom"/>
          </w:tcPr>
          <w:p>
            <w:pPr>
              <w:pStyle w:val="TableContents"/>
              <w:bidi w:val="0"/>
              <w:spacing w:before="0" w:after="283"/>
              <w:jc w:val="left"/>
              <w:rPr/>
            </w:pPr>
            <w:r>
              <w:rPr/>
              <w:t> </w:t>
            </w:r>
          </w:p>
        </w:tc>
        <w:tc>
          <w:tcPr>
            <w:tcW w:w="2422" w:type="dxa"/>
            <w:tcBorders/>
          </w:tcPr>
          <w:p>
            <w:pPr>
              <w:pStyle w:val="TableContents"/>
              <w:bidi w:val="0"/>
              <w:spacing w:before="0" w:after="283"/>
              <w:jc w:val="center"/>
              <w:rPr/>
            </w:pPr>
            <w:r>
              <w:rPr/>
              <w:t>August 21, 2023</w:t>
            </w:r>
          </w:p>
        </w:tc>
      </w:tr>
      <w:tr>
        <w:trPr>
          <w:trHeight w:val="240" w:hRule="atLeast"/>
        </w:trPr>
        <w:tc>
          <w:tcPr>
            <w:tcW w:w="3340" w:type="dxa"/>
            <w:tcBorders/>
            <w:vAlign w:val="center"/>
          </w:tcPr>
          <w:p>
            <w:pPr>
              <w:pStyle w:val="TableContents"/>
              <w:bidi w:val="0"/>
              <w:spacing w:before="0" w:after="283"/>
              <w:jc w:val="left"/>
              <w:rPr>
                <w:sz w:val="4"/>
                <w:szCs w:val="4"/>
              </w:rPr>
            </w:pPr>
            <w:r>
              <w:rPr>
                <w:sz w:val="4"/>
                <w:szCs w:val="4"/>
              </w:rPr>
            </w:r>
          </w:p>
        </w:tc>
        <w:tc>
          <w:tcPr>
            <w:tcW w:w="4240" w:type="dxa"/>
            <w:gridSpan w:val="2"/>
            <w:tcBorders/>
            <w:vAlign w:val="center"/>
          </w:tcPr>
          <w:p>
            <w:pPr>
              <w:pStyle w:val="TableContents"/>
              <w:bidi w:val="0"/>
              <w:spacing w:before="0" w:after="283"/>
              <w:jc w:val="left"/>
              <w:rPr>
                <w:sz w:val="4"/>
                <w:szCs w:val="4"/>
              </w:rPr>
            </w:pPr>
            <w:r>
              <w:rPr>
                <w:sz w:val="4"/>
                <w:szCs w:val="4"/>
              </w:rPr>
            </w:r>
          </w:p>
        </w:tc>
        <w:tc>
          <w:tcPr>
            <w:tcW w:w="2625" w:type="dxa"/>
            <w:gridSpan w:val="2"/>
            <w:tcBorders/>
            <w:vAlign w:val="center"/>
          </w:tcPr>
          <w:p>
            <w:pPr>
              <w:pStyle w:val="TableContents"/>
              <w:bidi w:val="0"/>
              <w:spacing w:before="0" w:after="283"/>
              <w:jc w:val="left"/>
              <w:rPr>
                <w:sz w:val="4"/>
                <w:szCs w:val="4"/>
              </w:rPr>
            </w:pPr>
            <w:r>
              <w:rPr>
                <w:sz w:val="4"/>
                <w:szCs w:val="4"/>
              </w:rPr>
            </w:r>
          </w:p>
        </w:tc>
      </w:tr>
      <w:tr>
        <w:trPr/>
        <w:tc>
          <w:tcPr>
            <w:tcW w:w="3340"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Masayoshi Son</w:t>
            </w:r>
          </w:p>
          <w:p>
            <w:pPr>
              <w:pStyle w:val="TableContents"/>
              <w:bidi w:val="0"/>
              <w:spacing w:before="0" w:after="20"/>
              <w:jc w:val="center"/>
              <w:rPr>
                <w:rFonts w:ascii="Times New Roman" w:hAnsi="Times New Roman"/>
                <w:sz w:val="20"/>
              </w:rPr>
            </w:pPr>
            <w:r>
              <w:rPr>
                <w:rFonts w:ascii="Times New Roman" w:hAnsi="Times New Roman"/>
                <w:sz w:val="20"/>
              </w:rPr>
              <w:t>Masayoshi Son</w:t>
            </w:r>
          </w:p>
        </w:tc>
        <w:tc>
          <w:tcPr>
            <w:tcW w:w="120" w:type="dxa"/>
            <w:tcBorders/>
            <w:vAlign w:val="bottom"/>
          </w:tcPr>
          <w:p>
            <w:pPr>
              <w:pStyle w:val="TableContents"/>
              <w:bidi w:val="0"/>
              <w:spacing w:before="0" w:after="283"/>
              <w:jc w:val="left"/>
              <w:rPr/>
            </w:pPr>
            <w:r>
              <w:rPr/>
              <w:t>  </w:t>
            </w:r>
          </w:p>
        </w:tc>
        <w:tc>
          <w:tcPr>
            <w:tcW w:w="4120" w:type="dxa"/>
            <w:tcBorders/>
          </w:tcPr>
          <w:p>
            <w:pPr>
              <w:pStyle w:val="TableContents"/>
              <w:bidi w:val="0"/>
              <w:spacing w:before="0" w:after="283"/>
              <w:jc w:val="left"/>
              <w:rPr/>
            </w:pPr>
            <w:r>
              <w:rPr/>
              <w:t>Director and Chairman of the Board of Directors</w:t>
            </w:r>
          </w:p>
        </w:tc>
        <w:tc>
          <w:tcPr>
            <w:tcW w:w="203" w:type="dxa"/>
            <w:tcBorders/>
            <w:vAlign w:val="bottom"/>
          </w:tcPr>
          <w:p>
            <w:pPr>
              <w:pStyle w:val="TableContents"/>
              <w:bidi w:val="0"/>
              <w:spacing w:before="0" w:after="283"/>
              <w:jc w:val="left"/>
              <w:rPr/>
            </w:pPr>
            <w:r>
              <w:rPr/>
              <w:t> </w:t>
            </w:r>
          </w:p>
        </w:tc>
        <w:tc>
          <w:tcPr>
            <w:tcW w:w="2422" w:type="dxa"/>
            <w:tcBorders/>
          </w:tcPr>
          <w:p>
            <w:pPr>
              <w:pStyle w:val="TableContents"/>
              <w:bidi w:val="0"/>
              <w:spacing w:before="0" w:after="283"/>
              <w:jc w:val="center"/>
              <w:rPr/>
            </w:pPr>
            <w:r>
              <w:rPr/>
              <w:t>August 21, 2023</w:t>
            </w:r>
          </w:p>
        </w:tc>
      </w:tr>
      <w:tr>
        <w:trPr>
          <w:trHeight w:val="240" w:hRule="atLeast"/>
        </w:trPr>
        <w:tc>
          <w:tcPr>
            <w:tcW w:w="3340" w:type="dxa"/>
            <w:tcBorders/>
            <w:vAlign w:val="center"/>
          </w:tcPr>
          <w:p>
            <w:pPr>
              <w:pStyle w:val="TableContents"/>
              <w:bidi w:val="0"/>
              <w:spacing w:before="0" w:after="283"/>
              <w:jc w:val="left"/>
              <w:rPr>
                <w:sz w:val="4"/>
                <w:szCs w:val="4"/>
              </w:rPr>
            </w:pPr>
            <w:r>
              <w:rPr>
                <w:sz w:val="4"/>
                <w:szCs w:val="4"/>
              </w:rPr>
            </w:r>
          </w:p>
        </w:tc>
        <w:tc>
          <w:tcPr>
            <w:tcW w:w="4240" w:type="dxa"/>
            <w:gridSpan w:val="2"/>
            <w:tcBorders/>
            <w:vAlign w:val="center"/>
          </w:tcPr>
          <w:p>
            <w:pPr>
              <w:pStyle w:val="TableContents"/>
              <w:bidi w:val="0"/>
              <w:spacing w:before="0" w:after="283"/>
              <w:jc w:val="left"/>
              <w:rPr>
                <w:sz w:val="4"/>
                <w:szCs w:val="4"/>
              </w:rPr>
            </w:pPr>
            <w:r>
              <w:rPr>
                <w:sz w:val="4"/>
                <w:szCs w:val="4"/>
              </w:rPr>
            </w:r>
          </w:p>
        </w:tc>
        <w:tc>
          <w:tcPr>
            <w:tcW w:w="2625" w:type="dxa"/>
            <w:gridSpan w:val="2"/>
            <w:tcBorders/>
            <w:vAlign w:val="center"/>
          </w:tcPr>
          <w:p>
            <w:pPr>
              <w:pStyle w:val="TableContents"/>
              <w:bidi w:val="0"/>
              <w:spacing w:before="0" w:after="283"/>
              <w:jc w:val="left"/>
              <w:rPr>
                <w:sz w:val="4"/>
                <w:szCs w:val="4"/>
              </w:rPr>
            </w:pPr>
            <w:r>
              <w:rPr>
                <w:sz w:val="4"/>
                <w:szCs w:val="4"/>
              </w:rPr>
            </w:r>
          </w:p>
        </w:tc>
      </w:tr>
      <w:tr>
        <w:trPr/>
        <w:tc>
          <w:tcPr>
            <w:tcW w:w="3340"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Ronald D. Fisher</w:t>
            </w:r>
          </w:p>
          <w:p>
            <w:pPr>
              <w:pStyle w:val="TableContents"/>
              <w:bidi w:val="0"/>
              <w:spacing w:before="0" w:after="20"/>
              <w:jc w:val="center"/>
              <w:rPr>
                <w:rFonts w:ascii="Times New Roman" w:hAnsi="Times New Roman"/>
                <w:sz w:val="20"/>
              </w:rPr>
            </w:pPr>
            <w:r>
              <w:rPr>
                <w:rFonts w:ascii="Times New Roman" w:hAnsi="Times New Roman"/>
                <w:sz w:val="20"/>
              </w:rPr>
              <w:t>Ronald D. Fisher</w:t>
            </w:r>
          </w:p>
        </w:tc>
        <w:tc>
          <w:tcPr>
            <w:tcW w:w="120" w:type="dxa"/>
            <w:tcBorders/>
            <w:vAlign w:val="bottom"/>
          </w:tcPr>
          <w:p>
            <w:pPr>
              <w:pStyle w:val="TableContents"/>
              <w:bidi w:val="0"/>
              <w:spacing w:before="0" w:after="283"/>
              <w:jc w:val="left"/>
              <w:rPr/>
            </w:pPr>
            <w:r>
              <w:rPr/>
              <w:t>  </w:t>
            </w:r>
          </w:p>
        </w:tc>
        <w:tc>
          <w:tcPr>
            <w:tcW w:w="4120" w:type="dxa"/>
            <w:tcBorders/>
            <w:vAlign w:val="center"/>
          </w:tcPr>
          <w:p>
            <w:pPr>
              <w:pStyle w:val="TableContents"/>
              <w:bidi w:val="0"/>
              <w:spacing w:before="0" w:after="283"/>
              <w:jc w:val="left"/>
              <w:rPr/>
            </w:pPr>
            <w:r>
              <w:rPr/>
              <w:t>Director</w:t>
            </w:r>
          </w:p>
        </w:tc>
        <w:tc>
          <w:tcPr>
            <w:tcW w:w="203" w:type="dxa"/>
            <w:tcBorders/>
            <w:vAlign w:val="bottom"/>
          </w:tcPr>
          <w:p>
            <w:pPr>
              <w:pStyle w:val="TableContents"/>
              <w:bidi w:val="0"/>
              <w:spacing w:before="0" w:after="283"/>
              <w:jc w:val="left"/>
              <w:rPr/>
            </w:pPr>
            <w:r>
              <w:rPr/>
              <w:t> </w:t>
            </w:r>
          </w:p>
        </w:tc>
        <w:tc>
          <w:tcPr>
            <w:tcW w:w="2422" w:type="dxa"/>
            <w:tcBorders/>
            <w:vAlign w:val="center"/>
          </w:tcPr>
          <w:p>
            <w:pPr>
              <w:pStyle w:val="TableContents"/>
              <w:bidi w:val="0"/>
              <w:spacing w:before="0" w:after="283"/>
              <w:jc w:val="center"/>
              <w:rPr/>
            </w:pPr>
            <w:r>
              <w:rPr/>
              <w:t>August 21, 2023</w:t>
            </w:r>
          </w:p>
        </w:tc>
      </w:tr>
      <w:tr>
        <w:trPr>
          <w:trHeight w:val="240" w:hRule="atLeast"/>
        </w:trPr>
        <w:tc>
          <w:tcPr>
            <w:tcW w:w="3340" w:type="dxa"/>
            <w:tcBorders/>
            <w:vAlign w:val="center"/>
          </w:tcPr>
          <w:p>
            <w:pPr>
              <w:pStyle w:val="TableContents"/>
              <w:bidi w:val="0"/>
              <w:spacing w:before="0" w:after="283"/>
              <w:jc w:val="left"/>
              <w:rPr>
                <w:sz w:val="4"/>
                <w:szCs w:val="4"/>
              </w:rPr>
            </w:pPr>
            <w:r>
              <w:rPr>
                <w:sz w:val="4"/>
                <w:szCs w:val="4"/>
              </w:rPr>
            </w:r>
          </w:p>
        </w:tc>
        <w:tc>
          <w:tcPr>
            <w:tcW w:w="4240" w:type="dxa"/>
            <w:gridSpan w:val="2"/>
            <w:tcBorders/>
            <w:vAlign w:val="center"/>
          </w:tcPr>
          <w:p>
            <w:pPr>
              <w:pStyle w:val="TableContents"/>
              <w:bidi w:val="0"/>
              <w:spacing w:before="0" w:after="283"/>
              <w:jc w:val="left"/>
              <w:rPr>
                <w:sz w:val="4"/>
                <w:szCs w:val="4"/>
              </w:rPr>
            </w:pPr>
            <w:r>
              <w:rPr>
                <w:sz w:val="4"/>
                <w:szCs w:val="4"/>
              </w:rPr>
            </w:r>
          </w:p>
        </w:tc>
        <w:tc>
          <w:tcPr>
            <w:tcW w:w="2625" w:type="dxa"/>
            <w:gridSpan w:val="2"/>
            <w:tcBorders/>
            <w:vAlign w:val="center"/>
          </w:tcPr>
          <w:p>
            <w:pPr>
              <w:pStyle w:val="TableContents"/>
              <w:bidi w:val="0"/>
              <w:spacing w:before="0" w:after="283"/>
              <w:jc w:val="left"/>
              <w:rPr>
                <w:sz w:val="4"/>
                <w:szCs w:val="4"/>
              </w:rPr>
            </w:pPr>
            <w:r>
              <w:rPr>
                <w:sz w:val="4"/>
                <w:szCs w:val="4"/>
              </w:rPr>
            </w:r>
          </w:p>
        </w:tc>
      </w:tr>
      <w:tr>
        <w:trPr/>
        <w:tc>
          <w:tcPr>
            <w:tcW w:w="3340"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Jeffrey A. Sine</w:t>
            </w:r>
          </w:p>
          <w:p>
            <w:pPr>
              <w:pStyle w:val="TableContents"/>
              <w:bidi w:val="0"/>
              <w:spacing w:before="0" w:after="20"/>
              <w:jc w:val="center"/>
              <w:rPr>
                <w:rFonts w:ascii="Times New Roman" w:hAnsi="Times New Roman"/>
                <w:sz w:val="20"/>
              </w:rPr>
            </w:pPr>
            <w:r>
              <w:rPr>
                <w:rFonts w:ascii="Times New Roman" w:hAnsi="Times New Roman"/>
                <w:sz w:val="20"/>
              </w:rPr>
              <w:t>Jeffrey A. Sine</w:t>
            </w:r>
          </w:p>
        </w:tc>
        <w:tc>
          <w:tcPr>
            <w:tcW w:w="120" w:type="dxa"/>
            <w:tcBorders/>
            <w:vAlign w:val="bottom"/>
          </w:tcPr>
          <w:p>
            <w:pPr>
              <w:pStyle w:val="TableContents"/>
              <w:bidi w:val="0"/>
              <w:spacing w:before="0" w:after="283"/>
              <w:jc w:val="left"/>
              <w:rPr/>
            </w:pPr>
            <w:r>
              <w:rPr/>
              <w:t>  </w:t>
            </w:r>
          </w:p>
        </w:tc>
        <w:tc>
          <w:tcPr>
            <w:tcW w:w="4120" w:type="dxa"/>
            <w:tcBorders/>
            <w:vAlign w:val="center"/>
          </w:tcPr>
          <w:p>
            <w:pPr>
              <w:pStyle w:val="TableContents"/>
              <w:bidi w:val="0"/>
              <w:spacing w:before="0" w:after="283"/>
              <w:jc w:val="left"/>
              <w:rPr/>
            </w:pPr>
            <w:r>
              <w:rPr/>
              <w:t>Director</w:t>
            </w:r>
          </w:p>
        </w:tc>
        <w:tc>
          <w:tcPr>
            <w:tcW w:w="203" w:type="dxa"/>
            <w:tcBorders/>
            <w:vAlign w:val="bottom"/>
          </w:tcPr>
          <w:p>
            <w:pPr>
              <w:pStyle w:val="TableContents"/>
              <w:bidi w:val="0"/>
              <w:spacing w:before="0" w:after="283"/>
              <w:jc w:val="left"/>
              <w:rPr/>
            </w:pPr>
            <w:r>
              <w:rPr/>
              <w:t> </w:t>
            </w:r>
          </w:p>
        </w:tc>
        <w:tc>
          <w:tcPr>
            <w:tcW w:w="2422" w:type="dxa"/>
            <w:tcBorders/>
            <w:vAlign w:val="center"/>
          </w:tcPr>
          <w:p>
            <w:pPr>
              <w:pStyle w:val="TableContents"/>
              <w:bidi w:val="0"/>
              <w:spacing w:before="0" w:after="283"/>
              <w:jc w:val="center"/>
              <w:rPr/>
            </w:pPr>
            <w:r>
              <w:rPr/>
              <w:t>August 21,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342"/>
        <w:gridCol w:w="120"/>
        <w:gridCol w:w="4109"/>
        <w:gridCol w:w="204"/>
        <w:gridCol w:w="2430"/>
      </w:tblGrid>
      <w:tr>
        <w:trPr/>
        <w:tc>
          <w:tcPr>
            <w:tcW w:w="33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0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342" w:type="dxa"/>
            <w:tcBorders/>
            <w:vAlign w:val="center"/>
          </w:tcPr>
          <w:p>
            <w:pPr>
              <w:pStyle w:val="TableContents"/>
              <w:bidi w:val="0"/>
              <w:spacing w:before="0" w:after="283"/>
              <w:jc w:val="left"/>
              <w:rPr>
                <w:sz w:val="4"/>
                <w:szCs w:val="4"/>
              </w:rPr>
            </w:pPr>
            <w:r>
              <w:rPr>
                <w:sz w:val="4"/>
                <w:szCs w:val="4"/>
              </w:rPr>
            </w:r>
          </w:p>
        </w:tc>
        <w:tc>
          <w:tcPr>
            <w:tcW w:w="4229" w:type="dxa"/>
            <w:gridSpan w:val="2"/>
            <w:tcBorders/>
            <w:vAlign w:val="center"/>
          </w:tcPr>
          <w:p>
            <w:pPr>
              <w:pStyle w:val="TableContents"/>
              <w:bidi w:val="0"/>
              <w:spacing w:before="0" w:after="283"/>
              <w:jc w:val="left"/>
              <w:rPr>
                <w:sz w:val="4"/>
                <w:szCs w:val="4"/>
              </w:rPr>
            </w:pPr>
            <w:r>
              <w:rPr>
                <w:sz w:val="4"/>
                <w:szCs w:val="4"/>
              </w:rPr>
            </w:r>
          </w:p>
        </w:tc>
        <w:tc>
          <w:tcPr>
            <w:tcW w:w="2634" w:type="dxa"/>
            <w:gridSpan w:val="2"/>
            <w:tcBorders/>
            <w:vAlign w:val="center"/>
          </w:tcPr>
          <w:p>
            <w:pPr>
              <w:pStyle w:val="TableContents"/>
              <w:bidi w:val="0"/>
              <w:spacing w:before="0" w:after="283"/>
              <w:jc w:val="left"/>
              <w:rPr>
                <w:sz w:val="4"/>
                <w:szCs w:val="4"/>
              </w:rPr>
            </w:pPr>
            <w:r>
              <w:rPr>
                <w:sz w:val="4"/>
                <w:szCs w:val="4"/>
              </w:rPr>
            </w:r>
          </w:p>
        </w:tc>
      </w:tr>
      <w:tr>
        <w:trPr/>
        <w:tc>
          <w:tcPr>
            <w:tcW w:w="3342"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Karen E. Dykstra</w:t>
            </w:r>
          </w:p>
          <w:p>
            <w:pPr>
              <w:pStyle w:val="TableContents"/>
              <w:bidi w:val="0"/>
              <w:spacing w:before="0" w:after="20"/>
              <w:jc w:val="center"/>
              <w:rPr>
                <w:rFonts w:ascii="Times New Roman" w:hAnsi="Times New Roman"/>
                <w:sz w:val="20"/>
              </w:rPr>
            </w:pPr>
            <w:r>
              <w:rPr>
                <w:rFonts w:ascii="Times New Roman" w:hAnsi="Times New Roman"/>
                <w:sz w:val="20"/>
              </w:rPr>
              <w:t>Karen E. Dykstra</w:t>
            </w:r>
          </w:p>
        </w:tc>
        <w:tc>
          <w:tcPr>
            <w:tcW w:w="120" w:type="dxa"/>
            <w:tcBorders/>
            <w:vAlign w:val="bottom"/>
          </w:tcPr>
          <w:p>
            <w:pPr>
              <w:pStyle w:val="TableContents"/>
              <w:bidi w:val="0"/>
              <w:spacing w:before="0" w:after="283"/>
              <w:jc w:val="left"/>
              <w:rPr/>
            </w:pPr>
            <w:r>
              <w:rPr/>
              <w:t>  </w:t>
            </w:r>
          </w:p>
        </w:tc>
        <w:tc>
          <w:tcPr>
            <w:tcW w:w="4109" w:type="dxa"/>
            <w:tcBorders/>
            <w:vAlign w:val="center"/>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430" w:type="dxa"/>
            <w:tcBorders/>
            <w:vAlign w:val="center"/>
          </w:tcPr>
          <w:p>
            <w:pPr>
              <w:pStyle w:val="TableContents"/>
              <w:bidi w:val="0"/>
              <w:spacing w:before="0" w:after="283"/>
              <w:jc w:val="center"/>
              <w:rPr/>
            </w:pPr>
            <w:r>
              <w:rPr/>
              <w:t>August 21, 2023</w:t>
            </w:r>
          </w:p>
        </w:tc>
      </w:tr>
      <w:tr>
        <w:trPr>
          <w:trHeight w:val="240" w:hRule="atLeast"/>
        </w:trPr>
        <w:tc>
          <w:tcPr>
            <w:tcW w:w="3342" w:type="dxa"/>
            <w:tcBorders/>
            <w:vAlign w:val="center"/>
          </w:tcPr>
          <w:p>
            <w:pPr>
              <w:pStyle w:val="TableContents"/>
              <w:bidi w:val="0"/>
              <w:spacing w:before="0" w:after="283"/>
              <w:jc w:val="left"/>
              <w:rPr>
                <w:sz w:val="4"/>
                <w:szCs w:val="4"/>
              </w:rPr>
            </w:pPr>
            <w:r>
              <w:rPr>
                <w:sz w:val="4"/>
                <w:szCs w:val="4"/>
              </w:rPr>
            </w:r>
          </w:p>
        </w:tc>
        <w:tc>
          <w:tcPr>
            <w:tcW w:w="4229" w:type="dxa"/>
            <w:gridSpan w:val="2"/>
            <w:tcBorders/>
            <w:vAlign w:val="center"/>
          </w:tcPr>
          <w:p>
            <w:pPr>
              <w:pStyle w:val="TableContents"/>
              <w:bidi w:val="0"/>
              <w:spacing w:before="0" w:after="283"/>
              <w:jc w:val="left"/>
              <w:rPr>
                <w:sz w:val="4"/>
                <w:szCs w:val="4"/>
              </w:rPr>
            </w:pPr>
            <w:r>
              <w:rPr>
                <w:sz w:val="4"/>
                <w:szCs w:val="4"/>
              </w:rPr>
            </w:r>
          </w:p>
        </w:tc>
        <w:tc>
          <w:tcPr>
            <w:tcW w:w="2634" w:type="dxa"/>
            <w:gridSpan w:val="2"/>
            <w:tcBorders/>
            <w:vAlign w:val="center"/>
          </w:tcPr>
          <w:p>
            <w:pPr>
              <w:pStyle w:val="TableContents"/>
              <w:bidi w:val="0"/>
              <w:spacing w:before="0" w:after="283"/>
              <w:jc w:val="left"/>
              <w:rPr>
                <w:sz w:val="4"/>
                <w:szCs w:val="4"/>
              </w:rPr>
            </w:pPr>
            <w:r>
              <w:rPr>
                <w:sz w:val="4"/>
                <w:szCs w:val="4"/>
              </w:rPr>
            </w:r>
          </w:p>
        </w:tc>
      </w:tr>
      <w:tr>
        <w:trPr/>
        <w:tc>
          <w:tcPr>
            <w:tcW w:w="3342"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Anthony Michael Fadell</w:t>
            </w:r>
          </w:p>
          <w:p>
            <w:pPr>
              <w:pStyle w:val="TableContents"/>
              <w:bidi w:val="0"/>
              <w:spacing w:before="0" w:after="20"/>
              <w:jc w:val="center"/>
              <w:rPr>
                <w:rFonts w:ascii="Times New Roman" w:hAnsi="Times New Roman"/>
                <w:sz w:val="20"/>
              </w:rPr>
            </w:pPr>
            <w:r>
              <w:rPr>
                <w:rFonts w:ascii="Times New Roman" w:hAnsi="Times New Roman"/>
                <w:sz w:val="20"/>
              </w:rPr>
              <w:t>Anthony Michael Fadell</w:t>
            </w:r>
          </w:p>
        </w:tc>
        <w:tc>
          <w:tcPr>
            <w:tcW w:w="120" w:type="dxa"/>
            <w:tcBorders/>
            <w:vAlign w:val="bottom"/>
          </w:tcPr>
          <w:p>
            <w:pPr>
              <w:pStyle w:val="TableContents"/>
              <w:bidi w:val="0"/>
              <w:spacing w:before="0" w:after="283"/>
              <w:jc w:val="left"/>
              <w:rPr/>
            </w:pPr>
            <w:r>
              <w:rPr/>
              <w:t>  </w:t>
            </w:r>
          </w:p>
        </w:tc>
        <w:tc>
          <w:tcPr>
            <w:tcW w:w="4109" w:type="dxa"/>
            <w:tcBorders/>
            <w:vAlign w:val="center"/>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430" w:type="dxa"/>
            <w:tcBorders/>
            <w:vAlign w:val="center"/>
          </w:tcPr>
          <w:p>
            <w:pPr>
              <w:pStyle w:val="TableContents"/>
              <w:bidi w:val="0"/>
              <w:spacing w:before="0" w:after="283"/>
              <w:jc w:val="center"/>
              <w:rPr/>
            </w:pPr>
            <w:r>
              <w:rPr/>
              <w:t>August 21, 2023</w:t>
            </w:r>
          </w:p>
        </w:tc>
      </w:tr>
      <w:tr>
        <w:trPr>
          <w:trHeight w:val="240" w:hRule="atLeast"/>
        </w:trPr>
        <w:tc>
          <w:tcPr>
            <w:tcW w:w="3342" w:type="dxa"/>
            <w:tcBorders/>
            <w:vAlign w:val="center"/>
          </w:tcPr>
          <w:p>
            <w:pPr>
              <w:pStyle w:val="TableContents"/>
              <w:bidi w:val="0"/>
              <w:spacing w:before="0" w:after="283"/>
              <w:jc w:val="left"/>
              <w:rPr>
                <w:sz w:val="4"/>
                <w:szCs w:val="4"/>
              </w:rPr>
            </w:pPr>
            <w:r>
              <w:rPr>
                <w:sz w:val="4"/>
                <w:szCs w:val="4"/>
              </w:rPr>
            </w:r>
          </w:p>
        </w:tc>
        <w:tc>
          <w:tcPr>
            <w:tcW w:w="4229" w:type="dxa"/>
            <w:gridSpan w:val="2"/>
            <w:tcBorders/>
            <w:vAlign w:val="center"/>
          </w:tcPr>
          <w:p>
            <w:pPr>
              <w:pStyle w:val="TableContents"/>
              <w:bidi w:val="0"/>
              <w:spacing w:before="0" w:after="283"/>
              <w:jc w:val="left"/>
              <w:rPr>
                <w:sz w:val="4"/>
                <w:szCs w:val="4"/>
              </w:rPr>
            </w:pPr>
            <w:r>
              <w:rPr>
                <w:sz w:val="4"/>
                <w:szCs w:val="4"/>
              </w:rPr>
            </w:r>
          </w:p>
        </w:tc>
        <w:tc>
          <w:tcPr>
            <w:tcW w:w="2634" w:type="dxa"/>
            <w:gridSpan w:val="2"/>
            <w:tcBorders/>
            <w:vAlign w:val="center"/>
          </w:tcPr>
          <w:p>
            <w:pPr>
              <w:pStyle w:val="TableContents"/>
              <w:bidi w:val="0"/>
              <w:spacing w:before="0" w:after="283"/>
              <w:jc w:val="left"/>
              <w:rPr>
                <w:sz w:val="4"/>
                <w:szCs w:val="4"/>
              </w:rPr>
            </w:pPr>
            <w:r>
              <w:rPr>
                <w:sz w:val="4"/>
                <w:szCs w:val="4"/>
              </w:rPr>
            </w:r>
          </w:p>
        </w:tc>
      </w:tr>
      <w:tr>
        <w:trPr/>
        <w:tc>
          <w:tcPr>
            <w:tcW w:w="3342"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Rosemary Schooler</w:t>
            </w:r>
          </w:p>
          <w:p>
            <w:pPr>
              <w:pStyle w:val="TableContents"/>
              <w:bidi w:val="0"/>
              <w:spacing w:before="0" w:after="20"/>
              <w:jc w:val="center"/>
              <w:rPr>
                <w:rFonts w:ascii="Times New Roman" w:hAnsi="Times New Roman"/>
                <w:sz w:val="20"/>
              </w:rPr>
            </w:pPr>
            <w:r>
              <w:rPr>
                <w:rFonts w:ascii="Times New Roman" w:hAnsi="Times New Roman"/>
                <w:sz w:val="20"/>
              </w:rPr>
              <w:t>Rosemary Schooler</w:t>
            </w:r>
          </w:p>
        </w:tc>
        <w:tc>
          <w:tcPr>
            <w:tcW w:w="120" w:type="dxa"/>
            <w:tcBorders/>
            <w:vAlign w:val="bottom"/>
          </w:tcPr>
          <w:p>
            <w:pPr>
              <w:pStyle w:val="TableContents"/>
              <w:bidi w:val="0"/>
              <w:spacing w:before="0" w:after="283"/>
              <w:jc w:val="left"/>
              <w:rPr/>
            </w:pPr>
            <w:r>
              <w:rPr/>
              <w:t>  </w:t>
            </w:r>
          </w:p>
        </w:tc>
        <w:tc>
          <w:tcPr>
            <w:tcW w:w="4109" w:type="dxa"/>
            <w:tcBorders/>
            <w:vAlign w:val="center"/>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430" w:type="dxa"/>
            <w:tcBorders/>
            <w:vAlign w:val="center"/>
          </w:tcPr>
          <w:p>
            <w:pPr>
              <w:pStyle w:val="TableContents"/>
              <w:bidi w:val="0"/>
              <w:spacing w:before="0" w:after="283"/>
              <w:jc w:val="center"/>
              <w:rPr/>
            </w:pPr>
            <w:r>
              <w:rPr/>
              <w:t>August 21, 2023</w:t>
            </w:r>
          </w:p>
        </w:tc>
      </w:tr>
      <w:tr>
        <w:trPr>
          <w:trHeight w:val="240" w:hRule="atLeast"/>
        </w:trPr>
        <w:tc>
          <w:tcPr>
            <w:tcW w:w="3342" w:type="dxa"/>
            <w:tcBorders/>
            <w:vAlign w:val="center"/>
          </w:tcPr>
          <w:p>
            <w:pPr>
              <w:pStyle w:val="TableContents"/>
              <w:bidi w:val="0"/>
              <w:spacing w:before="0" w:after="283"/>
              <w:jc w:val="left"/>
              <w:rPr>
                <w:sz w:val="4"/>
                <w:szCs w:val="4"/>
              </w:rPr>
            </w:pPr>
            <w:r>
              <w:rPr>
                <w:sz w:val="4"/>
                <w:szCs w:val="4"/>
              </w:rPr>
            </w:r>
          </w:p>
        </w:tc>
        <w:tc>
          <w:tcPr>
            <w:tcW w:w="4229" w:type="dxa"/>
            <w:gridSpan w:val="2"/>
            <w:tcBorders/>
            <w:vAlign w:val="center"/>
          </w:tcPr>
          <w:p>
            <w:pPr>
              <w:pStyle w:val="TableContents"/>
              <w:bidi w:val="0"/>
              <w:spacing w:before="0" w:after="283"/>
              <w:jc w:val="left"/>
              <w:rPr>
                <w:sz w:val="4"/>
                <w:szCs w:val="4"/>
              </w:rPr>
            </w:pPr>
            <w:r>
              <w:rPr>
                <w:sz w:val="4"/>
                <w:szCs w:val="4"/>
              </w:rPr>
            </w:r>
          </w:p>
        </w:tc>
        <w:tc>
          <w:tcPr>
            <w:tcW w:w="2634" w:type="dxa"/>
            <w:gridSpan w:val="2"/>
            <w:tcBorders/>
            <w:vAlign w:val="center"/>
          </w:tcPr>
          <w:p>
            <w:pPr>
              <w:pStyle w:val="TableContents"/>
              <w:bidi w:val="0"/>
              <w:spacing w:before="0" w:after="283"/>
              <w:jc w:val="left"/>
              <w:rPr>
                <w:sz w:val="4"/>
                <w:szCs w:val="4"/>
              </w:rPr>
            </w:pPr>
            <w:r>
              <w:rPr>
                <w:sz w:val="4"/>
                <w:szCs w:val="4"/>
              </w:rPr>
            </w:r>
          </w:p>
        </w:tc>
      </w:tr>
      <w:tr>
        <w:trPr/>
        <w:tc>
          <w:tcPr>
            <w:tcW w:w="3342"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Paul E. Jacobs, PhD</w:t>
            </w:r>
          </w:p>
          <w:p>
            <w:pPr>
              <w:pStyle w:val="TableContents"/>
              <w:bidi w:val="0"/>
              <w:spacing w:before="0" w:after="20"/>
              <w:jc w:val="center"/>
              <w:rPr>
                <w:rFonts w:ascii="Times New Roman" w:hAnsi="Times New Roman"/>
                <w:sz w:val="20"/>
              </w:rPr>
            </w:pPr>
            <w:r>
              <w:rPr>
                <w:rFonts w:ascii="Times New Roman" w:hAnsi="Times New Roman"/>
                <w:sz w:val="20"/>
              </w:rPr>
              <w:t>Paul E. Jacobs, PhD</w:t>
            </w:r>
          </w:p>
        </w:tc>
        <w:tc>
          <w:tcPr>
            <w:tcW w:w="120" w:type="dxa"/>
            <w:tcBorders/>
            <w:vAlign w:val="bottom"/>
          </w:tcPr>
          <w:p>
            <w:pPr>
              <w:pStyle w:val="TableContents"/>
              <w:bidi w:val="0"/>
              <w:spacing w:before="0" w:after="283"/>
              <w:jc w:val="left"/>
              <w:rPr/>
            </w:pPr>
            <w:r>
              <w:rPr/>
              <w:t>  </w:t>
            </w:r>
          </w:p>
        </w:tc>
        <w:tc>
          <w:tcPr>
            <w:tcW w:w="4109" w:type="dxa"/>
            <w:tcBorders/>
            <w:vAlign w:val="center"/>
          </w:tcPr>
          <w:p>
            <w:pPr>
              <w:pStyle w:val="TableContents"/>
              <w:bidi w:val="0"/>
              <w:spacing w:before="0" w:after="283"/>
              <w:jc w:val="left"/>
              <w:rPr/>
            </w:pPr>
            <w:r>
              <w:rPr/>
              <w:t>Director</w:t>
            </w:r>
          </w:p>
        </w:tc>
        <w:tc>
          <w:tcPr>
            <w:tcW w:w="204" w:type="dxa"/>
            <w:tcBorders/>
            <w:vAlign w:val="bottom"/>
          </w:tcPr>
          <w:p>
            <w:pPr>
              <w:pStyle w:val="TableContents"/>
              <w:bidi w:val="0"/>
              <w:spacing w:before="0" w:after="283"/>
              <w:jc w:val="left"/>
              <w:rPr/>
            </w:pPr>
            <w:r>
              <w:rPr/>
              <w:t> </w:t>
            </w:r>
          </w:p>
        </w:tc>
        <w:tc>
          <w:tcPr>
            <w:tcW w:w="2430" w:type="dxa"/>
            <w:tcBorders/>
            <w:vAlign w:val="center"/>
          </w:tcPr>
          <w:p>
            <w:pPr>
              <w:pStyle w:val="TableContents"/>
              <w:bidi w:val="0"/>
              <w:spacing w:before="0" w:after="283"/>
              <w:jc w:val="center"/>
              <w:rPr/>
            </w:pPr>
            <w:r>
              <w:rPr/>
              <w:t>August 21,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U.S. REPRESENTATIVE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of 1933, the undersigned, the duly authorized representative in the United States of Arm Holdings Limited has signed this registration statement or amendment thereto on August 21,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57"/>
        <w:gridCol w:w="203"/>
        <w:gridCol w:w="3022"/>
      </w:tblGrid>
      <w:tr>
        <w:trPr/>
        <w:tc>
          <w:tcPr>
            <w:tcW w:w="85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ARM, INC.</w:t>
            </w:r>
          </w:p>
        </w:tc>
      </w:tr>
      <w:tr>
        <w:trPr>
          <w:trHeight w:val="240" w:hRule="atLeast"/>
        </w:trPr>
        <w:tc>
          <w:tcPr>
            <w:tcW w:w="857" w:type="dxa"/>
            <w:tcBorders/>
            <w:vAlign w:val="center"/>
          </w:tcPr>
          <w:p>
            <w:pPr>
              <w:pStyle w:val="TableContents"/>
              <w:bidi w:val="0"/>
              <w:spacing w:before="0" w:after="283"/>
              <w:jc w:val="left"/>
              <w:rPr>
                <w:sz w:val="4"/>
                <w:szCs w:val="4"/>
              </w:rPr>
            </w:pPr>
            <w:r>
              <w:rPr>
                <w:sz w:val="4"/>
                <w:szCs w:val="4"/>
              </w:rPr>
            </w:r>
          </w:p>
        </w:tc>
        <w:tc>
          <w:tcPr>
            <w:tcW w:w="3225" w:type="dxa"/>
            <w:gridSpan w:val="2"/>
            <w:tcBorders/>
            <w:vAlign w:val="center"/>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pPr>
            <w:r>
              <w:rPr/>
              <w:t>By:</w:t>
            </w:r>
          </w:p>
        </w:tc>
        <w:tc>
          <w:tcPr>
            <w:tcW w:w="203" w:type="dxa"/>
            <w:tcBorders/>
            <w:vAlign w:val="bottom"/>
          </w:tcPr>
          <w:p>
            <w:pPr>
              <w:pStyle w:val="TableContents"/>
              <w:bidi w:val="0"/>
              <w:spacing w:before="0" w:after="283"/>
              <w:jc w:val="left"/>
              <w:rPr/>
            </w:pPr>
            <w:r>
              <w:rPr/>
              <w:t>  </w:t>
            </w:r>
          </w:p>
        </w:tc>
        <w:tc>
          <w:tcPr>
            <w:tcW w:w="30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Rene Haas</w:t>
            </w:r>
          </w:p>
        </w:tc>
      </w:tr>
      <w:tr>
        <w:trPr/>
        <w:tc>
          <w:tcPr>
            <w:tcW w:w="857" w:type="dxa"/>
            <w:tcBorders/>
          </w:tcPr>
          <w:p>
            <w:pPr>
              <w:pStyle w:val="TableContents"/>
              <w:bidi w:val="0"/>
              <w:spacing w:before="0" w:after="283"/>
              <w:jc w:val="left"/>
              <w:rPr/>
            </w:pPr>
            <w:r>
              <w:rPr/>
              <w:t>Name:</w:t>
            </w:r>
          </w:p>
        </w:tc>
        <w:tc>
          <w:tcPr>
            <w:tcW w:w="203" w:type="dxa"/>
            <w:tcBorders/>
            <w:vAlign w:val="bottom"/>
          </w:tcPr>
          <w:p>
            <w:pPr>
              <w:pStyle w:val="TableContents"/>
              <w:bidi w:val="0"/>
              <w:spacing w:before="0" w:after="283"/>
              <w:jc w:val="left"/>
              <w:rPr/>
            </w:pPr>
            <w:r>
              <w:rPr/>
              <w:t>  </w:t>
            </w:r>
          </w:p>
        </w:tc>
        <w:tc>
          <w:tcPr>
            <w:tcW w:w="3022" w:type="dxa"/>
            <w:tcBorders/>
          </w:tcPr>
          <w:p>
            <w:pPr>
              <w:pStyle w:val="TableContents"/>
              <w:bidi w:val="0"/>
              <w:spacing w:before="0" w:after="283"/>
              <w:jc w:val="left"/>
              <w:rPr/>
            </w:pPr>
            <w:r>
              <w:rPr/>
              <w:t>Rene Haas</w:t>
            </w:r>
          </w:p>
        </w:tc>
      </w:tr>
      <w:tr>
        <w:trPr/>
        <w:tc>
          <w:tcPr>
            <w:tcW w:w="857" w:type="dxa"/>
            <w:tcBorders/>
          </w:tcPr>
          <w:p>
            <w:pPr>
              <w:pStyle w:val="TableContents"/>
              <w:bidi w:val="0"/>
              <w:spacing w:before="0" w:after="283"/>
              <w:jc w:val="left"/>
              <w:rPr/>
            </w:pPr>
            <w:r>
              <w:rPr/>
              <w:t>Title:</w:t>
            </w:r>
          </w:p>
        </w:tc>
        <w:tc>
          <w:tcPr>
            <w:tcW w:w="203" w:type="dxa"/>
            <w:tcBorders/>
            <w:vAlign w:val="bottom"/>
          </w:tcPr>
          <w:p>
            <w:pPr>
              <w:pStyle w:val="TableContents"/>
              <w:bidi w:val="0"/>
              <w:spacing w:before="0" w:after="283"/>
              <w:jc w:val="left"/>
              <w:rPr/>
            </w:pPr>
            <w:r>
              <w:rPr/>
              <w:t>  </w:t>
            </w:r>
          </w:p>
        </w:tc>
        <w:tc>
          <w:tcPr>
            <w:tcW w:w="3022"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49" w:name="d393891dex101.htm"/>
      <w:bookmarkStart w:id="50" w:name="ksd393891dex101"/>
      <w:bookmarkEnd w:id="49"/>
      <w:bookmarkEnd w:id="50"/>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CERTAIN IDENTIFIED INFORMATION HAS BEEN EXCLUDED FROM THE EXHIBIT BECAUSE IT IS BOTH NOT MATERIAL AND IS THE TYPE THAT THE REGISTRANT TREATS AS PRIVATE OR CONFIDENTIAL. REDACTED INFORMATION IS INDICATED BY [***].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Dated 24 April 2018 </w:t>
      </w:r>
    </w:p>
    <w:p>
      <w:pPr>
        <w:pStyle w:val="TextBody"/>
        <w:bidi w:val="0"/>
        <w:spacing w:before="240" w:after="0"/>
        <w:jc w:val="center"/>
        <w:rPr>
          <w:rFonts w:ascii="Times New Roman" w:hAnsi="Times New Roman"/>
          <w:b/>
          <w:sz w:val="20"/>
        </w:rPr>
      </w:pPr>
      <w:r>
        <w:rPr>
          <w:rFonts w:ascii="Times New Roman" w:hAnsi="Times New Roman"/>
          <w:b/>
          <w:sz w:val="20"/>
        </w:rPr>
        <w:t xml:space="preserve">ARM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 and - </w:t>
      </w:r>
    </w:p>
    <w:p>
      <w:pPr>
        <w:pStyle w:val="TextBody"/>
        <w:bidi w:val="0"/>
        <w:spacing w:before="240" w:after="0"/>
        <w:jc w:val="center"/>
        <w:rPr/>
      </w:pPr>
      <w:r>
        <w:rPr>
          <w:rFonts w:ascii="Times New Roman" w:hAnsi="Times New Roman"/>
          <w:b/>
          <w:sz w:val="20"/>
        </w:rPr>
        <w:t>ARM TECHNOLOGY (CHINA) CO. LTD (</w:t>
      </w:r>
      <w:r>
        <w:rPr>
          <w:rFonts w:eastAsia="pmingliu"/>
          <w:b/>
          <w:sz w:val="18"/>
        </w:rPr>
        <w:t>安谋科技（中国）有限公司</w:t>
      </w:r>
      <w:r>
        <w:rPr>
          <w:rFonts w:ascii="Times New Roman" w:hAnsi="Times New Roman"/>
          <w:b/>
          <w:sz w:val="20"/>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ARM IP LICENSE AGREEMENT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
        <w:gridCol w:w="123"/>
        <w:gridCol w:w="9208"/>
        <w:gridCol w:w="165"/>
        <w:gridCol w:w="60"/>
        <w:gridCol w:w="263"/>
        <w:gridCol w:w="63"/>
      </w:tblGrid>
      <w:tr>
        <w:trPr/>
        <w:tc>
          <w:tcPr>
            <w:tcW w:w="32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208"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INTERPRETATION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EXCLUSIVITY OF CERTAIN LICENSE GRANTS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GRANT OF LICENSES TO JVCO</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SUB-LICENSING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COSTS OF IN-LICENSED OR CO-OWNED INTELLECTUAL PROPERTY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RESTRICTIONS ON JVCO</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7.</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SCOPE OF JVCO EXCLUSIVE LICENSING CHANNEL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8.</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EXPORT CONTROL AND RELATED RESTRICTIONS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9.</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USE OF ARM BRAND TRADE MARKS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10.</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INTELLECTUAL PROPERTY NOTICES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NON-ASSERT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OWNERSHIP OF FOREGROUND IP</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LICENSE OF JVCO LICENSED IP</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LIMITATIONS TO THE JVCO LICENSED IP LICENSES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ARM WARRANTIES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ARM INDEMNIFICATION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17.</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JVCO WARRANTIES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18.</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JVCO INDEMNIFICATION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19.</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CHANGES TO MODEL LICENSES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20.</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LIMITATION OF LIABILITY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PROSECUTION AND MAINTENANCE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INFRINGEMENT AND INVALIDITY CLAIMS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195" w:hRule="atLeast"/>
        </w:trPr>
        <w:tc>
          <w:tcPr>
            <w:tcW w:w="323"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23" w:type="dxa"/>
            <w:tcBorders/>
            <w:vAlign w:val="bottom"/>
          </w:tcPr>
          <w:p>
            <w:pPr>
              <w:pStyle w:val="TableContents"/>
              <w:bidi w:val="0"/>
              <w:spacing w:before="0" w:after="283"/>
              <w:jc w:val="left"/>
              <w:rPr/>
            </w:pPr>
            <w:r>
              <w:rPr/>
              <w:t> </w:t>
            </w:r>
          </w:p>
        </w:tc>
        <w:tc>
          <w:tcPr>
            <w:tcW w:w="9208" w:type="dxa"/>
            <w:tcBorders/>
            <w:vAlign w:val="bottom"/>
          </w:tcPr>
          <w:p>
            <w:pPr>
              <w:pStyle w:val="TableContents"/>
              <w:bidi w:val="0"/>
              <w:spacing w:before="0" w:after="283"/>
              <w:jc w:val="left"/>
              <w:rPr/>
            </w:pPr>
            <w:r>
              <w:rPr/>
              <w:t>PAYMENT OBLIGATIONS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0"/>
        <w:gridCol w:w="118"/>
        <w:gridCol w:w="9121"/>
        <w:gridCol w:w="153"/>
        <w:gridCol w:w="60"/>
        <w:gridCol w:w="389"/>
        <w:gridCol w:w="64"/>
      </w:tblGrid>
      <w:tr>
        <w:trPr/>
        <w:tc>
          <w:tcPr>
            <w:tcW w:w="30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REPORTS AND RECORDS RELATING TO PAYMENTS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FINANCIAL AUDIT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PAYMENT DISPUTES AND PAYMENT TERMS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TERM</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SUSPENSION AND TERMINATION RIGHTS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MATERIAL BREACH ESCALATION PROCESS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30.</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EFFECTS OF SUSPENSION OR TERMINATION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ADJUDICATION OF LICENSEES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RECLASSIFICATION OF LICENSEES AND ACQUISITONS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NOVATING AGREEMENTS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AUDIT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CONFIDENTIALITY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ANTI-CORRUPTION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IP COMMITTEE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MUTUAL ROADMAP, ROADMAP COMMITTEE AND PRODUCT DEVELOPMENT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EFFECTIVENESS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40.</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DISPUTE RESOLUTION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ASSIGNMENT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FORCE MAJEURE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REMEDIES AND WAIVERS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NOTICES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INDEPENDENT CONTRACTORS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COSTS AND EXPENSES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rHeight w:val="195" w:hRule="atLeast"/>
        </w:trPr>
        <w:tc>
          <w:tcPr>
            <w:tcW w:w="300" w:type="dxa"/>
            <w:tcBorders/>
            <w:vAlign w:val="center"/>
          </w:tcPr>
          <w:p>
            <w:pPr>
              <w:pStyle w:val="TableContents"/>
              <w:bidi w:val="0"/>
              <w:spacing w:before="0" w:after="283"/>
              <w:jc w:val="left"/>
              <w:rPr>
                <w:sz w:val="4"/>
                <w:szCs w:val="4"/>
              </w:rPr>
            </w:pPr>
            <w:r>
              <w:rPr>
                <w:sz w:val="4"/>
                <w:szCs w:val="4"/>
              </w:rPr>
            </w:r>
          </w:p>
        </w:tc>
        <w:tc>
          <w:tcPr>
            <w:tcW w:w="9239"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18"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COUNTERPARTS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5"/>
        <w:gridCol w:w="122"/>
        <w:gridCol w:w="9107"/>
        <w:gridCol w:w="156"/>
        <w:gridCol w:w="60"/>
        <w:gridCol w:w="391"/>
        <w:gridCol w:w="64"/>
      </w:tblGrid>
      <w:tr>
        <w:trPr/>
        <w:tc>
          <w:tcPr>
            <w:tcW w:w="3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107"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95" w:hRule="atLeast"/>
        </w:trPr>
        <w:tc>
          <w:tcPr>
            <w:tcW w:w="305" w:type="dxa"/>
            <w:tcBorders/>
            <w:vAlign w:val="center"/>
          </w:tcPr>
          <w:p>
            <w:pPr>
              <w:pStyle w:val="TableContents"/>
              <w:bidi w:val="0"/>
              <w:spacing w:before="0" w:after="283"/>
              <w:jc w:val="left"/>
              <w:rPr>
                <w:sz w:val="4"/>
                <w:szCs w:val="4"/>
              </w:rPr>
            </w:pPr>
            <w:r>
              <w:rPr>
                <w:sz w:val="4"/>
                <w:szCs w:val="4"/>
              </w:rPr>
            </w:r>
          </w:p>
        </w:tc>
        <w:tc>
          <w:tcPr>
            <w:tcW w:w="9229"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2" w:type="dxa"/>
            <w:tcBorders/>
            <w:vAlign w:val="bottom"/>
          </w:tcPr>
          <w:p>
            <w:pPr>
              <w:pStyle w:val="TableContents"/>
              <w:bidi w:val="0"/>
              <w:spacing w:before="0" w:after="283"/>
              <w:jc w:val="left"/>
              <w:rPr/>
            </w:pPr>
            <w:r>
              <w:rPr/>
              <w:t> </w:t>
            </w:r>
          </w:p>
        </w:tc>
        <w:tc>
          <w:tcPr>
            <w:tcW w:w="9107" w:type="dxa"/>
            <w:tcBorders/>
            <w:vAlign w:val="bottom"/>
          </w:tcPr>
          <w:p>
            <w:pPr>
              <w:pStyle w:val="TableContents"/>
              <w:bidi w:val="0"/>
              <w:spacing w:before="0" w:after="283"/>
              <w:jc w:val="left"/>
              <w:rPr/>
            </w:pPr>
            <w:r>
              <w:rPr/>
              <w:t>ENTIRE AGREEMENT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rHeight w:val="195" w:hRule="atLeast"/>
        </w:trPr>
        <w:tc>
          <w:tcPr>
            <w:tcW w:w="305" w:type="dxa"/>
            <w:tcBorders/>
            <w:vAlign w:val="center"/>
          </w:tcPr>
          <w:p>
            <w:pPr>
              <w:pStyle w:val="TableContents"/>
              <w:bidi w:val="0"/>
              <w:spacing w:before="0" w:after="283"/>
              <w:jc w:val="left"/>
              <w:rPr>
                <w:sz w:val="4"/>
                <w:szCs w:val="4"/>
              </w:rPr>
            </w:pPr>
            <w:r>
              <w:rPr>
                <w:sz w:val="4"/>
                <w:szCs w:val="4"/>
              </w:rPr>
            </w:r>
          </w:p>
        </w:tc>
        <w:tc>
          <w:tcPr>
            <w:tcW w:w="9229"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2" w:type="dxa"/>
            <w:tcBorders/>
            <w:vAlign w:val="bottom"/>
          </w:tcPr>
          <w:p>
            <w:pPr>
              <w:pStyle w:val="TableContents"/>
              <w:bidi w:val="0"/>
              <w:spacing w:before="0" w:after="283"/>
              <w:jc w:val="left"/>
              <w:rPr/>
            </w:pPr>
            <w:r>
              <w:rPr/>
              <w:t> </w:t>
            </w:r>
          </w:p>
        </w:tc>
        <w:tc>
          <w:tcPr>
            <w:tcW w:w="9107" w:type="dxa"/>
            <w:tcBorders/>
            <w:vAlign w:val="bottom"/>
          </w:tcPr>
          <w:p>
            <w:pPr>
              <w:pStyle w:val="TableContents"/>
              <w:bidi w:val="0"/>
              <w:spacing w:before="0" w:after="283"/>
              <w:jc w:val="left"/>
              <w:rPr/>
            </w:pPr>
            <w:r>
              <w:rPr/>
              <w:t>INVALIDITY</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rHeight w:val="195" w:hRule="atLeast"/>
        </w:trPr>
        <w:tc>
          <w:tcPr>
            <w:tcW w:w="305" w:type="dxa"/>
            <w:tcBorders/>
            <w:vAlign w:val="center"/>
          </w:tcPr>
          <w:p>
            <w:pPr>
              <w:pStyle w:val="TableContents"/>
              <w:bidi w:val="0"/>
              <w:spacing w:before="0" w:after="283"/>
              <w:jc w:val="left"/>
              <w:rPr>
                <w:sz w:val="4"/>
                <w:szCs w:val="4"/>
              </w:rPr>
            </w:pPr>
            <w:r>
              <w:rPr>
                <w:sz w:val="4"/>
                <w:szCs w:val="4"/>
              </w:rPr>
            </w:r>
          </w:p>
        </w:tc>
        <w:tc>
          <w:tcPr>
            <w:tcW w:w="9229"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0"/>
              <w:jc w:val="left"/>
              <w:rPr>
                <w:rFonts w:ascii="Times New Roman" w:hAnsi="Times New Roman"/>
                <w:sz w:val="20"/>
              </w:rPr>
            </w:pPr>
            <w:r>
              <w:rPr>
                <w:rFonts w:ascii="Times New Roman" w:hAnsi="Times New Roman"/>
                <w:sz w:val="20"/>
              </w:rPr>
              <w:t>50.</w:t>
            </w:r>
          </w:p>
        </w:tc>
        <w:tc>
          <w:tcPr>
            <w:tcW w:w="122" w:type="dxa"/>
            <w:tcBorders/>
            <w:vAlign w:val="bottom"/>
          </w:tcPr>
          <w:p>
            <w:pPr>
              <w:pStyle w:val="TableContents"/>
              <w:bidi w:val="0"/>
              <w:spacing w:before="0" w:after="283"/>
              <w:jc w:val="left"/>
              <w:rPr/>
            </w:pPr>
            <w:r>
              <w:rPr/>
              <w:t> </w:t>
            </w:r>
          </w:p>
        </w:tc>
        <w:tc>
          <w:tcPr>
            <w:tcW w:w="9107" w:type="dxa"/>
            <w:tcBorders/>
            <w:vAlign w:val="bottom"/>
          </w:tcPr>
          <w:p>
            <w:pPr>
              <w:pStyle w:val="TableContents"/>
              <w:bidi w:val="0"/>
              <w:spacing w:before="0" w:after="283"/>
              <w:jc w:val="left"/>
              <w:rPr/>
            </w:pPr>
            <w:r>
              <w:rPr/>
              <w:t>FURTHER ASSURANCE</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rHeight w:val="195" w:hRule="atLeast"/>
        </w:trPr>
        <w:tc>
          <w:tcPr>
            <w:tcW w:w="305" w:type="dxa"/>
            <w:tcBorders/>
            <w:vAlign w:val="center"/>
          </w:tcPr>
          <w:p>
            <w:pPr>
              <w:pStyle w:val="TableContents"/>
              <w:bidi w:val="0"/>
              <w:spacing w:before="0" w:after="283"/>
              <w:jc w:val="left"/>
              <w:rPr>
                <w:sz w:val="4"/>
                <w:szCs w:val="4"/>
              </w:rPr>
            </w:pPr>
            <w:r>
              <w:rPr>
                <w:sz w:val="4"/>
                <w:szCs w:val="4"/>
              </w:rPr>
            </w:r>
          </w:p>
        </w:tc>
        <w:tc>
          <w:tcPr>
            <w:tcW w:w="9229"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2" w:type="dxa"/>
            <w:tcBorders/>
            <w:vAlign w:val="bottom"/>
          </w:tcPr>
          <w:p>
            <w:pPr>
              <w:pStyle w:val="TableContents"/>
              <w:bidi w:val="0"/>
              <w:spacing w:before="0" w:after="283"/>
              <w:jc w:val="left"/>
              <w:rPr/>
            </w:pPr>
            <w:r>
              <w:rPr/>
              <w:t> </w:t>
            </w:r>
          </w:p>
        </w:tc>
        <w:tc>
          <w:tcPr>
            <w:tcW w:w="9107" w:type="dxa"/>
            <w:tcBorders/>
            <w:vAlign w:val="bottom"/>
          </w:tcPr>
          <w:p>
            <w:pPr>
              <w:pStyle w:val="TableContents"/>
              <w:bidi w:val="0"/>
              <w:spacing w:before="0" w:after="283"/>
              <w:jc w:val="left"/>
              <w:rPr/>
            </w:pPr>
            <w:r>
              <w:rPr/>
              <w:t>THIRD PARTY RIGHTS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rHeight w:val="195" w:hRule="atLeast"/>
        </w:trPr>
        <w:tc>
          <w:tcPr>
            <w:tcW w:w="305" w:type="dxa"/>
            <w:tcBorders/>
            <w:vAlign w:val="center"/>
          </w:tcPr>
          <w:p>
            <w:pPr>
              <w:pStyle w:val="TableContents"/>
              <w:bidi w:val="0"/>
              <w:spacing w:before="0" w:after="283"/>
              <w:jc w:val="left"/>
              <w:rPr>
                <w:sz w:val="4"/>
                <w:szCs w:val="4"/>
              </w:rPr>
            </w:pPr>
            <w:r>
              <w:rPr>
                <w:sz w:val="4"/>
                <w:szCs w:val="4"/>
              </w:rPr>
            </w:r>
          </w:p>
        </w:tc>
        <w:tc>
          <w:tcPr>
            <w:tcW w:w="9229"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2" w:type="dxa"/>
            <w:tcBorders/>
            <w:vAlign w:val="bottom"/>
          </w:tcPr>
          <w:p>
            <w:pPr>
              <w:pStyle w:val="TableContents"/>
              <w:bidi w:val="0"/>
              <w:spacing w:before="0" w:after="283"/>
              <w:jc w:val="left"/>
              <w:rPr/>
            </w:pPr>
            <w:r>
              <w:rPr/>
              <w:t> </w:t>
            </w:r>
          </w:p>
        </w:tc>
        <w:tc>
          <w:tcPr>
            <w:tcW w:w="9107" w:type="dxa"/>
            <w:tcBorders/>
            <w:vAlign w:val="bottom"/>
          </w:tcPr>
          <w:p>
            <w:pPr>
              <w:pStyle w:val="TableContents"/>
              <w:bidi w:val="0"/>
              <w:spacing w:before="0" w:after="283"/>
              <w:jc w:val="left"/>
              <w:rPr/>
            </w:pPr>
            <w:r>
              <w:rPr/>
              <w:t>GOVERNING LAW</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rHeight w:val="195"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SCHEDULE 1 PRC LICENSEES AS AT THE DATE OF THIS AGREEMENT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rHeight w:val="195"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SCHEDULE 2 PRICING CALCULATION</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rHeight w:val="195"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SCHEDULE 3 PRO FORMA PAYMENT REPORT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rHeight w:val="195"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SCHEDULE 4 PERMITTED DEVIATIONS AND LICENSING EXCEPTIONS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rHeight w:val="195"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SCHEDULE 5 EXAMPLE PRODUCT LIFECYCLE MANAGEMENT REQUIREMENTS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THIS AGREEMENT</w:t>
      </w:r>
      <w:r>
        <w:rPr>
          <w:rFonts w:ascii="Times New Roman" w:hAnsi="Times New Roman"/>
          <w:sz w:val="20"/>
        </w:rPr>
        <w:t xml:space="preserve"> is made the 24th day of April 2018 </w:t>
      </w:r>
    </w:p>
    <w:p>
      <w:pPr>
        <w:pStyle w:val="TextBody"/>
        <w:bidi w:val="0"/>
        <w:spacing w:before="120" w:after="0"/>
        <w:jc w:val="left"/>
        <w:rPr>
          <w:rFonts w:ascii="Times New Roman" w:hAnsi="Times New Roman"/>
          <w:sz w:val="20"/>
        </w:rPr>
      </w:pPr>
      <w:r>
        <w:rPr>
          <w:rFonts w:ascii="Times New Roman" w:hAnsi="Times New Roman"/>
          <w:b/>
          <w:sz w:val="20"/>
        </w:rPr>
        <w:t>BETWEEN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ARM LIMITED</w:t>
            </w:r>
            <w:r>
              <w:rPr>
                <w:rFonts w:ascii="Times New Roman" w:hAnsi="Times New Roman"/>
                <w:sz w:val="20"/>
              </w:rPr>
              <w:t>, a company incorporated under the laws of England with company registration number 02557590 and whose registered office is at 110 Fulbourn Road, Cambridge, Cambridgeshire, CB1 9NJ (</w:t>
            </w:r>
            <w:r>
              <w:rPr>
                <w:rFonts w:ascii="Times New Roman" w:hAnsi="Times New Roman"/>
                <w:b/>
                <w:sz w:val="20"/>
              </w:rPr>
              <w:t>ARM</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pPr>
            <w:r>
              <w:rPr>
                <w:rFonts w:ascii="Times New Roman" w:hAnsi="Times New Roman"/>
                <w:b/>
                <w:sz w:val="20"/>
              </w:rPr>
              <w:t xml:space="preserve">ARM TECHNOLOGY (CHINA) CO. LTD </w:t>
            </w:r>
            <w:r>
              <w:rPr>
                <w:rFonts w:ascii="Times New Roman" w:hAnsi="Times New Roman"/>
                <w:sz w:val="20"/>
              </w:rPr>
              <w:t>(</w:t>
            </w:r>
            <w:r>
              <w:rPr>
                <w:rFonts w:eastAsia="pmingliu"/>
                <w:sz w:val="18"/>
              </w:rPr>
              <w:t>安谋科技（中国）有限公司</w:t>
            </w:r>
            <w:r>
              <w:rPr>
                <w:rFonts w:ascii="Times New Roman" w:hAnsi="Times New Roman"/>
                <w:sz w:val="20"/>
              </w:rPr>
              <w:t>), a sino-foreign equity joint venture limited liability company incorporated in the Peoples Republic of China whose principal place of business is situated at Room 201, Building A, No. 1 First Qianwan Road, Qianhai Shengang Cooperation Zone, Shenzhen (</w:t>
            </w:r>
            <w:r>
              <w:rPr>
                <w:rFonts w:eastAsia="pmingliu"/>
                <w:sz w:val="18"/>
              </w:rPr>
              <w:t>深圳市前海深港合作区前湾一路</w:t>
            </w:r>
            <w:r>
              <w:rPr>
                <w:rFonts w:ascii="Times New Roman" w:hAnsi="Times New Roman"/>
                <w:sz w:val="20"/>
              </w:rPr>
              <w:t>1</w:t>
            </w:r>
            <w:r>
              <w:rPr>
                <w:rFonts w:eastAsia="pmingliu"/>
                <w:sz w:val="18"/>
              </w:rPr>
              <w:t>号</w:t>
            </w:r>
            <w:r>
              <w:rPr>
                <w:rFonts w:ascii="Times New Roman" w:hAnsi="Times New Roman"/>
                <w:sz w:val="20"/>
              </w:rPr>
              <w:t>A</w:t>
            </w:r>
            <w:r>
              <w:rPr>
                <w:rFonts w:eastAsia="pmingliu"/>
                <w:sz w:val="18"/>
              </w:rPr>
              <w:t>栋</w:t>
            </w:r>
            <w:r>
              <w:rPr>
                <w:rFonts w:eastAsia="Times New Roman"/>
                <w:sz w:val="20"/>
              </w:rPr>
              <w:t xml:space="preserve"> </w:t>
            </w:r>
            <w:r>
              <w:rPr>
                <w:rFonts w:ascii="Times New Roman" w:hAnsi="Times New Roman"/>
                <w:sz w:val="20"/>
              </w:rPr>
              <w:t>201</w:t>
            </w:r>
            <w:r>
              <w:rPr>
                <w:rFonts w:eastAsia="pmingliu"/>
                <w:sz w:val="18"/>
              </w:rPr>
              <w:t>室</w:t>
            </w:r>
            <w:r>
              <w:rPr>
                <w:rFonts w:ascii="Times New Roman" w:hAnsi="Times New Roman"/>
                <w:sz w:val="20"/>
              </w:rPr>
              <w:t>), the PRC (</w:t>
            </w:r>
            <w:r>
              <w:rPr>
                <w:rFonts w:ascii="Times New Roman" w:hAnsi="Times New Roman"/>
                <w:b/>
                <w:sz w:val="20"/>
              </w:rPr>
              <w:t>JVCo</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each a </w:t>
      </w:r>
      <w:r>
        <w:rPr>
          <w:rFonts w:ascii="Times New Roman" w:hAnsi="Times New Roman"/>
          <w:b/>
          <w:sz w:val="20"/>
        </w:rPr>
        <w:t>Party</w:t>
      </w:r>
      <w:r>
        <w:rPr>
          <w:rFonts w:ascii="Times New Roman" w:hAnsi="Times New Roman"/>
          <w:sz w:val="20"/>
        </w:rPr>
        <w:t> and together the </w:t>
      </w:r>
      <w:r>
        <w:rPr>
          <w:rFonts w:ascii="Times New Roman" w:hAnsi="Times New Roman"/>
          <w:b/>
          <w:sz w:val="20"/>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(A)</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ARM, HOPU-ARM Innovation Fund L.P. (</w:t>
            </w:r>
            <w:r>
              <w:rPr>
                <w:rFonts w:ascii="Times New Roman" w:hAnsi="Times New Roman"/>
                <w:b/>
                <w:sz w:val="20"/>
              </w:rPr>
              <w:t>HOPU</w:t>
            </w:r>
            <w:r>
              <w:rPr>
                <w:rFonts w:ascii="Times New Roman" w:hAnsi="Times New Roman"/>
                <w:sz w:val="20"/>
              </w:rPr>
              <w:t>) and JVCo have entered into an Investment Agreement dated 29 September 2017 and have established therein the terms and conditions on which ARM and HOPU intend to establish a joint venture (the </w:t>
            </w:r>
            <w:r>
              <w:rPr>
                <w:rFonts w:ascii="Times New Roman" w:hAnsi="Times New Roman"/>
                <w:b/>
                <w:sz w:val="20"/>
              </w:rPr>
              <w:t>Investment Agreement</w:t>
            </w:r>
            <w:r>
              <w:rPr>
                <w:rFonts w:ascii="Times New Roman" w:hAnsi="Times New Roman"/>
                <w:sz w:val="20"/>
              </w:rPr>
              <w:t>). ARM and certain SPV entities will be entering into a joint venture contract at the Closing Date, which will establish therein the terms and conditions of the operation of JVCo (the </w:t>
            </w:r>
            <w:r>
              <w:rPr>
                <w:rFonts w:ascii="Times New Roman" w:hAnsi="Times New Roman"/>
                <w:b/>
                <w:sz w:val="20"/>
              </w:rPr>
              <w:t>Joint Venture Contract</w:t>
            </w:r>
            <w:r>
              <w:rPr>
                <w:rFonts w:ascii="Times New Roman" w:hAnsi="Times New Roman"/>
                <w:sz w:val="20"/>
              </w:rPr>
              <w:t xml:space="preserve">). An agreed form draft of the Joint Venture Contract is included at Exhibit III of the Investment Agreement and, from the date of this Agreement until the Closing Date, such agreed form draft shall be deemed to be the Joint Venture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(B)</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Joint Venture Contract contemplates that JVCo will: (i) enter into licensing arrangements with PRC Licensees (as defined below) with respect to Original ARM Products (as defined below), including Licensed ARM Architectures (as defined below), and ARM Derivative Products (as defined below); (ii) develop and enter into licensing arrangements with PRC Licensees with respect to Derivative Products (as defined below); and (iii) develop and enter into licensing arrangements with PRC Licensees with respect to Independent Products (as defined below), in each case, in accordance with the terms and conditions of this Agreement and the Transaction Documents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(C)</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Joint Venture Contract also contemplates that ARM will enter into licensing arrangements with Non-PRC Licensees (as defined below) with respect to Derivative Products, Independent Products and ARM Derivative Products in accordance with the terms and conditions of this Agreement and the terms and conditions of the Transaction Documents.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(D)</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facilitate the activities listed at (B) above, ARM has agreed to grant, and JVCo has agreed to take a license of, the ARM Licensed IP (as defined below) on the terms and conditions set out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(E)</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set out at (B) above, it is anticipated that JVCo will develop Derivative Products and Independent Products (in which JVCo Licensed IP will subsist).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(F)</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facilitate the activities listed at (C) above, JVCo has agreed to grant, and ARM has agreed to take a license of, the JVCo Licensed IP on the terms and conditions set out in this Agreement. </w:t>
            </w:r>
          </w:p>
        </w:tc>
      </w:tr>
    </w:tbl>
    <w:p>
      <w:pPr>
        <w:pStyle w:val="TextBody"/>
        <w:bidi w:val="0"/>
        <w:spacing w:before="240" w:after="0"/>
        <w:jc w:val="left"/>
        <w:rPr>
          <w:rFonts w:ascii="Times New Roman" w:hAnsi="Times New Roman"/>
          <w:sz w:val="20"/>
        </w:rPr>
      </w:pPr>
      <w:r>
        <w:rPr>
          <w:rFonts w:ascii="Times New Roman" w:hAnsi="Times New Roman"/>
          <w:b/>
          <w:sz w:val="20"/>
        </w:rPr>
        <w:t>NOW IT IS HEREBY AGREED</w:t>
      </w:r>
      <w:r>
        <w:rPr>
          <w:rFonts w:ascii="Times New Roman" w:hAnsi="Times New Roman"/>
          <w:sz w:val="20"/>
        </w:rPr>
        <w:t xml:space="preserv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1.</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Agreement the following words and expressions shall have the following meanings: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1"/>
        <w:gridCol w:w="203"/>
        <w:gridCol w:w="7961"/>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Acceptable Accounting Firm</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(i) PricewaterhouseCoopers, Ernst &amp; Young, KPMG, Deloitte, BDO Stoy Hayward, Grant Thornton or Mazars provided, in each case, that such firm is independent of the Parties; or (ii) such other firm of certified public accountants agreed by the Parties, provided that such firm is independent of the Parties;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Adjudicating Firm</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40.15.1;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Adjudicating Firms Decision</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40.15.1;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Agreement</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this ARM IP License Agreement entered into by the Parties as of the date hereof;</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Alternative Third Party Workaround</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5.4.2;</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Alternative Workaround</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each Alternative Third Party Workaround and each Other Alternative Workaround;</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Anti-Bribery and Anti-Corruption Policy</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Applicable Law</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with respect to any Person, any transnational, domestic or foreign federal, national, state, provincial or local law (statutory, common or otherwise), constitution, treaty, convention, ordinance, code, rule, regulation, order, injunction, judgment, decree, ruling or other similar requirement enacted, adopted, promulgated or applied by a Governmental Entity that is binding upon or applicable to such Person, as amended unless expressly specified otherwise;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4"/>
        <w:gridCol w:w="7960"/>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0"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Applicable Model License</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(i) the appropriate ARM Model License in the case of each Original ARM Product, Derivative Product and ARM Derivative Product derived from a Derivative Product;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the appropriate JVCo Model License in the case of each ARM Derivative Product derived from an Independent Product and Independent Product;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Arbitration Referral Notice</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has the meaning given to that term in Clause 40.4;</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Architecture Compliant Cores</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means, with respect to each Licensed ARM Architecture, the cores that meet the requirements of the definition of Architecture Compliant Cores in the relevant ARM Model License for that Licensed ARM Architecture;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Architecture IP</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(i) the ARM IP that subsists in the Architecture Reference Manuals;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the AVS IP;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any Necessary Claims in any Patents Controlled by the ARM Group,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but excluding any Trade Marks;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Architecture License</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means any licensing arrangement between JVCo and a PRC Licensee with respect to any ARM Architecture for the development of Architecture Compliant Cores;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Architecture Reference Manuals</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means, from time to time, the architecture reference manuals that relate to any of the Licensed ARM Architectures (being, at the date of this Agreement, the manuals with document numbers: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Recitals above;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Architectures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the instruction set architectures developed by, or on behalf of, the ARM Group;</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Brand Trade Marks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Trade Marks that constitute ARM IP and subsist in the Arm name and the brand names used by ARM, from time to time, with respect to the Original ARM Products and the ARM Derivative Products;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ARM Charge</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the amount payable by ARM to JVCo in accordance with Clause 23.2, as calculated in accordance with Part C of Schedule 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Compliant Product(s)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with respect to the JVCo Licensed Products, the products that meet the requirements of the definition of ARM Compliant Products in the relevant ARM Model License for that JVCo Licensed Product;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Consequences Notice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Derivative Product(s)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technology developed by, on behalf of, the ARM Group, or otherwise licensed, provided, or made available, by the ARM Group, the exploitation of which would (in the absence of the licenses granted pursuant to this Agreement) infringe any Intellectual Property that is owned by JVCo (or licensed to JVCo by a third party) and licensed to ARM pursuant to this Agreement (excluding the Co-owned IP and, for the avoidance of doubt, the ARM Licensed IP);</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Documentation</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written documentation developed by, or on behalf of, ARM, from time to time, that provides guidance on the Original ARM Products and the ARM Derivative Products, which documentation includes the Architecture Reference Manuals;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Group</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(i) ARM;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all Subsidiaries of ARM;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ARM Holdings plc for so long as ARM Holdings plc owns more than 50% of the shares of ARM;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(iv) all Subsidiaries of ARM Holdings plc as at the date of the Investment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Infringement Suit</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18.1;</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IP</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Intellectual Property that, from time to time, is Controlled by the ARM Group;</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Licensed IP</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the rights licensed by ARM to JVCo under this Agreement, being the: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(i) Architecture IP;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Product IP;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(iii)  ARM Brand Trade Marks;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ARM Licensee Claim</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 claim brought by a Non-PRC Licensee against ARM in connection with a license agreement for a JVCo Licensed Product, whether for breach of contract, tort (including negligence), as an ARM Licensee Indemnity Claim or otherwise;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Licensee Indemnity Claim</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18.2;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Model Licenses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from time to time: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(i) with respect to each Original ARM Product and each ARM Derivative Product derived from a Derivative Product, the template license agreement (as provided by ARM to JVCo) that sets out the terms on which ARM licenses that particular technology to its licensees;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with respect to each Derivative Product, the template license agreement (as provided by ARM to JVCo) that is substantially similar to the equivalent license under limb (i) for the most closely equivalent Original ARM Product;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ARM Product and Market Data</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(i) roadmap information of ARM or any PRC Licensee that pertains to ARM Semiconductor Technology;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customer plans that pertain to ARM Semiconductor Technology;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technical engineering discussions relating to existing or future ARM Semiconductor Technology;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(iv) software systems and platforms which may need to be supported by ARM Semiconductor Technology;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Semiconductor Technology</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from time to time, Semiconductor Technology that is developed by, or on behalf of, the ARM Group or otherwise licensed, provided, or made available, by the ARM Group (including, for the avoidance of doubt, the Licensed ARM Architectures) but excluding any Semiconductor Technology that subsists within the Excluded Products;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Semiconductor Technology IP</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ARM IP that, from time to time, subsists in ARM Semiconductor Technology;</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ARM Update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 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(i) error corrections developed by or for the ARM Group;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functional enhancements or other modifications developed by or for the ARM Group (which ARM in its discretion decides does not constitute a new product),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each case, together with any ARM IP embodied therein;</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Assert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to bring an action of any nature before any legal, judicial, arbitral, administrative, executive or other type of body or tribunal that has, or claims to have, authority to adjudicate such action in whole or in part;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Assisting Party</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22.2.1(i);</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Associated Person</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in relation to a body corporate the members of its Group and the officers, employees and agents of that body corporate and any member of its Group and any subcontractor or other person who performs services for or on behalf of that body corporate or any member of its Group;</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Auditors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25.1;</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AVS IP</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ARM IP that, from time to time, subsists in any ARM architectural validation suite that relates to a Licensed ARM Architecture including any ARM architectural validation suite for cryptography extensions (in each case, including, where relevant, source code, build support, user documentation and a suitable target run-time environment, which includes an instruction set simulator, for its execution);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Bookings Forecast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 forecast of the total monetary value (based on License Fees) of the license agreements that JVCo or ARM (as applicable) anticipates that it will enter into for the remainder of the Calendar Quarter in which the forecast is given and the following four Calendar Quarters;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Business Day</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day, other than a Saturday, Sunday or any day which is a legal holiday under the Applicable Law of the PRC or London or is a day on which banking institutions located in Shenzhen, PRC, or London are authorised or required by Applicable Law to close;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Business Plan</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Breaching Party</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29.1;</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Calendar Quarter</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each of the four periods of three consecutive calendar months, starting on 1 January, 1 April, 1 July and 1 October;</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Closing Date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Investment Agreement;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Commercial</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solely to the extent that is used to describe types of license grants: (i) licenses that are granted in return for payment of royalty, fees or other monetary compensation or benefits that bear a direct commercial value to the licensing party, and (ii) other licenses that are granted directly in anticipation or preparation of the licenses described in (i), including evaluation and trial licenses;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Company Name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Arm Technology (China) Co. Ltd and the trading name of JVCo (in each case, as amended from time to time in accordance with the Joint Venture Contract);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Comparable Architecture License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Architecture License granted by ARM (or a member of the ARM Group) to a PRC Licensee where the terms of that Architecture License are broadly comparable to the rights granted by ARM to JVCo under this Agreement;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Confidential Information</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(i) the Original ARM Products, the ARM Derivative Products, the Derivative Products and the Independent Products (including any translation, modification, compilation, abridgement or other form in which the Original ARM Product, the ARM Derivative Product, the Derivative Product or the Independent Product has been recast, transformed or adapted, including Architecture Compliant Cores but excluding silicon) and any trade secrets relating to the Original ARM Products, the ARM Derivative Products, the Derivative Products and the Independent Products;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(ii)  any information designated in writing by either Party, by appropriate legend, as confidential;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any information which if first disclosed orally is identified as confidential at the time of disclosure and is thereafter reduced to writing and sent to the other Party within [***] days after its oral disclosure and designated, by appropriate legend, as confidential;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(iv) the terms and conditions of this Agreement and the Co-ownership Deed;</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Controlled</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 with respect to a person, any Intellectual Property that such person (or any of its wholly owned Subsidiaries):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(i) solely owns such Intellectual Property;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owns such Intellectual Property as co-owner and has rights to license such Intellectual Property on terms consistent with the terms set out in this Agreement without being obligated or otherwise required to pay any additional monetary or other financial consideration to any other person and/or obtain the consent of any other person (excluding the Co-owned IP);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(iii)  has a license (in writing or otherwise) to, together with rights to sub-license such Intellectual Property on terms consistent with the terms set out in this Agreement without being obligated or otherwise required to pay any additional monetary or other financial consideration to any other person and/or obtain the consent of any other person;</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Co-owned IP</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(i) the Intellectual Property that is co-owned by: (a) ARM (or a member of the ARM Group) on one hand; and (b) JVCo (or a member of the JVCo Group) on the other, pursuant to the Co-ownership Deed; and (ii) any other Intellectual Property that is co-owned by any member of the ARM Group and any member of the JVCo Group, from time to time;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Co-ownership Deed</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the co-ownership deed between ARM, ARM Norway AS, Sunrise Micro Devices Inc and JVCo dated 24th April 2018;</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b/>
              </w:rPr>
              <w:t>Copyright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(whether registered or not) any works of authorship, copyrights, database rights, mask work rights, integrated circuit layout designs and any registrations and applications therefor;</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CPU Core(s)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 microprocessor core;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4"/>
        <w:gridCol w:w="7960"/>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0"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Data Room</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has the meaning given to that term in the Investment Agreement;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Derivative Product(s)</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means any technology developed by, or on behalf of, JVCo or otherwise licensed, provided, or made available, by JVCo which:</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(i) constitutes Semiconductor Technology (including Architecture Compliant Cores designed by JVCo);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the exploitation of which would (in the absence of the licenses granted pursuant to this Agreement) infringe any Intellectual Property that is: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 Controlled by a member of the ARM Group;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 licensed by a member of the ARM Group to any PRC Licensees pursuant to a Direct Licensing Arrangement;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 Co-owned IP;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(including, for the avoidance of doubt, Mutual Roadmap Derivative Products);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Design Services</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means services relating to the design of integrated circuits;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means [***];</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Direct Investor</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Direct Licensing Arrangement</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means each Direct Third Party Licensing Arrangement and each Other Direct Licensing Arrangement;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Direct Third Party Licensing Arrangement</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has the meaning given to that term in Clause 5.4.2;</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Disclosed PRC Licensee List</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means the list of entities set out in Part B of Section 3.08(a) of the Disclosure Schedule;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Disclosure Schedule</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has the meaning given to that term in the Investment Agreement;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Dispute</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has the meaning given to that term in Clause 40.1;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Dispute Notice</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0"/>
              <w:jc w:val="left"/>
              <w:rPr>
                <w:rFonts w:ascii="Times New Roman" w:hAnsi="Times New Roman"/>
                <w:sz w:val="20"/>
              </w:rPr>
            </w:pPr>
            <w:r>
              <w:rPr>
                <w:rFonts w:ascii="Times New Roman" w:hAnsi="Times New Roman"/>
                <w:sz w:val="20"/>
              </w:rPr>
              <w:t>has the meaning given to that term in Clause 40.2;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Downstream Affiliates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with respect to either Party, any entity whose rights in the Relevant Licensed IP are ultimately derived from or licensed by that Party (including, for the avoidance of doubt, its licensees, their sub-licensees and customers and any sub-sub-licensees and customers of such sub-licensees), provided that, for the purposes of this definition and notwithstanding the licenses granted herein, JVCo and its Downstream Affiliates shall not be considered Downstream Affiliates of ARM and ARM and its Downstream Affiliates shall not be considered Downstream Affiliates of JVCo;</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DSG Tools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Due Date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26.2;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EAC Release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that the deliverables so described are functionally complete and have been extensively validated, save that an EAC Release may not have been deployed in silicon or fully integrated into a system and therefore defects may exist that are not evident until the deliverable has been deployed in silicon or implemented into a system;</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Effective Date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the Operational Start-up Date;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Enlarged ARM Group</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with respect to ARM, any other Person that directly, or indirectly through one or more intermediaries, Controls, is Controlled by, or is under common Control with, ARM and (for the purposes of this definition and limb A(ii) of the definition of PRC Licensees only) </w:t>
            </w:r>
            <w:r>
              <w:rPr>
                <w:b/>
              </w:rPr>
              <w:t>Control</w:t>
            </w:r>
            <w:r>
              <w:rPr/>
              <w:t> means the possession, directly or indirectly, of the power to direct or cause the direction of the management or policies of a Person, whether through the ownership of voting securities, by contract or otherwise, or the direct or indirect ownership of a majority of the voting rights with respect to the election of directors of such Person, and </w:t>
            </w:r>
            <w:r>
              <w:rPr>
                <w:b/>
              </w:rPr>
              <w:t>Controlled</w:t>
            </w:r>
            <w:r>
              <w:rPr/>
              <w:t> shall be construed accordingly;</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Equity Interest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Escalation Notice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29.3;</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Essential Claim</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those claims in any patents owned by the JVCo Group which, without the permission of the owner, would be infringed when implementing a microprocessor core which implements a present or future version of the ARM Architecture as defined in the respective Architecture Reference Manual from time to time because no commercially reasonable, non-infringing alternative way of implementing such microprocessor core is available, only to the extent that such claims are embodied or taken into use in any Architecture Compliant Core developed by any member of the JVCo Group;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3"/>
        <w:gridCol w:w="7961"/>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Exceptional Cases</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licensing arrangements between a member of the ARM Group and its licensees relating to Obsolete Technology where such licensing arrangements are deemed to be reasonably necessary by such member of the ARM Group (acting reasonably) in circumstances where the licensee has previously had a license to that Obsolete Technology, before it became obsolete;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Excluded Products</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(i) the [***] product and all previous versions of that product (including those products named [***] or versions named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agreements relating to specifications (including (a) [***]; (b) [***]; and (c) agreements relating to the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(iv) agreements relating to [***];</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Export Laws</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8;</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Feedback</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all suggestions, comments, feedback, ideas, or know-how (whether in oral or written form) provided to: (i) the JVCo Group by its Downstream Affiliates relating to the JVCo Licensed Products; or (ii) the ARM Group by its Downstream Affiliates relating to the JVCo Licensed Products;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Force Majeure Event</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any fact or circumstance (including, without limitation, any act or omission of any third party and the impact of any Applicable Law, including Export Laws) beyond a Partys reasonable control, the impact of which could not reasonably be planned for, mitigated or avoided;</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Foreground IP</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Intellectual Property created or acquired, in the case of inventions, conceived by or on behalf of the JVCo Group that subsists in or relates to any Derivative Product or any Independent Product but excluding the Co-owned IP and, for the avoidance of doubt, any ARM IP;</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Good Industry Practice</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practices, methods and procedures (or one of a range of practices, methods and procedures) that has been or would be adopted by a leading developer of Semiconductor Technology, exercising in the general conduct of its undertaking that degree of skill, diligence, prudence and foresight which would ordinarily and reasonably be expected from a leading supplier engaged in the business of developing Semiconductor Technology;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Governmental Entity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any transnational, domestic or foreign federal, national, state, provincial or local governmental, regulatory or administrative authority, department, ministry, court, agency, commission or central bank, including any political subdivision thereof;</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Group</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save for ARM, in relation to any entity, that entity, its Subsidiaries, any holding company of that entity and all other Subsidiaries of any such holding company from time to time, provided that: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(i) neither JVCo nor any member of the JVCo Group shall be included in the Group of any Shareholder (including ARM);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neither ARM nor any member of the ARM Group shall be included in the JVCo Group;</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Income Tax</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any and all taxes on net income, profits or gains;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Indirect Taxes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any and all taxes including, without limitation, Business Tax, Culture Construction Fee, City Maintenance and Construction Tax, Education Surcharges, Local Education Levies, Shanghai Urban Construction Tax, Guangzhou Flood Prevention Fund, VAT, and custom duties, but excluding Income Tax;</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Independent Product</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any technology developed by, or on behalf of, the JVCo Group or otherwise licensed, provided, or made available, by the JVCo Group, the exploitation of which would not (even in the absence of the licenses granted pursuant to this Agreement) infringe any Intellectual Property that is: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(i) Controlled by ARM;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licensed by ARM to any PRC Licensees pursuant to a Direct Licensing Arrangement;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(iii)  Co-owned IP;</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In-Flight License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33.8;</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Innocent Party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29.1;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3"/>
        <w:gridCol w:w="7961"/>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Intellectual Property</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all: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Patents;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Trade Marks;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Trade Secrets;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(iv) Copyrights;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(v)   rights in designs;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(vi) database rights;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(vii) all rights or forms of protection, anywhere in the world, having equivalent or similar effect to the rights referred to in paragraphs (i) to (vi) above, in each case whether registered or unregistered and including applications for registration of any such thing;</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Invalidity Claim</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any actual or threatened claim alleging invalidity or unenforceability or challenging entitlement to, or ownership of, any ARM Licensed IP or JVCo Licensed IP (as the case may be), whether such claim is made in connection with the defence of an infringement or unauthorised use action or otherwise;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Investment Agreement</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the Recitals above;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IP Committee</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37.1;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IPG Ecosystem Partners</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PRC Licensees that undertake software development activities, supporting ARM Semiconductor Technology;</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Joint Venture Contract</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the Recitals above;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JVCo</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the Recitals above;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rPr>
            </w:pPr>
            <w:r>
              <w:rPr>
                <w:b/>
              </w:rPr>
              <w:t>JVCo Charge</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the amount payable by JVCo to ARM in accordance with Clause 23.1, as calculated in accordance with Part B of Schedule 2;</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JVCo Infringement Suit</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16.1;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4"/>
        <w:gridCol w:w="7960"/>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0"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JVCo Licensed IP</w:t>
            </w: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(i) any Intellectual Property that subsists in any Derivative Products or any documentation that relates to any Derivative Product;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any Intellectual Property that subsists in any Independent Products or any documentation that relates to any Independent Product,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including, for the avoidance of doubt, all Foreground IP and all rights in Trade Marks used by the JVCo Group in relation to such Derivative Products and Independent Products, but excluding any Co-owned IP and any ARM IP;</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JVCo Licensed Product(s)</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means any technology available to JVCo to license to PRC Licensees in accordance with the terms of this Agreement, being: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(i) Original ARM Products;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Derivative Products;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ARM Derivative Products;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(iv) Independent Products;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JVCo Licensee Claim</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means a claim brought by a PRC Licensee against JVCo in connection with a license agreement for a JVCo Licensed Product, whether for breach of contract, tort (including negligence), as a JVCo Licensee Indemnity Claim or otherwise;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JVCo Licensee Indemnity Claim</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283"/>
              <w:jc w:val="left"/>
              <w:rPr/>
            </w:pPr>
            <w:r>
              <w:rPr/>
              <w:t>has the meaning given to that term in Clause 16.2;</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JVCo Model Licenses</w:t>
            </w:r>
            <w:r>
              <w:rPr/>
              <w:t></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means, from time to time: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(i) with respect to each Independent Product, the template license agreement (as provided by JVCo to ARM) that sets out the terms on which JVCo licenses that particular technology to its licensees;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with respect to ARM Derivative Products derived from Independent Products, the template license agreement (as provided by JVCo to ARM) that is substantially similar to the equivalent license under limb (i) for the most closely equivalent Independent Product;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rPr>
            </w:pPr>
            <w:r>
              <w:rPr>
                <w:b/>
              </w:rPr>
              <w:t>JVCo Product and Market Data</w:t>
            </w:r>
          </w:p>
        </w:tc>
        <w:tc>
          <w:tcPr>
            <w:tcW w:w="204" w:type="dxa"/>
            <w:tcBorders/>
            <w:vAlign w:val="bottom"/>
          </w:tcPr>
          <w:p>
            <w:pPr>
              <w:pStyle w:val="TableContents"/>
              <w:bidi w:val="0"/>
              <w:spacing w:before="0" w:after="283"/>
              <w:jc w:val="left"/>
              <w:rPr/>
            </w:pPr>
            <w:r>
              <w:rPr/>
              <w:t>  </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(i) roadmap information of JVCo or any Non-PRC Licensee that pertains to Derivative Products and Independent Products;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customer plans that pertain to Derivative Products and Independent Products;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technical engineering discussions relating to existing or future Derivative Products and Independent Products;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(iv) software systems and platforms which may need to be supported by Derivative Products and Independent Products;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JVCo Revenue Share Percentage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Schedule 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JVCo Update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(i) error corrections developed by or for JVCo;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functional enhancements or other modifications developed by or for JVCo (which JVCo in its discretion decides does not constitute a new product),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each case, together with any JVCo Licensed IP embodied therein;</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JV Services Agreement</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the Investment Agreement;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LAC Release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that the deliverables so described are functionally complete but may not have been extensively validated and a LAC Release may not have been deployed in silicon or fully integrated into a system and therefore defects may exist that are not evident until the deliverable has been deployed in silicon or implemented into a system;</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Lead Partner Licenses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engagements with respect to any JVCo Licensed Products where the deliverables under that engagement are LAC Releases or earlier;</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Lead Party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22.2.1;</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Licensed ARM Architectures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(i) as at the date of this Agreement, the ARM Architectures with reference numbers ARMv8-R, ARMv8-A and ARMv8-M;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from time to time, the list set out at (i) above and any future ARM Architectures that have been Released;</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Licensed Party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21.2;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Licensee Enquiry Notice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31.1;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Licensing Exceptions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in response to a request raised by the relevant entity that is required to license on the terms of the relevant Applicable Model License, exceptions agreed (on a case by case basis and only in relation to specifically identified licenses) to the terms of the relevant Applicable Model License by: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(i) ARM (in the case of Original ARM Products);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the Roadmap Committee (in the case of Derivative Products and ARM Derivative Products);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JVCo (in the case of Independent Products).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each case, in accordance with paragraphs 2 and 3 of Schedule 4;</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Licensing Party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21.1;</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Listed PRC Entity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an entity which is the Ultimate Parent in a Group which is incorporated in the PRC and whose shares are traded on an official stock exchange;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Loss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losses, damages, costs, charges, expenses and liabilities;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Manufacturer</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any entity sub-contracted by JVCo to manufacture test chips for JVCo;</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Material Breach</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in the case of JVCo, includes: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 breach by JVCo of any of Clauses 6 (</w:t>
            </w:r>
            <w:r>
              <w:rPr>
                <w:rFonts w:ascii="Times New Roman" w:hAnsi="Times New Roman"/>
                <w:i/>
                <w:sz w:val="20"/>
              </w:rPr>
              <w:t>Restrictions on JVCo</w:t>
            </w:r>
            <w:r>
              <w:rPr>
                <w:rFonts w:ascii="Times New Roman" w:hAnsi="Times New Roman"/>
                <w:sz w:val="20"/>
              </w:rPr>
              <w:t>), 7.3 (</w:t>
            </w:r>
            <w:r>
              <w:rPr>
                <w:rFonts w:ascii="Times New Roman" w:hAnsi="Times New Roman"/>
                <w:i/>
                <w:sz w:val="20"/>
              </w:rPr>
              <w:t>No exploitation of ARM Licensed IP other than authorised</w:t>
            </w:r>
            <w:r>
              <w:rPr>
                <w:rFonts w:ascii="Times New Roman" w:hAnsi="Times New Roman"/>
                <w:sz w:val="20"/>
              </w:rPr>
              <w:t>), 13.3 (</w:t>
            </w:r>
            <w:r>
              <w:rPr>
                <w:rFonts w:ascii="Times New Roman" w:hAnsi="Times New Roman"/>
                <w:i/>
                <w:sz w:val="20"/>
              </w:rPr>
              <w:t>Delivery of IP</w:t>
            </w:r>
            <w:r>
              <w:rPr>
                <w:rFonts w:ascii="Times New Roman" w:hAnsi="Times New Roman"/>
                <w:sz w:val="20"/>
              </w:rPr>
              <w:t>), 14.1 (</w:t>
            </w:r>
            <w:r>
              <w:rPr>
                <w:rFonts w:ascii="Times New Roman" w:hAnsi="Times New Roman"/>
                <w:i/>
                <w:sz w:val="20"/>
              </w:rPr>
              <w:t>Exclusivity of Certain License Grants</w:t>
            </w:r>
            <w:r>
              <w:rPr>
                <w:rFonts w:ascii="Times New Roman" w:hAnsi="Times New Roman"/>
                <w:sz w:val="20"/>
              </w:rPr>
              <w:t>), 36 (</w:t>
            </w:r>
            <w:r>
              <w:rPr>
                <w:rFonts w:ascii="Times New Roman" w:hAnsi="Times New Roman"/>
                <w:i/>
                <w:sz w:val="20"/>
              </w:rPr>
              <w:t>Anti-Corruption</w:t>
            </w:r>
            <w:r>
              <w:rPr>
                <w:rFonts w:ascii="Times New Roman" w:hAnsi="Times New Roman"/>
                <w:sz w:val="20"/>
              </w:rPr>
              <w:t>) and 41 (</w:t>
            </w:r>
            <w:r>
              <w:rPr>
                <w:rFonts w:ascii="Times New Roman" w:hAnsi="Times New Roman"/>
                <w:i/>
                <w:sz w:val="20"/>
              </w:rPr>
              <w:t>Assignment</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an amount in excess of USD [***] being owed by JVCo to ARM and not paid to ARM within [***] days of the relevant Due Date (excluding, until the Resolved Payment Due Date, any amounts that are the subject of an ongoing bona fide Payment Dispute pursuant to any of Clauses 26.4, 26.5 and 40);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a material breach by JVCo of this Agreement;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(iv) a persistent breach by JVCo of this Agreement;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(v)   multiple breaches by JVCo of this Agreement that, when considered together, amount to a material breach,</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and in the case of ARM, includes: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(vi) a breach by ARM of any of Clauses 2.1 (</w:t>
            </w:r>
            <w:r>
              <w:rPr>
                <w:rFonts w:ascii="Times New Roman" w:hAnsi="Times New Roman"/>
                <w:i/>
                <w:sz w:val="20"/>
              </w:rPr>
              <w:t>Exclusivity of Certain License Grants</w:t>
            </w:r>
            <w:r>
              <w:rPr>
                <w:rFonts w:ascii="Times New Roman" w:hAnsi="Times New Roman"/>
                <w:sz w:val="20"/>
              </w:rPr>
              <w:t>), 3.5 (</w:t>
            </w:r>
            <w:r>
              <w:rPr>
                <w:rFonts w:ascii="Times New Roman" w:hAnsi="Times New Roman"/>
                <w:i/>
                <w:sz w:val="20"/>
              </w:rPr>
              <w:t>Delivery of IP</w:t>
            </w:r>
            <w:r>
              <w:rPr>
                <w:rFonts w:ascii="Times New Roman" w:hAnsi="Times New Roman"/>
                <w:sz w:val="20"/>
              </w:rPr>
              <w:t>), 3.6 (</w:t>
            </w:r>
            <w:r>
              <w:rPr>
                <w:rFonts w:ascii="Times New Roman" w:hAnsi="Times New Roman"/>
                <w:i/>
                <w:sz w:val="20"/>
              </w:rPr>
              <w:t xml:space="preserve">Delivery of Updates), </w:t>
            </w:r>
            <w:r>
              <w:rPr>
                <w:rFonts w:ascii="Times New Roman" w:hAnsi="Times New Roman"/>
                <w:sz w:val="20"/>
              </w:rPr>
              <w:t>3.10 (</w:t>
            </w:r>
            <w:r>
              <w:rPr>
                <w:rFonts w:ascii="Times New Roman" w:hAnsi="Times New Roman"/>
                <w:i/>
                <w:sz w:val="20"/>
              </w:rPr>
              <w:t>Restrictions on Development of ARM Derivative Products</w:t>
            </w:r>
            <w:r>
              <w:rPr>
                <w:rFonts w:ascii="Times New Roman" w:hAnsi="Times New Roman"/>
                <w:sz w:val="20"/>
              </w:rPr>
              <w:t>), 36 (</w:t>
            </w:r>
            <w:r>
              <w:rPr>
                <w:rFonts w:ascii="Times New Roman" w:hAnsi="Times New Roman"/>
                <w:i/>
                <w:sz w:val="20"/>
              </w:rPr>
              <w:t>Anti-Corruption</w:t>
            </w:r>
            <w:r>
              <w:rPr>
                <w:rFonts w:ascii="Times New Roman" w:hAnsi="Times New Roman"/>
                <w:sz w:val="20"/>
              </w:rPr>
              <w:t>) and 41 (</w:t>
            </w:r>
            <w:r>
              <w:rPr>
                <w:rFonts w:ascii="Times New Roman" w:hAnsi="Times New Roman"/>
                <w:i/>
                <w:sz w:val="20"/>
              </w:rPr>
              <w:t>Assignment</w:t>
            </w: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(vii) an amount in excess of USD [***] (or equivalent in any currency) being owed by ARM to JVCo and not paid to JVCo within [***] days of the relevant Due Date (excluding, until the Resolved Payment Due Date, any amounts that are the subject of an ongoing bona fide Payment Dispute pursuant to any of Clauses 26.4, 26.5 and 40);</w:t>
            </w:r>
          </w:p>
          <w:p>
            <w:pPr>
              <w:pStyle w:val="TableContents"/>
              <w:bidi w:val="0"/>
              <w:spacing w:before="0" w:after="0"/>
              <w:jc w:val="left"/>
              <w:rPr>
                <w:rFonts w:ascii="Times New Roman" w:hAnsi="Times New Roman"/>
                <w:sz w:val="20"/>
              </w:rPr>
            </w:pPr>
            <w:r>
              <w:rPr>
                <w:rFonts w:ascii="Times New Roman" w:hAnsi="Times New Roman"/>
                <w:sz w:val="20"/>
              </w:rPr>
              <w:t>(viii)a material breach by ARM of this Agreement;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(ix) a persistent breach by ARM of this Agreement;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(x)   multiple breaches by ARM of this Agreement that, when considered together, amount to a material breach;</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M Class</w:t>
            </w:r>
            <w:r>
              <w:rPr/>
              <w:t> </w:t>
            </w:r>
            <w:r>
              <w:rPr>
                <w:b/>
              </w:rPr>
              <w:t>Derivative Products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(i) Mutual Roadmap Derivative Products which are Architecture Compliant Cores compliant with a Licensed ARM Architecture suffixed with M developed by the JVCo Group and derived from M Class Products;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Mutual Roadmap Derivative Products which are Architecture Compliant Cores developed by the JVCo Group and derived from a Licensed ARM Architecture suffixed with M (being, as at the date of this Agreement, the ARMV8-M);</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M Class</w:t>
            </w:r>
            <w:r>
              <w:rPr/>
              <w:t> </w:t>
            </w:r>
            <w:r>
              <w:rPr>
                <w:b/>
              </w:rPr>
              <w:t>Original Products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Original ARM Products which constitute M Class Products (save that, when licensed pursuant to a Transferring Contract (including, for the avoidance of doubt, once that Transferring Contract is novated pursuant to the mechanism set out in either Section 7.05 of the Investment Agreement or in Clause 33 (</w:t>
            </w:r>
            <w:r>
              <w:rPr>
                <w:i/>
              </w:rPr>
              <w:t>Novating Agreements</w:t>
            </w:r>
            <w:r>
              <w:rPr/>
              <w:t>), that resulting Novated License Agreement), an M Class Product shall not constitute an M Class Original Product);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M Class</w:t>
            </w:r>
            <w:r>
              <w:rPr/>
              <w:t> </w:t>
            </w:r>
            <w:r>
              <w:rPr>
                <w:b/>
              </w:rPr>
              <w:t>Products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the following scalable, energy efficient, and easy-to-use microprocessor cores for smart and connected embedded applications developed by the ARM Group and any updates thereto: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(iv) [***];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(vi) [***];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(vii) [***];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(viii)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along with any Architecture Compliant Core developed by the ARM Group and derived from a Licensed ARM Architecture suffixed with [***];</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MOFCOM</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50.4;</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Mutual Roadmap</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the product roadmap that contains Original ARM Products, Mutual Roadmap Derivative Products and, where agreed between the Parties, Independent Products that feature the ARM Brand Trade Marks;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Mutual Roadmap Derivative Products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Derivative Products that are identified by the Roadmap Committee as forming part of the Mutual Roadmap in accordance with Clause 38;</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Necessary Claims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those claims in any Patent that, without the appropriate permission of the entity which owns or controls the Patent, will be infringed when implementing an Architecture Compliant Core because no alternative, commercially reasonable, non-infringing way of satisfying the criteria set out in the relevant definition of Architecture Compliant Core is known;</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Non-PRC Licensees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licensees other than PRC Licensees;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Non-Product Claim</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 claim or series of claims arising from the same event brought by a Party against another Party (and, for the avoidance of doubt, the question of whether the claims arise from the same event shall be decided by the arbitration tribunal in accordance with Clause 40 in the event of a Dispute on the issue), where that claim does not relate to a specific JVCo Licensed Product (excluding, in the case of ARM, a claim that relates to an ARM Licensee Claim, and in the case of JVCo, a claim that relates to a JVCo Licensee Claim);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Non-Standard Licenses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(i) Lead Partner Licenses;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any other licensing arrangements for Original ARM Products (other than the Licensed ARM Architectures), Derivative Products or ARM Derivative Products that do not feature in the Standard Product List (a </w:t>
            </w:r>
            <w:r>
              <w:rPr>
                <w:rFonts w:ascii="Times New Roman" w:hAnsi="Times New Roman"/>
                <w:b/>
                <w:sz w:val="20"/>
              </w:rPr>
              <w:t>Non-Standard Product</w:t>
            </w:r>
            <w:r>
              <w:rPr>
                <w:rFonts w:ascii="Times New Roman" w:hAnsi="Times New Roman"/>
                <w:sz w:val="20"/>
              </w:rPr>
              <w: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Non-Standard PRC Licensee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(i) as at the date of this Agreement and subject to Clause 32.1, those entities included in Part B of Schedule 1;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any other entities which do not satisfy any of limbs A(i) to (iv) or B(i) of the PRC Licensees definition, that the Parties agree to treat as PRC Licensees (whether pursuant to Clause 31 or otherwise);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Not Resolved</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29.5;</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Novated License Agreements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from time to time, the Transferring Contracts that have been novated by ARM to JVCo pursuant to the mechanism set out in either Section 7.05 of the Investment Agreement or Clause 33;</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Novation Agreement</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the Investment Agreement;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Obsolete Marks</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from time to time and with respect to ARM Brand Trade Marks, any Trade Marks that are identified by ARM as obsolete;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Obsolete Technology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from time to time and with respect to a JVCo Licensed Product, any technology that: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(i) has been declared obsolete by ARM (in the case of an Original ARM Product), the Roadmap Committee (in the case of a Derivative Product or an ARM Derivative Product) or JVCo (in the case of an Independent Product);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in the case of Original ARM Products, is no longer generally made available by ARM to its licensees other than pursuant to existing contractual commitments (save for Exceptional Cases);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(iii)  in the case of Independent Products, is no longer made available by the JVCo Group to its licensees other than pursuant to existing contractual commitments;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Offshore Holding Company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any special purpose vehicle which:</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(i) is registered outside of the PRC solely: (a) in order to facilitate an exit by foreign investors; or (b) for tax purposes;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does not conduct any business or hold any assets (other than shares in its Subsidiaries);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Operational Start-up Date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the Investment Agreement;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Original ARM Product(s)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from time to time, all then-current ARM Semiconductor Technology licensed as ARM Technology (as such term is defined in the relevant ARM Model License) pursuant to the ARM Model Licenses (including M Class Original Products), Licensed ARM Architectures and all support and maintenance and training services provided with respect to such technology, but excluding: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(i) Excluded Products;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ARM Derivative Products;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Derivative Products;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(iv) Independent Products;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Other Alternative Workaround</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5.10;</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Other Derivative Product(s)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Derivative Products that are not Mutual Roadmap Derivative Products;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Other Direct Licensing Arrangement</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5.10;</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Outgoing Licensor</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32.1.7;</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Paid or Payable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for a relevant period: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(i) amounts in respect of which an invoice has been issued in that period;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any amounts otherwise paid in that period without the issuing of an invoice;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Party</w:t>
            </w:r>
            <w:r>
              <w:rPr/>
              <w:t> and </w:t>
            </w:r>
            <w:r>
              <w:rPr>
                <w:b/>
              </w:rPr>
              <w:t>Parties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have the meanings given to those terms in the Recitals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Patents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rights to inventions, patents, design patents, patent applications, supplementary protection certificates and any reissues, re-examinations, divisionals, continuations, continuations-in-part, provisionals, extensions thereof or any counterparts to any of the foregoing (including rights resulting from any post-grant proceedings relating to any of the foregoing);</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Paying Party</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in relation to JVCo Charges, JVCo;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in relation to ARM Charges, ARM;</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Payment Dispute</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26.4;</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Payment Dispute Escalation Date</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26.5.2;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Payment Report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24.2;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Permitted Deviations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 any deviations from the terms of the relevant Applicable Model License which either: (i) are not material in the context of the business of ARM or JVCo; or (ii) which have been prescribed as permitted deviations by: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(i) ARM (in the case of Original ARM Products);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the Roadmap Committee (in the case of Derivative Products and ARM Derivative Products);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JVCo (in the case of Independent Products).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each case, taking into account the factors set out at paragraph 1 of Schedule 4;</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Person</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individual, partnership, limited partnership, corporation, limited liability company, other body corporate, association, joint stock company, trust, joint venture, consortium, unincorporated organisation, including entities established by contract or by Applicable Law whether or not having a separate legal identity;</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PRC</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the Peoples Republic of China including the Hong Kong Special Administrative Region and the Macau Special Administrative Region but excluding Taiwan;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PRC Licensees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(A)  for the licensing of all JVCo Licensed Products other than DSG Tools: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(i) all entities that are Listed PRC Entities and all entities whose Ultimate Parent is a Listed PRC Entity;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all entities under the ultimate Control of an individual with PRC nationality (as Control is defined in the definition of Enlarged ARM Group);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all entities whose Ultimate Parent is a Person or Persons (other than an individual) that is incorporated in the PRC (excluding, in each case, all entities whose Ultimate Parents shares are traded on an official stock exchange);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(iv) all entities that would fall within limb (iii) above but for the existence of any Offshore Holding Companies;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(v)   as at the date of this Agreement, but subject to Clause 32.1, all entities that are identified in Part I (including both Sections A and B) of Schedule 1;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(vi) all entities as are otherwise designated by JVCo and ARM pursuant to the terms of this Agreement as a PRC Licensee for the purposes of licensing of JVCo Licensed Products other than DSG Tools;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(B)  for the distribution arrangement for DSG Tools: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(i) all entities that are registered in the PRC;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as at the date of this Agreement, but subject to Clause 32.1, all entities that are identified in Part II of Schedule 1;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all entities as are otherwise designated by JVCo and ARM pursuant to the terms of this Agreement as a PRC Licensee for the purposes of DSG Tools distribution;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each of (A) and (B), excluding any member of the JVCo Group;</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Prescribed Security Audit Requirements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the Intellectual Property security audit processes implemented by ARM from time to time with respect to the licensing of products to its licensees (which may vary as between different products) and disclosed by ARM to JVCo from time to time;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b/>
              </w:rPr>
            </w:pPr>
            <w:r>
              <w:rPr>
                <w:b/>
              </w:rPr>
              <w:t>Product Claim</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 claim (or series of claims arising from the same event) brought by a Party against another Party (and, for the avoidance of doubt, the question of whether the claims arise from the same event shall be decided by the arbitration tribunal in accordance with Clause 40 in the event of a Dispute on the issue), where that claim relates to a specific JVCo Licensed Product (excluding, in the case of ARM, a claim that relates to an ARM Licensee Claim, and in the case of JVCo, a claim that relates to a JVCo Licensee Claim);</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Product IP</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(i) the ARM IP that subsists in any ARM Documentation;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any other ARM Semiconductor Technology IP,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but excluding any Trade Marks;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Product Lifecycle Management Requirements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the terminology and processes adopted by ARM from time to time in relation to: (i) managing the development of a new product (including, without limitation, the use of specified stages to identify whether a product is still at concept stage or whether it has progressed to the advanced planning/development stage); and (ii) adopting the requisite level of commitment (relative to the stage in product development) for the release of the product and related timing;</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b/>
              </w:rPr>
              <w:t>Prohibited Person</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any end user who has been prohibited from participating in U.S. export transactions by any federal agency of the U.S. Government by public order or inclusion on a public list, including the Department of Treasurys List of Specially Designated Nationals and the U.S. Department of Commerces List of Denied Persons and Entity List; and any entity owned 50% or more by a person prohibited from participating in U.S. export transactions by any federal agency of the U.S. Government as described herein;</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Receiving Party</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(i) in relation to JVCo Charges, ARM;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in relation to ARM Charges, JVCo;</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Rectification Notice</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29.2;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Recurring Wilful Exclusivity Breach</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(i) in the case of ARM, a deliberate breach of Clause 2 (committed in the knowledge that such act is a breach of this Agreement);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in the case of JVCo, a deliberate breach of Clause 14.1 or 14.2 (committed in the knowledge that such act is a breach of this Agreement),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(each a </w:t>
            </w:r>
            <w:r>
              <w:rPr>
                <w:rFonts w:ascii="Times New Roman" w:hAnsi="Times New Roman"/>
                <w:b/>
                <w:sz w:val="20"/>
              </w:rPr>
              <w:t>Wilful Exclusivity Breach</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each case, where such breach by a Party has been preceded by a previous Wilful Exclusivity Breach by that Party;</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Registered Capital</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Registrable IP</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Intellectual Property that may be made the subject of a registration or application with a Governmental Entity having jurisdiction with respect thereto, including the United States Patent and Trademark Office, the UK Intellectual Property Office, the European Union Intellectual Property Office, the State Intellectual Property Office of the PRC, the European Patent Office or the World Intellectual Property Organisation, or any equivalents thereof in any jurisdiction worldwide;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Released</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JVCo Licensed Product that has been both: (i) designated (by the developing Party) as LAC Release (or EAC Release for Semiconductor Technology for which there is no LAC Release designation); and (ii) made generally available by ARM to ARMs licensees or prospective licensees (in the case of Original ARM Products and ARM Derivative Products) or by JVCo to JVCos licensees or prospective licensees (in the case of Derivative Products and Independent Products), including following an acquisition;</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Relevant Licensed IP</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(i) with respect to ARM, the ARM Licensed IP;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with respect to JVCo, the JVCo Licensed IP;</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Relevant Payments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(i) with respect to ARM, ARM Charges;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with respect to JVCo, JVCo Charges;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Resolved Payment Due Date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26.2;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3"/>
        <w:gridCol w:w="7961"/>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Revenue Forecast</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a forecast (split by License Fees and Royalties) of the License Fees and Royalties JVCo or ARM (as applicable) anticipates that it will receive for the remainder of the Calendar Quarter in which the forecast is given and the following four Calendar Quarters (including pursuant to license agreements that JVCo or ARM (as applicable) has not executed at the date of the forecast);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Roadmap Committee</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38.1;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Semiconductor Technology</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(i) technology that enables integrated circuit companies to build integrated circuits (including processors, controllers, models, physical IP, associated development tools for software development and debug, training and support);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other technology that relates to integrated circuit design;</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Senior Representative</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with respect to a Party, an authorised senior representative of such Party appointed and duly authorised by such Party to act as a Senior Representative hereunder;</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Shareholder</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Standard</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any specification that: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(i) contains engineering or technical criteria, methods, processes or practices;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has been approved by a third party formal committee;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is made available, whether publicly or to members, by an organisation whose business objective is the development, approval and dissemination of specifications for the purpose of achieving standardisation;</w:t>
            </w:r>
          </w:p>
          <w:p>
            <w:pPr>
              <w:pStyle w:val="TableContents"/>
              <w:bidi w:val="0"/>
              <w:spacing w:before="0" w:after="20"/>
              <w:jc w:val="left"/>
              <w:rPr/>
            </w:pPr>
            <w:r>
              <w:rPr/>
              <w:t> </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Standard Products</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licensing arrangements for Original ARM Products, Derivative Products or ARM Derivative Products or services that feature in the Standard Product List (including all updates to those products and services);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Standard Product List</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the list of standard products and services (as updated from time to time), which will be provided by ARM to JVCo on or around the Effective Date;</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Sub-Licensee</w:t>
            </w:r>
            <w:r>
              <w:rPr/>
              <w:t></w:t>
            </w:r>
          </w:p>
        </w:tc>
        <w:tc>
          <w:tcPr>
            <w:tcW w:w="20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has the meaning given to that term in Clause 4.1.2;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2"/>
        <w:gridCol w:w="7962"/>
      </w:tblGrid>
      <w:tr>
        <w:trPr/>
        <w:tc>
          <w:tcPr>
            <w:tcW w:w="204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Subsidiary</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 with respect to a Person, any other Person: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(i) more than 50% of whose outstanding shares or securities (representing the right to vote for the election of directors or other managing authority) are owned or controlled, directly or indirectly, by the first person;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which does not have outstanding shares or securities (as may be the case in a partnership, joint venture, limited liability company, or unincorporated association), but more than 50% of whose ownership interest representing the right generally to make decisions for such other entity is, now or hereafter, owned or controlled, directly or indirectly, by the first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but only for so long as such ownership or control referenced in (i) or (ii) above exists, provided that for the purposes of this Agreement, JVCo and any of its Subsidiaries shall not be a Subsidiary of any Shareholder or members of their Group;</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Suspension Date</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30.1.2(ii);</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Suspension Duration</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30.1.2(iii);</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Suspension Notice</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has the meaning give</w:t>
            </w:r>
          </w:p>
          <w:p>
            <w:pPr>
              <w:pStyle w:val="TableContents"/>
              <w:bidi w:val="0"/>
              <w:spacing w:before="0" w:after="20"/>
              <w:jc w:val="left"/>
              <w:rPr>
                <w:rFonts w:ascii="Times New Roman" w:hAnsi="Times New Roman"/>
                <w:sz w:val="20"/>
              </w:rPr>
            </w:pPr>
            <w:r>
              <w:rPr>
                <w:rFonts w:ascii="Times New Roman" w:hAnsi="Times New Roman"/>
                <w:sz w:val="20"/>
              </w:rPr>
              <w:t>n to that term in Clause 30.1.1;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TBD Entity</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31.1;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Technology Import Certificate</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50.4;</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Term</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27.1;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Test House</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any entity sub-contracted by JVCo to test integrated circuits for JVCo;</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Third Party Restricted IP</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5.1;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w:t>
            </w:r>
            <w:r>
              <w:rPr>
                <w:b/>
              </w:rPr>
              <w:t>Third Party Restricted IP Agreements</w:t>
            </w:r>
            <w:r>
              <w:rPr/>
              <w:t></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5.14.1;</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rPr>
            </w:pPr>
            <w:r>
              <w:rPr>
                <w:b/>
              </w:rPr>
              <w:t>Total Contractual Liability</w:t>
            </w:r>
          </w:p>
        </w:tc>
        <w:tc>
          <w:tcPr>
            <w:tcW w:w="202"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the total amount that a Party is contractually liable to the licensee for, pursuant to the relevant license agreement for that JVCo Licensed Product (taking into account all relevant exclusions and caps on that Partys liability);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Trade Marks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(whether registered or not) trade marks, domain names, service marks, trade names, certification marks, service names, industrial designs, brand names, brand marks, trade dress rights, identifying symbols, logos, emblems, and signs or insignia and rights or forms of protection of a similar nature or having equivalent effect to any of these which may subsist anywhere in the world;</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Trade Secret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means information that: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(i) is secret;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has commercial value because it is secret;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(iii)  has been subject to reasonable steps under the circumstances to keep it secret;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Transaction Documents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Transferring Contract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Investment Agreement;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Transferring Contract Commission Payment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33.8;</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Ultimate Parent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the Joint Venture Contract;</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Underlying ARM Licensee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18.2;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Underlying ARM Licensee Suit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18.2;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Underlying JVCo Licensee</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16.2;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Underlying JVCo Licensee Suit</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has the meaning given to that term in Clause 16.2;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Use Guidelines</w:t>
            </w:r>
            <w:r>
              <w:rPr/>
              <w:t></w:t>
            </w:r>
          </w:p>
        </w:tc>
        <w:tc>
          <w:tcPr>
            <w:tcW w:w="203" w:type="dxa"/>
            <w:tcBorders/>
            <w:vAlign w:val="bottom"/>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means the trade mark use guidelines provided by ARM to JVCo;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VAT</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(i) within the European Union, any tax imposed by any Member State in conformity with the Directive of the Council of the European Union on the common system of value added tax (2006/112/EC);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outside the European Union, any tax corresponding to, or substantially similar to, the common system of value added tax referred to in paragraph (i) of this definition;</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Verification Assessor</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from time to time, an individual with engineering capability appointed by ARM and reasonably acceptable to JVCo (or, where permitted pursuant to Clause 6.6, appointed by JVCo), to oversee the verification of Derivative Products and Independent Products in accordance with Clause 6.5;</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Verification Strategy Document</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means, for each Derivative Product and Independent Product, a document developed in accordance with Clause 6.5 that sets out a detailed methodology for the verification and validation of that product; and</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w:t>
            </w:r>
            <w:r>
              <w:rPr>
                <w:b/>
              </w:rPr>
              <w:t>Verification Support Materials</w:t>
            </w:r>
            <w:r>
              <w:rPr/>
              <w:t></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means the set of example verification documents provided by ARM to JVCo and updated by ARM from time to time, including: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(i) an IP verification standard;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 template verification strategy document;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(iii)  template engineering assessment milestones.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In this Agreement the words and expressions set out in the table at the beginning of Schedule 2 (</w:t>
            </w:r>
            <w:r>
              <w:rPr>
                <w:rFonts w:ascii="Times New Roman" w:hAnsi="Times New Roman"/>
                <w:i/>
                <w:sz w:val="20"/>
              </w:rPr>
              <w:t>Pricing Calculation</w:t>
            </w:r>
            <w:r>
              <w:rPr>
                <w:rFonts w:ascii="Times New Roman" w:hAnsi="Times New Roman"/>
                <w:sz w:val="20"/>
              </w:rPr>
              <w:t xml:space="preserve">) shall have the meanings set out in that 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Agreement, unless otherwise specified: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1.3.1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Clauses and Schedules are to clauses of and schedules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1.3.2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reference to any statute or statutory provision shall be construed as a reference to the same as it may have been, or may from time to time be, amended, modified or re-enacted;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3"/>
        <w:gridCol w:w="9083"/>
      </w:tblGrid>
      <w:tr>
        <w:trPr/>
        <w:tc>
          <w:tcPr>
            <w:tcW w:w="509"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1.3.3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of any gender includes the other gender;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1.3.4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company shall be construed so as to include any company, corporation or other body corporate, wherever and however incorporated or established;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1.3.5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person shall be construed so as to include any individual, firm, company or other body corporate, government, state or agency of a state, local or municipal authority or Governmental Entity or any joint venture, association or partnership (whether or not having separate legal personality);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1.3.6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reference to a day (including within the expression Business Day) shall mean a period of twenty four (24) hours running from midnight to midnight;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1.3.7</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reference to any other document referred to in this Agreement is a reference to that other document as amended, varied, novated or supplemented (other than in breach of the provisions of this Agreement)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1.3.8</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headings to Clauses and Schedules are for convenience only and do not affect the interpretation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1.3.9</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reference to any English legal term for any action, remedy, method of judicial proceeding, legal document, legal status, court, official or any legal concept or thing shall in respect of any jurisdiction other than England be treated as a reference to any analogous term in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1.3.10</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words including, include, in particular and words of similar effect shall not be deemed to limit the general effect of the words that precede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1.3.11</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words shall not be given a restrictive meaning by reason of the fact that they are followed by particular examples intended to be embraced by the general words;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26"/>
        <w:gridCol w:w="9070"/>
      </w:tblGrid>
      <w:tr>
        <w:trPr/>
        <w:tc>
          <w:tcPr>
            <w:tcW w:w="509" w:type="dxa"/>
            <w:tcBorders/>
            <w:vAlign w:val="center"/>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1.3.12</w:t>
            </w:r>
          </w:p>
        </w:tc>
        <w:tc>
          <w:tcPr>
            <w:tcW w:w="90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singular shall include the plural and vice 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1.3.13</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books, records or other information shall mean books, records or other information in any form including paper, electronically stored data, magnetic media, film and microfilm;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1.3.14</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Schedules form part of this Agreement and shall have the same force and effect as if expressly set out in the body of this Agreement, and any reference to this Agreement shall include the Schedules.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 A: LICENSES OF ARM IP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EXCLUSIVITY OF CERTAIN LICENSE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other terms and conditions of this Agreement, the licenses granted pursuant to the following sub-clauses shall be deemed to be exclusive: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2.1.1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Clauses 3.1.1(i), (ii), and (vii);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2.1.2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Clauses 3.2.1(i), (ii) and (v),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each case, to the extent that such clauses grant rights to JVCo to enter into Commercial licensing arrangements with PRC Licensees with respect to the JVCo Licensed Products in accordance with the relevant Applicable Model License during the Term of this Agreement. With respect to the exclusive rights granted in Clauses 3.1.1(i), (ii), and (vii) and Clauses 3.2.1(i), (ii) and (v) and save as provided under Clause 7.1, neither ARM nor any member of the ARM Group may enter into any licensing arrangement with any PRC Licensee.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date of this Agreement, neither ARM nor any member of the ARM Group shall enter into any arrangement with a Non-PRC Licensee which permits that Non-PRC Licensee to sub-license to a PRC Licensee any JVCo Licensed Product (with respect to the scope of rights referenced in Clause 2.1), save with respect to sub-licensing to third party service providers that are providing services to, or on behalf of, the Non-PRC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exclusivity arrangement described in Clause 2.1 is limited by any Applicable Law, the license grant shall not terminate, but shall remain exclusive to the extent that is permitted by such Applicable Law and shall become non-exclusive to the extent that is necessary to conform with such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3.</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LICENSES TO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 of Architecture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3.9, 6 and 7 and the other terms of this Agreement, ARM grants (and if applicable, procures the grant by any other members of the ARM Group) to JVCo a perpetual and irrevocable (except that this grant is revocable only in accordance with Clause 8.7 (to the extent that a JVCo Licensed Product is excluded from the license scope pursuant to that Clause 8.7) and Clause 28), royalty-bearing (to the extent set out in Schedule 2), assignable (only in accordance with Clause 41) worldwide license, with a right to sub-license (only to the extent permitted in Clauses 3.1.1(i), 3.1.1(ii), 3.1.1(vii) and 4), of the Architecture IP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Commercial sub-licenses of the Licensed ARM Architectures to PRC Licensees solely to the extent required to comply with the obligations of the licensor entity in each of the Novated License Agreements (in the form that such agreements are novated to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new Commercial sub-licenses of the Licensed ARM Architectures to PRC Licensees, provided that such sub-licenses are granted on the terms of the ARM Model License for that Licensed ARM Architecture (which terms may include any Permitted Deviations relevant to that ARM Model License and, where agreed, Licensing Exceptions) and solely for the purposes of the creation, manufacture and distribution of integrated circuits incorporating Architecture Compliant Cores by PRC Licensees;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and copy the Architecture Reference Manuals for the purposes of designing Architecture Compliant Cores;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copy and modify (solely for incorporation into JVCos documentation), the Architecture Reference Manuals for the purposes of creating JVCo documentation for Architecture Compliant Cores;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and copy the AVS only for the purposes of designing Architecture Compliant Cores;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manufacture and have manufactured test chips for the Architecture Compliant Cores for non-revenue-bearing distribution of those test chips to PRC Licensees, provided that the total number of test chips shall not exceed 500 chips for each unique system-on-chip test chip design;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Commercial sub-licenses of any Architecture Compliant Cores that constitute Derivative Products to PRC Licensees, provided that such sub-licenses are granted on the terms of the ARM Model License for that Architecture Compliant Core (which terms may include any Permitted Deviations relevant to that ARM Model License and, where agreed, Licensing Exceptions),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in the case of (iii) to (vii), such rights shall only extend to the design and sub-licensing of, and manufacture of test chips for, Architecture Compliant Cores that constitute Derivative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 of Product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3.9, 6 and 7 and the other terms of this Agreement, ARM grants (and, if applicable, procures the grant by any other members of the ARM Group) to JVCo a perpetual and irrevocable (except that this grant is revocable only in accordance with Clause 8.7 (to the extent that a JVCo Licensed Product is excluded from the license scope pursuant to that Clause 8.7) and Clause 28), royalty-bearing (to the extent set out in Schedule 2), assignable (only in accordance with Clause 41) worldwide license, with a right to sub-license (only to the extent permitted in Clause 3.2.1(i), 3.2.1(ii), 3.2.1(v) and 4), to the Product IP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Commercial sub-licenses of the Original ARM Products to PRC Licensees solely to the extent required to comply with the obligations of the licensor entity in each of the Novated License Agreements (in the form that such agreements are novated to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new Commercial sub-licenses of the Original ARM Products and ARM Derivative Products to PRC Licensees, provided that such sub-licenses are granted on the terms of the relevant Applicable Model License for that Original ARM Product or ARM Derivative Product (which terms may include any Permitted Deviations relevant to that Applicable Model License and, where agreed, Licensing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6 and provided that the development of such Mutual Roadmap Derivative Product is agreed as part of the Business Plan, undertake research, modification and development activities with respect to the Original ARM Products (excluding the ARM Architectures), the Derivative Products and the ARM Derivative Products to create Mutual Roadmap Derivative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6 and provided that the development of such Other Derivative Product is agreed as part of the Business Plan, undertake research, modification and development activities with respect to the Original ARM Products (excluding the ARM Architectures), the Derivative Products and the ARM Derivative Products to create Other Derivative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Commercial sub-licenses of any Derivative Products (excluding Architecture Compliant Cores) to PRC Licensees, provided that such sub-licenses are granted on the terms of the ARM Model License for that Derivative Product (which terms may include any Permitted Deviations relevant to that ARM Model License and, where agreed, Licensing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manufacture and have manufactured test chips for the Original ARM Products and Derivative Products for non-revenue-bearing distribution to PRC Licensees, provided that the total number of test chips shall not exceed 500 chips for each unique system-on-chip test chip design;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in the case of (iii) and (iv): (a) any rights to modify and develop JVCo Licensed Products shall not permit JVCo to create CPU Cores that do not constitute Architecture Compliant Cores; and (b) JVCo shall not, without the prior written consent of the Roadmap Committee, create or use any Derivative Product that uses or modifies any source code that subsists in an Original ARM Product or an ARM Derivative Product.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 of ARM Brand Trade Marks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3.3.1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6, 7 and 8.7, the other terms of this Agreement and Article 12.4 of the Joint Venture Contract, ARM grants (and, if applicable, procures the grant by any other members of the ARM Group) to JVCo a non-exclusive (except that this grant is exclusive with respect to Clause (iv)), perpetual and irrevocable (except that this grant is revocable only in accordance with the termination events set out in Clause 28) assignable (only in accordance with Clause 41) worldwide license, with a right to sub-license (only to the extent permitted in Clauses 3.3.1(iii), 3.3.1(iv) and 4), to the ARM Brand Trade Marks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the Arm word mark in the Company Name;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510"/>
        <w:gridCol w:w="8575"/>
      </w:tblGrid>
      <w:tr>
        <w:trPr/>
        <w:tc>
          <w:tcPr>
            <w:tcW w:w="11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the ARM Brand Trade Marks in the PRC in connection with the promotion and marketing of the business of JVCo, and administrative activities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sub-licenses of the ARM Brand Trade Marks to PRC Licensees to the extent required to comply with the obligations of the licensor entity in each of the Novated License Agreements (in the form that such agreements are novated to JVCo);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new sub-licenses of the ARM Brand Trade Marks to PRC Licensees solely to the extent required for the promotion, sale and distribution of products developed by such sub-licensees pursuant to sub-licenses granted to such PRC Licensees in accordance with Clauses 3.1.1(i), 3.1.1(ii), 3.1.1(vii), 3.2.1(i), 3.2.1(ii) and 3.2.1(v) and provided that such sub-licensing is undertaken in accordance with the Joint Venture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ARMs update of the Standard Product List, ARM shall deliver the updated Standard Product List to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use commercially reasonable efforts to ensure that each PRC Licensee to whom rights in ARM Licensed IP are granted pursuant to this Clause 3 complies with the terms of the licensing agreement entered into between JVCo and the relevant PRC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Agreement, at any time during the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3.9.1</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may, upon written notice to JVCo, elect to remove Obsolete Technology from the scope of Original ARM Products (to the extent that it becomes Obsolete Technology under limb (ii) of the definition of Obsolete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3"/>
        <w:gridCol w:w="9083"/>
      </w:tblGrid>
      <w:tr>
        <w:trPr/>
        <w:tc>
          <w:tcPr>
            <w:tcW w:w="509"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3.9.2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may, upon written notice to JVCo, elect to remove Obsolete Marks from the scope of ARM Brand Trade Marks;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3.9.3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Roadmap Committee may elect to remove Obsolete Technology from the scope of Derivative Products or ARM Derivative Products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3.9.4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may, upon written notice to ARM, elect to remove Obsolete Technology from the scope of Independent Products (to the extent that it becomes Obsolete Technology under limb (iii) of the definition of Obsolete Technology);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 each case, such removal shall take effect on the date set out in the written notice (with such date being no less than [***] days after the date of provision of the notice). Notwithstanding the foregoing, the licensed Partys rights pursuant to this Agreement with respect to Obsolete Technology and Obsolete Marks shall survive solely for the purposes of complying with the terms of any sub-licenses granted prior to the date of receipt of such written notification, provided that, following the date of receipt of such notification, the licensed Party shall not enter into any new sub-licensing arrangements with respect to the Obsolete Marks, Obsolete Technology or any Architecture Compliant Core based on any Obsolete Technology.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not, and shall procure that the other members of the ARM Group do not (in each case, without the prior written consent of JVCo), enter into any arrangement in the context of its development of ARM Derivative Products with any third party that would give such member of the ARM Group rights with respect to Intellectual Property owned by, or licensed to, such third party where the terms of that arrangement do not enable ARM to grant rights to JVCo on the terms set out in Clause 3.2 with respect to the affected ARM Derivative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Feedback received by any member of the ARM Group from a Non-PRC Licensee pursuant to a license agreement relating to a Derivative Product or an Independent Product and solely to the extent that ARM has the right to sub-license any such rights, ARM sub-licenses (and, if applicable, procures the sub-licensing by any other members of the ARM Group) to JVCo pursuant to the terms of this Agreement the scope of rights in such Feedback licensed to such member of the ARM Group by such Non-PRC Licensee, solely to the extent that such Feedback relates to the Derivative Product or Independent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that shall be payable by JVCo to ARM pursuant to Section 2.05 of the Investment Agreement, together with the other terms of this Agreement, represents JVCos consideration for ARMs grant to JVCo of the licenses under this Clause 3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b/>
              </w:rPr>
            </w:pPr>
            <w:r>
              <w:rPr>
                <w:b/>
              </w:rPr>
              <w:t>4.</w:t>
            </w:r>
          </w:p>
        </w:tc>
        <w:tc>
          <w:tcPr>
            <w:tcW w:w="96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SUB-LICENSING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rights granted to JVCo pursuant to Clauses 3.1.1(vi) and 3.2.1(vi) only, and subject to Clause 4.2 and the other terms of this Agreement, JVCo may exercise the right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tested Original ARM Products and Derivative Products by a Test House;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have manufactured test chips for such Original ARM Products and Derivative Products by a Manufacturer (each Test House or Manufacturer generically, a </w:t>
            </w:r>
            <w:r>
              <w:rPr>
                <w:rFonts w:ascii="Times New Roman" w:hAnsi="Times New Roman"/>
                <w:b/>
                <w:sz w:val="20"/>
              </w:rPr>
              <w:t>Sub-Licensee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provided that: (a) JVCo does not grant to the Test House or Manufacturer any license in respect of the ARM Licensed IP for any purpose other than for testing test chips for Derivative Products solely for JVCo (in the case of a Test House) or for manufacturing test chips for Derivative Products solely for JVCo (in the case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Manufacturer); and (b) the Test House or Manufacturer, as the case may be, is subject to a contractual obligation to use the Confidential Information of the ARM Group, the ARM IP and the JVCo Licensed Product for the purposes of supplying units of the Derivative Products solely to JVCo for testing.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Treatment of Sub-Licensees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ensure that each Sub-Licensee: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enters into an agreement with JVCo, the terms of which are in writing and not in conflict with Clauses 3.1.1(vi), 3.2.1(vi) or 6.1.1 of this Agreement (save where otherwise permitted in writing by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subject to contractual obligations of confidentiality in respect of the Confidential Information of the ARM Group, the ARM IP and the Original ARM Product, Derivative Product and any ARM Derivative Product which are no less onerous than the provisions of Clause 35 (save where otherwise permitted in writing by ARM);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subject to a contractual obligation to return or destroy (and certify destruction of) any Confidential Information of the ARM Group and any JVCo Licensed Products to JVCo upon the earlier of: (i) the completion of the Sub-Licensees permitted activities; and (ii) the end of the contractual confidentiality period (in the agreement between JVCo and the Sub-Licensee) for the relevant Confidential Information of the ARM Group or JVCo Licensed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use of the ARM IP by a Sub-Licensee, and all acts and omissions of such Sub-Licensees, shall be deemed use by, and acts and omissions of, JVCo for the purposes of this Agreement (including, without limitation, acts and omissions which would be breaches of this Agreement if the Sub-Licensee were JVCo which, for the avoidance of doubt, shall be deemed breaches by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any Sub-Licensee is in breach of any of the terms of this Agreement, JVCo shall hold harmless and indemnify ARM (and any members of the ARM Group) against all and any loss, liability, costs, damages and expenses suffered as a result of, or in connection with, such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(i) except as expressly permitted in Clause 3 or Clause 4 of this Agreement, no right is granted to JVCo to sub-license the ARM Licensed IP; and (ii) all sub-licenses granted pursuant to Clause 4.1 shall terminate immediately on the expiry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b/>
              </w:rPr>
            </w:pPr>
            <w:r>
              <w:rPr>
                <w:b/>
              </w:rPr>
              <w:t>5.</w:t>
            </w:r>
          </w:p>
        </w:tc>
        <w:tc>
          <w:tcPr>
            <w:tcW w:w="96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COSTS OF IN-LICENSED OR CO-OWNED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in-licensed or co-owned technology (which is embodied in an Original ARM Product or an ARM Derivative Product) consists of Intellectual Property that would constitute Architecture IP or Product IP if it was Controlled by ARM but does not because ARM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cannot grant JVCo a license or sub-license under such Intellectual Property without being obligated or otherwise required to pay any additional financial or other consideration to and/or obtain the consent of any third party (</w:t>
            </w:r>
            <w:r>
              <w:rPr>
                <w:b/>
              </w:rPr>
              <w:t>Third Party Restricted IP</w:t>
            </w:r>
            <w:r>
              <w:rPr/>
              <w:t xml:space="preserve">), the provisions of this Clause 5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inform JVCo of any Third Party Restricted IP that subsists in an Original ARM Product or ARM Derivative Product as soon as reasonably practicable upon becoming aware of the Third Party Restricted IP and ARM shall consult with JVCo in order to: (i) understand whether JVCo wishes to license to PRC Licensees the product that the Third Party Restricted IP relates to (or otherwise modify or develop that product); and (ii) consider which of the options set out at Clause 5.4 below is most appropriate for that Third Party Restricted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date of such notification by ARM and unless and until rights are secured for the benefit of JVCo with respect to such Third Party Restricted IP (in accordance with this Clause 5 or otherwise), JVCo shall not undertake any activities with respect to the affected Original ARM Product or ARM Derivative Product (including, for the avoidance of doubt, sub-licensing such rights to PRC Licensees).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each element of Third Party Restricted IP and upon written notice to JVCo, ARM may elect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rights from the relevant third party to enable ARM to sub-license such Third Party Restricted IP to JVCo in accordance with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5.4.2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subject to Clauses 5.12 and 5.13, implement an alternative structure to avoid the need to secure the rights from the relevant third party to sub-license such Third Party Restricted IP to JVCo (an </w:t>
            </w:r>
            <w:r>
              <w:rPr>
                <w:rFonts w:ascii="Times New Roman" w:hAnsi="Times New Roman"/>
                <w:b/>
                <w:sz w:val="20"/>
              </w:rPr>
              <w:t>Alternative Third Party Workaround</w:t>
            </w:r>
            <w:r>
              <w:rPr>
                <w:rFonts w:ascii="Times New Roman" w:hAnsi="Times New Roman"/>
                <w:sz w:val="20"/>
              </w:rPr>
              <w:t>) (which may include the direct licensing of such Third Party Restricted IP from ARM to the PRC Licensee (with or without JVCo acting as ARMs agent for that purpose) (a </w:t>
            </w:r>
            <w:r>
              <w:rPr>
                <w:rFonts w:ascii="Times New Roman" w:hAnsi="Times New Roman"/>
                <w:b/>
                <w:sz w:val="20"/>
              </w:rPr>
              <w:t>Direct Third Party Licensing Arrangement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5.4.3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5.7, notify JVCo that it should secure rights directly from the third party owner (or distributor) of such Third Party Restricted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ARMs initial election (in accordance with Clause 5.4) does not prove to be reasonably practicable, ARM may, upon written notice to JVCo, elect to pursue a different option with respect to the relevant Third Party Restricted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ARM secures the right to sub-license Third Party Restricted IP in accordance with Clause 5.4.1, all reasonable costs required by such third party in consideration of the obtaining of any such consent will be borne by ARM. Upon securing such rights, ARM shall provide written notice to JVCo and that Third Party Restricted IP shall be considered to be Controlled by ARM for the purposes of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the option set out at Clause 5.4.3 shall only be appropriate where: (i) it is reasonably practicable for JVCo to secure such rights directly; and (ii) the related costs are not material (in the context of the business of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ARM has identified any Third Party Restricted IP prior to the Effective Date, ARM shall ensure that, with respect to each element of such Third Party Restricted IP, ARM has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5.8.1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secured rights from the relevant third party in accordance with Clause 5.4.1 with respect to that Third Party Restricted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5.8.2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implemented an Alternative Third Party Workaround in accordance with Clause 5.4.2 with respect to that Third Party Restricted 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5.8.3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5.7, notified JVCo that it should secure such rights directly in accordance with 5.4.3, in sufficient time to enable JVCo (acting reasonably) to secure such rights in advance of the Effective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by the Effective Date. For the avoidance of doubt, Clause 5.7 shall apply to ARMs ability to elect to pursue the option set out at Clause 5.8.3 above with respect to any Third Party Restricted IP and if the related costs become material, ARM shall instead pursue an alternative option (of those set out in Clause 5.8) with respect to that Third Party Restricted IP.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prior to the Effective Date, ARM shall provide written details to JVCo of the solution reached (in accordance with Clause 5.8) with respect to each element of Third Party Restricted IP that had been identified by ARM prior to the Effective Date. Where relevant, such details shall include details of the nature of the Alternative Third Party Workaround implemented for any affected Original ARM Product. By complying with Clauses 5.8 and 5.9, ARM shall be deemed to have satisfied the requirements of this Clause 5, in so far as it relates to Third Party Restricted IP identified prior to the Effective Date. Clause 5.5 shall apply to such Third Party Restricted IP identified prior to the Effective Date, such that ARM may elect to pursue a different option, on written notice to JVCo (whether before or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In addition to the use of Alternative Workarounds with respect to Third Party Restricted IP, ARM may, upon written notice to JVCo, elect to implement an alternative structure for other Original ARM Products (an </w:t>
            </w:r>
            <w:r>
              <w:rPr>
                <w:rFonts w:ascii="Times New Roman" w:hAnsi="Times New Roman"/>
                <w:b/>
                <w:sz w:val="20"/>
              </w:rPr>
              <w:t>Other Alternative Workaround</w:t>
            </w:r>
            <w:r>
              <w:rPr>
                <w:rFonts w:ascii="Times New Roman" w:hAnsi="Times New Roman"/>
                <w:sz w:val="20"/>
              </w:rPr>
              <w:t>) (which may include the direct licensing of such Original ARM Product from ARM to the PRC Licensee (with or without JVCo acting as ARMs agent for that purpose) (an </w:t>
            </w:r>
            <w:r>
              <w:rPr>
                <w:rFonts w:ascii="Times New Roman" w:hAnsi="Times New Roman"/>
                <w:b/>
                <w:sz w:val="20"/>
              </w:rPr>
              <w:t>Other Direct Licensing Arrangement</w:t>
            </w:r>
            <w:r>
              <w:rPr>
                <w:rFonts w:ascii="Times New Roman" w:hAnsi="Times New Roman"/>
                <w:sz w:val="20"/>
              </w:rPr>
              <w:t xml:space="preserve">)) where: (i) ARM has used its reasonable endeavours to avoid recourse to such an alternative structure; and (ii) it is not reasonably practicable for the Original ARM Product to be sub-licensed to PRC Licensees by JVCo 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an Alternative Workaround is in place, JVCo shall not undertake any licensing activities in contravention of such Alternative Workaround (including purporting to sub-license such rights to PRC Licensees directly, where such sub-licensing by JVCo is inconsistent with the Alternative Workaround).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ARM elects to implement an Alternative Workaround, ARM shall: (i) provide JVCo with written notice of the intended structure; and (ii) ensure that JVCo suffers no material financial disadvantage from the Alternative Workaround (as compared to the position that JVCo would have been in if the Original ARM Product had been licensed to JVCo in accordance with the terms of this Agreement). ARM and JVC shall co-operate to implement the required mechanism to facilitate such Alternative Workaround.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an Alternative Workaround constitutes a Direct Licensing Arrangement, ARM shall only enter into such a direct license agreement at JVCos written request and JVCo shall retain sole discretion as to such requests. ARM shall comply with JVCos reasonable requests with respect to any such Direct Licensing Arrangement with a PRC Licensee, provided that JVCo shall reimburse ARM for any costs it incurs in relation to such requests and JVCo shall not require ARM to undertake any activity that would put ARM in breach of any contractual obligations owed to any such PRC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agrees: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5.14.1</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the terms of any agreement between ARM (or its wholly owned Subsidiary) and third parties (</w:t>
            </w:r>
            <w:r>
              <w:rPr>
                <w:rFonts w:ascii="Times New Roman" w:hAnsi="Times New Roman"/>
                <w:b/>
                <w:sz w:val="20"/>
              </w:rPr>
              <w:t>Third Party Restricted IP Agreements</w:t>
            </w:r>
            <w:r>
              <w:rPr>
                <w:rFonts w:ascii="Times New Roman" w:hAnsi="Times New Roman"/>
                <w:sz w:val="20"/>
              </w:rPr>
              <w:t xml:space="preserve">) in respect of the rights to the Third Party Restricted IP licensed or sub-licensed to JVCo 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5.14.2</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cooperate in good faith with ARM and take any action necessary, advisable or reasonably requested by ARM to perform the obligations of ARM with respect to the Third Party Restricted IP and preserve the rights of ARM under the Third Party Restricted IP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RESTRICTIONS ON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and shall procure that the other members of the JVCo Group do not, in each case without the prior written consent of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arrangement in the context of its development of Derivative Products or Independent Products with any third party that would give such member of the JVCo Group rights with respect to Intellectual Property owned by, or licensed to, such third party where the terms of that arrangement do not enable JVCo to grant rights to ARM on the terms set out in Clause 13 with respect to that affected Derivative Product or Independent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6.1.2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 any Derivative Product or Independent Product that requires JVCo to obtain a license of Intellectual Property from any third party (excluding, for the avoidance of doubt, any member of the ARM Group) where such licenses require JVCo to disclose, or otherwise make available, any aspect of the resulting technology;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6.1.3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 any JVCo Licensed Product (to the extent that such JVCo Licensed Product is not an Independent Product), any other ARM Semiconductor Technology or any technology related to an Excluded Product in a manner that would subject ARM IP to the terms of open source licenses, or the rules of bodies governing Standards (other than those bodies that ARM is already a party to) (provided that nothing in this Clause 6.1.3 shall require JVCo to unencumber any ARM IP from such open source arrangements or open source licensing obligations where ARM has encumbered the ARM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Architecture Licenses and Non-Standard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advance of JVCo entering into any Architecture License (or amending any existing Architecture License), the Parties must reach mutual written agreement on the decision over whether JVCo may enter into that Architecture License (including with respect to the scope of, and resources required for, that Architecture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without the prior written consent of ARM, enter into any Non-Standard License with a PRC Licensee. Notwithstanding the granting of any consent by ARM in accordance with this Clause 6.2, JVCo shall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10"/>
        <w:gridCol w:w="8575"/>
      </w:tblGrid>
      <w:tr>
        <w:trPr/>
        <w:tc>
          <w:tcPr>
            <w:tcW w:w="11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Non-Standard License until ARM has confirmed that it is satisfied (acting reasonably) with the terms of that Non-Standard License;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any Non-Standard License without the prior written consent of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regards to Clause 6.2.1 and Clause 6.2.2, any failure by ARM to provide an initial response to JVCo in the relevant matter (which may, for the avoidance of doubt, take the form of a request for further information or an acknowledgment of receipt) within [***] Business Days after its receipt of JVCos request for an Architecture License or Non-Standard License respectively shall automatically be deemed to have been escalated to the Senior Representatives as a Dispute in accordance with Clause 40.2.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CPU Cores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Without prejudice to Clause 6.5, JVCo shall not: (i) develop or license any CPU Core that is an Independent Product; or (ii) develop or license CPU Cores that do not constitute Architecture Compliant Cores that have been verified in accordance with the verification procedures set out in the ARM Model License for that Licensed ARM Architecture (including, for the avoidance of doubt, formulating and executing a verification plan and successfully running the relevant ARM architectural validation suite for that Licensed ARM Architecture in accordance with the ARM Model License).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Derivative Products and Independent Products  General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create or otherwise exploit any Independent Product that does not constitute Semiconductor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licensing of a Derivative Product by JVCo, the Roadmap Committee shall determine whether the Derivative Product constitutes a Mutual Roadmap Derivative Product in accordance with Clause 38.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Derivative Products and Independent Products  Verification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6.5.1</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each Derivative Product and Independent Product (to the extent that such Independent Product is branded with an ARM Brand Trade Mark), JVCo shall use the Verification Support Materials provided by ARM to create a Verification Strategy Document, to at least an equivalent level of detail to the template verification strategy document provided by ARM to JVCo as part of the Verification Support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6.5.2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each Independent Product (to the extent that such Independent Product is not branded with any ARM Brand Trade Mark), JVCo shall develop the relevant Verification Strategy Document based on Good Industry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6.5.3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provide the appointed Verification Assessor with a copy of the Verification Strategy Document created in accordance with this Clause 6.5 and the Verification Assessor shall confirm to JVCo whether that Verification Strategy Document has been approved for use or whether amendments are required to the Verification Strategy Document. Where the Verification Assessor requires (acting reasonably) JVCo to make amendments to the Verification Strategy Document, JVCo shall continue to amend and re-submit the Verification Strategy Document until the amended Verification Strategy Document is approved by the Verification Assessor, which approval may not be unreasonably withheld, delayed or conditioned.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6.5.4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licensing of any Intellectual Property in a Derivative Product or an Independent Product to any PRC Licensees, JVCo shall complete the verification of the product in accordance with the approved Verification Strategy Document (following the process set out in Clauses 6.5.5 and 6.5.6).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6.5.5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undertaking of such verification, JVCo shall provide the Verification Assessor with the outputs required by the Verification Strategy Document (including, for the avoidance of doubt: (i) copies of all test data obtained as part of the verification process; and (ii) confirmation that all relevant engineering assessment milestones that relate to that product have been successfully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6.5.6</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following receipt of the outputs described in Clause 6.5.5, the Verification Assessor shall confirm in writing to JVCo whether the requirements of the Verification Strategy Document have been met. Where the requirements are not met, the Verification Assessor shall identify the deficiencies, which deficiencies JVCo shall address, until such time as the Verification Assessor confirms that the requirements of the Verification Strategy Document have been met, at which stage the verification of the product shall be deemed to be complete.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ARM is satisfied (acting reasonably) that JVCo has the required capability to undertake verification, ARM shall notify JVCo and, from the date of receipt of that notification, JVCo may instead elect to appoint an individual from JVCo to act as Verification Assessor with respect to Independent Products (and an individual from ARM shall continue to undertake that role with respect to Derivative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Model License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Before ARM makes or implements any edits, modifications, amendments, or other changes to any ARM Model License that would reasonably be expected to have an adverse effect on JVCos dealings with PRC Licensees, ARM shall, in good faith, consult with JVCo and take any reasonable suggestions made by JVCo into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Model License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Before JVCo makes or implements any edits, modifications, amendments, or other changes to any JVCo Model License that would reasonably be expected to have an adverse effect on ARMs dealings with Non-PRC Licensees, JVCo shall, in good faith, consult with ARM and take any reasonable suggestions made by ARM into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7.</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SCOPE OF JVCO EXCLUSIVE LICENSING CHANNEL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7.1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Clause 2, nothing in this Agreement shall prevent: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member of the ARM Group from continuing to: (i) satisfy its obligations pursuant to any Transferring Contract that has not yet transferred in accordance with either Section 7.05 of the Investment Agreement or Clause 33; (ii) satisfy its obligations pursuant to any agreement with a PRC Licensee that exists as at the Effective Date that is not a Transferring Contract; or (iii) receive the benefit of any direct rights or undertakings granted to, or retained by, any member of the ARM Group by PRC Licensees as a result of the novation process referenced in Section 7.05 of the Investment Agreement and Clause 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member of the ARM Group from undertaking research or development activities (or entering into arrangements with third parties to undertake such activities on behalf of the ARM Group) in the PRC;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7.1.3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member of the ARM Group from granting worldwide, sub-licensable rights in the ARM IP to PRC Licensees for: (i) non-Commercial purposes; and (ii) Excluded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7.1.4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member of the ARM Group from licensing Intellectual Property to PRC Licensees pursuant to Direct Licensing Arrangements, in accordance with Clause 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7.1.5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member of the ARM Group from granting sub-licensable rights to JVCo Licensed Products to Non-PRC Licensees, permitting such Non-PRC Licensees to conduct sub-licensing (including to PRC Licensees) in accordance with Clause 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7.1.6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member of the ARM Group from providing services to the JVCo Group, or to PRC Licensees on behalf of JVCo, where such servicing arrangements have been agreed in writing between JVCo and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Exclusive Interface with PRC Licensees for JVCo Licensed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other provisions of this Clause 7.2, JVCo shall be the exclusive interfacing channel with respect to PRC Licensees for any JVCo Licensed Products and Design Services, and ARM may not (without the prior written consent of JVCo, such consent not to be unreasonably withheld, delayed or conditioned) initiate direct contact with any PRC Licensee with respect to any JVCo Licensed Product and Design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7.2.2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7.2.5, nothing in this Agreement shall prevent ARM from providing post-sales technical support to any PRC Licensee for a JVCo Licensed Product or Design Services, where that PRC Licensee has already entered into a license agreement with respect to that JVCo Licensed Product or Design Services either (a) with JVCo and that support is provided pursuant to the JV Services Agreement; (b) pursuant to a Transferring Contract that has not yet transferred in accordance with either Section 7.05 of the Investment Agreement or Clause 33; or (c) pursuant to an agreement that is not a Transferring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7.2.3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subject to Clause 7.2.5, there will be circumstances where ARM will reasonably require direct engagement with PRC Licensees (and PRC Licensees will require direct engagement with ARM) to facilitate the development and receipt of ARM Product and Market Data. JVCo (acting in good faith) will not hinder or frustrate ARM from engaging with PRC Licensees for such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7.2.4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Clause 7.2.1, without JVCos consent, ARM may engage directly with an IPG Ecosystem Partner solely to directly support that IPG Ecosystem Partners development of software that supports ARM Semiconductor Technology. ARM shall make JVCo aware of all such engagements. Where the IPG Ecosystem Partner is using one or more integrated circuit products based on ARM Semiconductor Technology, which integrated circuit products are provided to that IPG Ecosystem Partner by a PRC Licensee that has either: (i) a license from JVCo in respect of those integrated circuit products; or (ii) a license from ARM in respect of those integrated circuit products pursuant to a Transferring Contract (whether that Transferring Contract will be novated to JVCo or not), ARM shall provide JVCo with the opportunity to be involved with all such engagements with that IPG Ecosystem Partner. ARMs failure to provide JVCo with the opportunity to be involved with an engagement with an IPG Ecosystem Partner shall not be deemed a breach of this Clause 7.2.4 if it is initially reasonably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19"/>
        <w:gridCol w:w="9086"/>
      </w:tblGrid>
      <w:tr>
        <w:trPr/>
        <w:tc>
          <w:tcPr>
            <w:tcW w:w="1119" w:type="dxa"/>
            <w:tcBorders/>
            <w:vAlign w:val="center"/>
          </w:tcPr>
          <w:p>
            <w:pPr>
              <w:pStyle w:val="TableContents"/>
              <w:bidi w:val="0"/>
              <w:spacing w:before="0" w:after="283"/>
              <w:jc w:val="left"/>
              <w:rPr/>
            </w:pPr>
            <w:r>
              <w:rPr/>
              <w:t> </w:t>
            </w:r>
          </w:p>
        </w:tc>
        <w:tc>
          <w:tcPr>
            <w:tcW w:w="9086" w:type="dxa"/>
            <w:tcBorders/>
          </w:tcPr>
          <w:p>
            <w:pPr>
              <w:pStyle w:val="TableContents"/>
              <w:bidi w:val="0"/>
              <w:spacing w:before="0" w:after="283"/>
              <w:jc w:val="left"/>
              <w:rPr/>
            </w:pPr>
            <w:r>
              <w:rPr/>
              <w:t xml:space="preserve">impracticable to involve JVCo in such engagement due to the nature of such engagement (for example, an unplanned engagement at an industry event or conference), in which case ARM shall remain obliged to provide JVCo with the opportunity to be involved with all subsequent engagements with that IPG Ecosystem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7.2.5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Date, the Parties will consult in good faith and agree upon a set of operating principles to facilitate direct engagement and co-ordination (i) between ARM and PRC Licensees with respect to JVCo Licensed Products and Design Services (including with respect to the direct engagement described in Clause 7.2.2 and Clause 7.2.3) whilst still providing appropriate oversight for, and involvement of, JVCo; and (ii) between ARM and IPG Ecosystem Partners with respect to the direct engagement described in Clause 7.2.4.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expressly licensed in accordance with this Agreement, JVCo acquires no right, title or interest in any Confidential Information of the ARM Group, ARM Semiconductor Technology or any Intellectual Property of the ARM Group and, to the extent permissible under Applicable Law, all implied licenses are excluded. JVCo shall not use or exploit the ARM Licensed IP except as expressly authorised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DSG Tools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 other provision of this Agreement, the Parties acknowledge and agree that, unless otherwise agreed between the Parties, JVCo shall not license the DSG Tools to PRC Licensees and the DSG Tools shall, instead, continue to be licensed to PRC Licensees by ARM directly in accordance with the distribution model described at Clauses 7.4.2 to 7.4.4 below, and where requested by either Party, the Parties shall enter into a separate distribution agreement setting out further details on the arrangements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act as a distributor in relation to the licensing of DSG Tools to PRC Licensees. As part of that arrangement, JVCo shall have the right to market the DSG Tools to PRC Licensees and provide to PRC Licensees license keys to facilitate access to the DSG Tools. Notwithstanding the foregoing, the license agreement granted to PRC Licensees in relation to DSG Tools shall be granted by ARM directly to such PRC Licensees (on a click-through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there is a reasonable business need, JVCo shall enter into a separate pricing agreement relating to a PRC Licensees use of DSG Tools (including with respect to the PRC Licensees volume commitments in relation to such tools and the pricing of such arrangements) in accordance with the relevant ARM Model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in order to effect the distribution model, JVCo shall request license keys from ARM and JVCo shall pay the fixed license fee (as set out in the ARM-JVCo Price Book) to ARM in consideration for each license key. All amounts payable by PRC Licensees in consideration for their licensing of DSG Tools shall be paid directly to JVCo and the amounts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19"/>
        <w:gridCol w:w="9086"/>
      </w:tblGrid>
      <w:tr>
        <w:trPr/>
        <w:tc>
          <w:tcPr>
            <w:tcW w:w="1119" w:type="dxa"/>
            <w:tcBorders/>
            <w:vAlign w:val="center"/>
          </w:tcPr>
          <w:p>
            <w:pPr>
              <w:pStyle w:val="TableContents"/>
              <w:bidi w:val="0"/>
              <w:spacing w:before="0" w:after="283"/>
              <w:jc w:val="left"/>
              <w:rPr/>
            </w:pPr>
            <w:r>
              <w:rPr/>
              <w:t> </w:t>
            </w:r>
          </w:p>
        </w:tc>
        <w:tc>
          <w:tcPr>
            <w:tcW w:w="9086" w:type="dxa"/>
            <w:tcBorders/>
          </w:tcPr>
          <w:p>
            <w:pPr>
              <w:pStyle w:val="TableContents"/>
              <w:bidi w:val="0"/>
              <w:spacing w:before="0" w:after="283"/>
              <w:jc w:val="left"/>
              <w:rPr/>
            </w:pPr>
            <w:r>
              <w:rPr/>
              <w:t xml:space="preserve">by PRC Licensees to JVCo in consideration for the license keys shall not affect the fixed license fee payable by JVCo in consideration for each license key. The invoicing and payment terms for such license key payments shall be included in the distribution agreement agreed between the Parties (and such amounts shall be deemed to be JVCo Charges (and, specifically, License Fees payable by PRC Licensees to JVCo) for the purposes of Clause 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8.</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EXPORT CONTROL AND RELATED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The ARM Semiconductor Technology licensed under this Agreement may be subject to the export control regulations of the United Kingdom, United States and other countries.    JVCo agrees to comply fully with all applicable export control laws and regulations, including those of the United Kingdom, the United States (including the U.S. Export Administration Act and its associated regulations (</w:t>
            </w:r>
            <w:r>
              <w:rPr>
                <w:rFonts w:ascii="Times New Roman" w:hAnsi="Times New Roman"/>
                <w:b/>
                <w:sz w:val="20"/>
              </w:rPr>
              <w:t>EAA</w:t>
            </w:r>
            <w:r>
              <w:rPr>
                <w:rFonts w:ascii="Times New Roman" w:hAnsi="Times New Roman"/>
                <w:sz w:val="20"/>
              </w:rPr>
              <w:t>)) and the trade and economic sanctions regulations administered by the Department of Treasurys Office of Foreign Assets Controls (</w:t>
            </w:r>
            <w:r>
              <w:rPr>
                <w:rFonts w:ascii="Times New Roman" w:hAnsi="Times New Roman"/>
                <w:b/>
                <w:sz w:val="20"/>
              </w:rPr>
              <w:t>OFAC</w:t>
            </w:r>
            <w:r>
              <w:rPr>
                <w:rFonts w:ascii="Times New Roman" w:hAnsi="Times New Roman"/>
                <w:sz w:val="20"/>
              </w:rPr>
              <w:t>), and of any other applicable jurisdiction (collectively, the </w:t>
            </w:r>
            <w:r>
              <w:rPr>
                <w:rFonts w:ascii="Times New Roman" w:hAnsi="Times New Roman"/>
                <w:b/>
                <w:sz w:val="20"/>
              </w:rPr>
              <w:t>Export Laws</w:t>
            </w:r>
            <w:r>
              <w:rPr>
                <w:rFonts w:ascii="Times New Roman" w:hAnsi="Times New Roman"/>
                <w:sz w:val="20"/>
              </w:rPr>
              <w:t xml:space="preserve">) to assure that neither the ARM Semiconductor Technology, nor any derivative products thereof are exported by JVCo in violation of Export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limiting the foregoing, JVCo agrees that it will not export the ARM Semiconductor Technology or any derivative products thereof, directly or indirectly: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countries subject to a comprehensive embargo by the United States (currently Iran, Syria, Cuba, North Korea, Sudan, and the Crimean region of the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8.2.2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Prohibited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8.2.3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end use that is prohibited under the EAR, including Part 744 (15 C.F.R. Part 744 (2017));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8.2.4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if JVCo has reason to believe that person will divert the ARM Semiconductor Technology or derivative products thereof to or for the benefit of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provide JVCo with written confirmation of the export control classification number or ECCN of the ARM Semiconductor Technology prior to its export or transfer to JVCO and for any derivative products developed by or sold by JVCo prior to any export by JVCo. The written confirmation shall include a summary of the license requirements under the applicable Export Laws for the ECCNs of the ARM Semiconductor Technology and derivative products. To the extent that a license is required for the export of the ARM Semiconductor Technology to JVCo, then, ARM will have the right not to export or license the technology to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obtain a written assurance from each PRC Licensee to whom JVCo licenses, sells or otherwise makes available any JVCo Licensed Products that the PRC Licensee shall: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export, re-export, or transfer any JVCo Licensed Products (a): to any countries that are subject to embargoes (currently Iran, Syria, North Korea, Cuba, Sudan, and the Crimean region of the Ukraine), (b) to any Prohibited Person, (c) to any end user who is owned or controlled by an individual person or entity to whom exports are prohibited under any Export Law, (d) for any end use prohibited by Export Laws, including, without limitation, nuclear, chemical, or biological weapons proliferation, or (e) to any country for which an export license is required without first obtaining the license from the applicable governmental agency;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8.4.2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refrain from taking any actions in connection with JVCo Licensed Products that would cause JVCo or any member of the Enlarged ARM Group to be in contravention of any Export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JVCo knows or has reason to know of a breach of the Export Laws or of the written assurance as set forth in Clause 8.4, JVCo shall promptly notify ARM of the breach by a PRC Licensee.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USE OF ARM BRAND TRADE MARKS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use the ARM Brand Trade Marks with respect to the Original ARM Products, the Mutual Roadmap Derivative Products and the ARM Derivative Products in the same manner as ARM uses such ARM Brand Trade Marks with respect to its own products. JVCo shall not use any branding other than the ARM Brand Trade Marks with respect to the Original ARM Products, the Mutual Roadmap Derivative Products or the ARM Derivative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use the ARM Brand Trade Marks to identify, market, promote, or otherwise in relation to the licensing of, Other Derivative Products or Independent Products without the prior written consent of ARM, provided that nothing in this Clause 9 shall prevent JVCo from using the Company Name in Latin characters and simplified Chinese characters, along with any logo that relates exclusively to the Company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JVCos rights under Clause 9.1 and the granting of any consents pursuant to Clause 9.2, the use of product names and numbers by JVCo with respect to Derivative Products and Independent Products (to the extent that such Independent Products are branded with ARM Brand Trade Marks) shall be subject to agreement by the Roadmap Committee (in the case of Derivative Products) and ARM (in the case of Independent Products), in order to ensure that the naming and numbering convention used with respect to any such products is not inconsistent with ARMs approach to the naming and numbering of Original ARM Products and ARM Derivative Products (to the extent that such an ARM Derivative Product is derived from an Independent Product or a Derivative Product that is branded with an ARM Brand Trade Mark).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use the ARM Brand Trade Marks in accordance with the Use Guidelines. ARM shall have the right to revise the Use Guidelines at any time and any such revisions shall be effective with respect to printed materials and products to be produced after [***] days from receipt of ARMs written notice specifying the revisions to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reasonable request from ARM, JVCo shall submit samples of documentation, packaging, and promotional or advertising materials bearing the ARM Brand Trade Marks to ARM so that ARM may verify compliance with the Use Guidelines. In the event that any documentation, packaging, promotional or advertising material fails to comply with the Use Guidelines, ARM shall notify JVCo and JVCo shall rectify such documentation, packaging, and promotional or advertising materials so as to comply with the Use Guidelines and cease using any such non-compliant materials as soon as reasonably possible after the date of ARMs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do, or omit to do, or permit to be done, any act which 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9.6.1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ARM Brand Trade Marks to become generic;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9.6.2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ARM Brand Trade Marks to lose their distinctiveness;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9.6.3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invalidate any existing registrations of the ARM Brand Trade Marks (provided that this Clause 9.6.3 shall only take effect to the extent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9.6.4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prejudice any future registrations or applications of the ARM Brand Trade Marks;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9.6.5</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materially detrimental to or inconsistent with the good name, goodwill, reputation or image of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provide reasonable assistance to ARM in maintaining the validity of the ARM Brand Trade Marks and in relation to any enforcement matters relating to the ARM Brand Trade Marks in the PRC. Upon reasonable request by ARM, JVCo shall provide a reasonable number of samples of the use of the ARM Brand Trade Marks for the purpose of Trade Mark registration or renewal, copies of relevant materials produced by JVCo or the PRC Licensees or provide ARM with any other reasonable assistance or evidence and execute any documents requested by ARM or required by Applicable Law for the purpose of registering, maintaining and enforcing the ARM Brand Trade Marks. Each of the foregoing shall be provided at ARMs sole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provided by the terms of this Agreement, JVCo shall not, without ARMs prior written consent, use, register or attempt to register in any jurisdiction in JVCos own name, or in any other name, any term, Trade Mark, service mark, device, logo, slogan, product name, service name, technology name, trade dress, company name, corporate name, business name, trade name, social media name or handle, domain name, or any word or mark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9.8.1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confusingly similar to any of the ARM Brand Trade Marks or any product name, service name, technology name or other name used by JVCo in relation to any Original ARM Products or any ARM Derivative Products under this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9.8.2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dilutive of, renders generic, takes unfair advantage of, or is detrimental to the distinctive character or repute of any of the ARM Brand Trade Marks.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JVCo wishes to secure any domain name registration which Clause 9.8 prohibits JVCo from registering, JVCo shall notify ARM of the relevant domain name(s) and ARM shall use its reasonable endeavours to secure such registrations (in ARMs name). Upon securing such domain name registration(s), such domain name(s) shall be automatically included in the license grant under Clause 3.3 at no additional cost to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Save as otherwise explicitly granted pursuant to this Agreement, JVCo shall not have any ownership, interest or goodwill in or associated with the ARM Brand Trade Marks arising from the operation of this Agreement. In no event shall the license of ARM Brand Trade Marks granted pursuant to this Agreement be construed as granting JVCo, expressly or by implication, estoppel or otherwise, a license to use any Trade Mark of the ARM Group other than the ARM Brand Trade Marks.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goodwill arising from the exploitation of the ARM Brand Trade Marks by JVCo and any of the PRC Licensees shall automatically be assigned absolutely with full title guarantee to ARM. Where such assignment does not take effect automatically, JVCo shall (and shall procure that the PRC Licensees shall) enter into an assignment agreement to effect that assignment. Upon request, JVCo shall execute any documents required by Applicable Law for the purpose of confirming the assignment of any goodwill to ARM, which is owned by ARM exclusively.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JVCo becomes aware of: (i) any application to register a Trade Mark which may be confusingly similar to or otherwise damage the ARM Brand Trade Marks; or (ii) any potential third party infringement of any ARM Brand Trade Mark, JVCo shall use commercially reasonable efforts to notify ARM in writing and provide relevant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INTELLECTUAL PROPERTY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reproduce and shall not remove or obscure any intellectual property notice incorporated in the ARM Licensed IP by ARM. ARM shall reproduce and shall not remove or obscure any intellectual property notice incorporated in the JVCo Licensed IP by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incorporate and shall require that any Downstream Affiliate to which any Original ARM Product, Derivative Product or ARM Derivative Product is provided in accordance with the terms of this Agreement, incorporates corresponding intellectual property notices and such other markings and notifications as ARM may reasonably require on all copies of the Original ARM Products, Derivative Products or ARM Derivative Product and any derivatives thereof (including any translation, modification, compilation, abridgement or other form in which the Original ARM Product, Derivative Product or ARM Derivative Product has been recast, transformed or adapted) created by JVCo or any of its Downstream Affiliates, as the case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incorporate and shall require that any Downstream Affiliate to which any Independent Product or Derivative Product is provided in accordance with the terms of this Agreement, incorporates corresponding intellectual property notices and such other markings and notifications as JVCo may reasonably require on all copies of the Independent Products or Derivative Products and any derivatives thereof (including any translation, modification, compilation, abridgement or other form in which the Independent Product or Derivative Product has been recast, transformed or adapted) created by ARM or any of its Downstream Affiliates,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NON-ASSERT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reasonable request by ARM, JVCo shall at ARMs expense enforce against a PRC Licensee any non-assert undertaking that such PRC Licensee in writing is subject to or bound by or agrees to in so far as it relates to: (i) the ARM Group; and (ii) any Downstream Affiliates of the ARM Group. Notwithstanding the foregoing and solely to the extent permissible under Applicable Law, JVCo shall make reasonable efforts to ensure that ARM (or the relevant member of the ARM Group) has a right to enforce the undertakings referenced in this Clause 11, in so far as they relate to: (i) the ARM Group; and (ii) any Downstream Affiliates of the ARM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Feedback received by the JVCo Group from a PRC Licensee pursuant to a license agreement relating to an Original ARM Product or an ARM Derivative Product and solely to the extent that the JVCo Group has the right to sub-license any such rights, JVCo shall sub-license, or, if applicable, procure the sub-license, to ARM pursuant to the terms of this Agreement the scope of rights in such Feedback licensed to the JVCo Group by such PRC Licensee, solely to the extent that such Feedback relates to the Original ARM Product or ARM Derivative Product.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 B: LICENSES OF JVCO IP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12.</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FOREGROUND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be the sole and exclusive owner of all Foreground IP and will be entitled to fully use, exploit and license such Foreground IP in connection with its business in accordance with the Joint Venture Contract and subject to the licenses of Foreground IP granted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direct and ensure that its relevant employees, secondees and members of the JVCo Group enter into formal proprietary information and invention assignment agreements assigning all of their rights in and to Foreground IP with full title guarantee to JVCo to enable it to file, prosecute and maintain the Foreground IP under its own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LICENSE OF JVCO LICENSED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other terms of this Agreement, JVCo grants (and shall, if applicable, procure the grant by any of its wholly owned Subsidiaries) to ARM and its Subsidiaries a perpetual and irrevocable (except that this grant is revocable only in accordance with Clause 8.7 (to the extent that a JVCo Licensed Product is excluded from the license scope pursuant to that Clause 8.7) and Clause 28), royalty-bearing (to the extent set out in Schedule 2), assignable (only in accordance with Clause 41) worldwide license, with a right to sub-license, to the JVCo Licensed IP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13.1.1</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Commercial sub-licenses of the Derivative Products and Independent Products to Non-PRC Licensees, solely to the extent that such sub-licenses are granted on the terms of the relevant Applicable Model License (in each case, which terms may include any Permitted Deviations relevant to that Applicable Model License and, where agreed, Licensing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13.1.2</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Commercial sub-licenses of ARM Derivative Products to Non-PRC Licensees, provided that such sub-licenses are granted on the terms of the Applicable Model License (in each case, which terms may include any Permitted Deviations relevant to that Applicable Model License and, where agreed, Licensing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1"/>
        <w:gridCol w:w="9057"/>
      </w:tblGrid>
      <w:tr>
        <w:trPr/>
        <w:tc>
          <w:tcPr>
            <w:tcW w:w="507" w:type="dxa"/>
            <w:tcBorders/>
            <w:vAlign w:val="center"/>
          </w:tcPr>
          <w:p>
            <w:pPr>
              <w:pStyle w:val="TableContents"/>
              <w:bidi w:val="0"/>
              <w:spacing w:before="0" w:after="283"/>
              <w:jc w:val="left"/>
              <w:rPr/>
            </w:pPr>
            <w:r>
              <w:rPr/>
              <w:t> </w:t>
            </w:r>
          </w:p>
        </w:tc>
        <w:tc>
          <w:tcPr>
            <w:tcW w:w="641" w:type="dxa"/>
            <w:tcBorders/>
          </w:tcPr>
          <w:p>
            <w:pPr>
              <w:pStyle w:val="TableContents"/>
              <w:bidi w:val="0"/>
              <w:spacing w:before="0" w:after="283"/>
              <w:jc w:val="left"/>
              <w:rPr/>
            </w:pPr>
            <w:r>
              <w:rPr/>
              <w:t>13.1.3</w:t>
            </w:r>
          </w:p>
        </w:tc>
        <w:tc>
          <w:tcPr>
            <w:tcW w:w="90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 modification and development activities with respect to such Derivative Products, Independent Products and ARM Derivative Products to create ARM Derivative Products. For the avoidance of doubt, any such modification and development made by or on behalf of ARM shall be deemed to be ARM Semiconductor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3"/>
        <w:gridCol w:w="9075"/>
      </w:tblGrid>
      <w:tr>
        <w:trPr/>
        <w:tc>
          <w:tcPr>
            <w:tcW w:w="507"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13.1.4</w:t>
            </w:r>
          </w:p>
        </w:tc>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manufacture or have manufactured test chips for the ARM Derivative Products, Derivative Products and Independent Products for non-revenue-bearing distribution to Non-PRC Licensees, provided that the total number of test chips shall not exceed 500 chips for each unique system-on-chip test chip design;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2"/>
        <w:gridCol w:w="9075"/>
      </w:tblGrid>
      <w:tr>
        <w:trPr/>
        <w:tc>
          <w:tcPr>
            <w:tcW w:w="508" w:type="dxa"/>
            <w:tcBorders/>
            <w:vAlign w:val="center"/>
          </w:tcPr>
          <w:p>
            <w:pPr>
              <w:pStyle w:val="TableContents"/>
              <w:bidi w:val="0"/>
              <w:spacing w:before="0" w:after="283"/>
              <w:jc w:val="left"/>
              <w:rPr/>
            </w:pPr>
            <w:r>
              <w:rPr/>
              <w:t> </w:t>
            </w:r>
          </w:p>
        </w:tc>
        <w:tc>
          <w:tcPr>
            <w:tcW w:w="622" w:type="dxa"/>
            <w:tcBorders/>
          </w:tcPr>
          <w:p>
            <w:pPr>
              <w:pStyle w:val="TableContents"/>
              <w:bidi w:val="0"/>
              <w:spacing w:before="0" w:after="283"/>
              <w:jc w:val="left"/>
              <w:rPr/>
            </w:pPr>
            <w:r>
              <w:rPr/>
              <w:t>13.1.5</w:t>
            </w:r>
          </w:p>
        </w:tc>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approved by the IP Committee, use the Trade Marks licensed by JVCo to ARM outside of the PRC in connection with the promotion and marketing of the Independent Products and ARM Derivative Products, and administrative activities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bear any third party costs associated with the sub-licensing of Intellectual Property of any third party to ARM in accordance with this Clause 13.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receipt of a written request from ARM, JVCo shall promptly deliver the requested Derivative Product or Independent Product to ARM. ARM shall only provide a written request to ARM pursuant to this Clause 13.3 where: (i) ARM is subject to a contractual obligation to a Non-PRC Licensee to deliver that product to that Non-PRC Licensee; (ii) it is reasonably likely that ARM will be subject to such a contractual obligation to a Non-PRC Licensee reasonably promptly following any such request; (iii) access to the product is reasonably necessary for ARMs proposed modification and development activity; or (iv) as otherwise mutually agreed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deliver JVCo Updates to ARM for any Derivative Products or Independent Products which have previously been delivered by JVCo to ARM in accordance with Clause 13.3 as soon as reasonably possible after such JVCo Update is Released by the JVCo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LIMITATIONS TO THE JVCO LICENSED IP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other terms and conditions of this Agreement, the licenses granted pursuant to Clauses 13.1.1 and 13.1.2 shall be deemed to be exclusive, in each case to the extent that such clauses grant rights to ARM to enter into Commercial licensing arrangements with Non-PRC Licensees with respect to the Derivative Products, Independent Products and ARM Derivative Products in accordance with the Applicable Model License during the Term of this Agreement. With respect to the exclusive rights granted in Clauses 13.1.1 and 13.1.2 and save as provided under Clause 14.4, JVCo may not enter into any licensing arrangement with any Non-PRC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will not enter into any arrangement with a PRC Licensee which permits that PRC Licensee to sub-license to a Non-PRC Licensee any JVCo Licensed Product (with respect to the scope of rights referenced in Clause 14.1), save with respect to sub-licensing to third party service providers that are providing services to, or on behalf of, the PRC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exclusivity arrangement described in Clause 14.1 is limited by any Applicable Law, the license grant shall not terminate, but shall remain exclusive to the extent that is permitted by such Applicable Law and shall become non-exclusive to the extent that is necessary to conform with such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nothing in this Agreement shall prevent: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14.4.1</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from undertaking research or development activities (or entering into arrangements with third parties to undertake such activities on behalf of the JVCo Group) outside of the PRC;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5"/>
        <w:gridCol w:w="649"/>
        <w:gridCol w:w="9051"/>
      </w:tblGrid>
      <w:tr>
        <w:trPr/>
        <w:tc>
          <w:tcPr>
            <w:tcW w:w="505"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14.4.2</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from granting worldwide, sub-licensable rights in the JVCo Licensed IP to Non-PRC Licensees for a non-Commercial purpose;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2"/>
        <w:gridCol w:w="9075"/>
      </w:tblGrid>
      <w:tr>
        <w:trPr/>
        <w:tc>
          <w:tcPr>
            <w:tcW w:w="508" w:type="dxa"/>
            <w:tcBorders/>
            <w:vAlign w:val="center"/>
          </w:tcPr>
          <w:p>
            <w:pPr>
              <w:pStyle w:val="TableContents"/>
              <w:bidi w:val="0"/>
              <w:spacing w:before="0" w:after="283"/>
              <w:jc w:val="left"/>
              <w:rPr/>
            </w:pPr>
            <w:r>
              <w:rPr/>
              <w:t> </w:t>
            </w:r>
          </w:p>
        </w:tc>
        <w:tc>
          <w:tcPr>
            <w:tcW w:w="622" w:type="dxa"/>
            <w:tcBorders/>
          </w:tcPr>
          <w:p>
            <w:pPr>
              <w:pStyle w:val="TableContents"/>
              <w:bidi w:val="0"/>
              <w:spacing w:before="0" w:after="283"/>
              <w:jc w:val="left"/>
              <w:rPr/>
            </w:pPr>
            <w:r>
              <w:rPr/>
              <w:t>14.4.3</w:t>
            </w:r>
          </w:p>
        </w:tc>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from granting sub-licensable rights to JVCo Licensed Products to PRC Licensees, permitting such PRC Licensees to conduct sub-licensing (including to Non-PRC Licensees) in accordance with Clause 14.2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Exclusive Interface with Non-PRC Licensees for JVCo Licensed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14.5.1</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other provisions of this Clause 14.5, ARM shall be the exclusive interfacing channel with respect to Non-PRC Licensees for any JVCo Licensed Products and Design Services, and JVCo may not (without the prior written consent of ARM, such consent not to be unreasonably withheld, delayed or conditioned) initiate direct contact with any Non-PRC Licensee with respect to any JVCo Licensed Product and Design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14.5.2</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14.5.4, nothing in this Agreement shall prevent JVCo from providing post-sales technical support to any Non-PRC Licensee for an Independent or Derivative Product or Design Services, where that Non-PRC Licensee has already entered into a license agreement with respect to that Independent or Derivative Product or Design Services with ARM and that support is provided pursuant to the JV Services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14.5.3</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subject to Clause 14.5.4, there will be circumstances where JVCo will reasonably require direct engagement with Non-PRC Licensees (and Non-PRC Licensees will require direct engagement with JVCo) to facilitate the development and receipt of JVCo Product and Market Data. ARM (acting in good faith) will not hinder or frustrate JVCo from engaging with Non-PRC Licensees for such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7"/>
        <w:gridCol w:w="9061"/>
      </w:tblGrid>
      <w:tr>
        <w:trPr/>
        <w:tc>
          <w:tcPr>
            <w:tcW w:w="507"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14.5.4</w:t>
            </w:r>
          </w:p>
        </w:tc>
        <w:tc>
          <w:tcPr>
            <w:tcW w:w="90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Date, the Parties will consult in good faith and agree upon a set of operating principles to facilitate direct engagement and co-ordination between JVCo and Non-PRC Licensees with respect to JVCo Licensed Products (including with respect to the direct engagement described in Clauses 14.5.2 and 14.5.3) whilst still providing appropriate oversight for, and involvement of, ARM.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 C: RISK ALLOCATION AND PROTECTIONS WITH RESPECT TO LICENSED IP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ARM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Functionality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1"/>
        <w:gridCol w:w="9057"/>
      </w:tblGrid>
      <w:tr>
        <w:trPr/>
        <w:tc>
          <w:tcPr>
            <w:tcW w:w="507" w:type="dxa"/>
            <w:tcBorders/>
            <w:vAlign w:val="center"/>
          </w:tcPr>
          <w:p>
            <w:pPr>
              <w:pStyle w:val="TableContents"/>
              <w:bidi w:val="0"/>
              <w:spacing w:before="0" w:after="283"/>
              <w:jc w:val="left"/>
              <w:rPr/>
            </w:pPr>
            <w:r>
              <w:rPr/>
              <w:t> </w:t>
            </w:r>
          </w:p>
        </w:tc>
        <w:tc>
          <w:tcPr>
            <w:tcW w:w="641" w:type="dxa"/>
            <w:tcBorders/>
          </w:tcPr>
          <w:p>
            <w:pPr>
              <w:pStyle w:val="TableContents"/>
              <w:bidi w:val="0"/>
              <w:spacing w:before="0" w:after="283"/>
              <w:jc w:val="left"/>
              <w:rPr/>
            </w:pPr>
            <w:r>
              <w:rPr/>
              <w:t>15.1.1</w:t>
            </w:r>
          </w:p>
        </w:tc>
        <w:tc>
          <w:tcPr>
            <w:tcW w:w="90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warrants to JVCo that all deliverables provided by ARM in accordance with Clauses 3.5 and 3.6 are substantially and materially the same as the ARM Semiconductor Technology used and updated in ARMs own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15.1.2</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warrants to JVCo that the Licensed ARM Architectures in respect of which Architecture IP is licensed will be: (i) sufficient to allow a person reasonably skilled in the art to design an Architecture Compliant Core in respect of that Licensed ARM Architecture; and (ii) documented in a manner consistent with applicable industry standards, but in no event will the Licensed ARM Architectures be documented using standards or practices that are lesser (to any material extent) than what are adopted by the ARM Group for its own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5"/>
        <w:gridCol w:w="649"/>
        <w:gridCol w:w="9051"/>
      </w:tblGrid>
      <w:tr>
        <w:trPr/>
        <w:tc>
          <w:tcPr>
            <w:tcW w:w="505"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15.1.3</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Clause 15.1.2, ARM shall not be responsible for any recoverable or non-recoverable costs incurred, directly or indirectly, by JVCo in the design migration, processing or manufacture of masks or prototypes, characterisation or manufacture of production quality silicon in whatever quantity.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15.1.4</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warrants to JVCo that the Original ARM Products (excluding the ARM Architectures) and the ARM Derivative Products will be consistent with allowing a competent semiconductor manufacturer to manufacture products which substantially conform to the functionality described in the relevant specification delivered by ARM to JVCo.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6"/>
        <w:gridCol w:w="651"/>
        <w:gridCol w:w="9048"/>
      </w:tblGrid>
      <w:tr>
        <w:trPr/>
        <w:tc>
          <w:tcPr>
            <w:tcW w:w="506" w:type="dxa"/>
            <w:tcBorders/>
            <w:vAlign w:val="center"/>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15.1.5</w:t>
            </w:r>
          </w:p>
        </w:tc>
        <w:tc>
          <w:tcPr>
            <w:tcW w:w="90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acknowledges that the process for converting the Original ARM Products and the ARM Derivative Products delivered to JVCo in to silicon necessarily involves the introduction and use of technology not delivered by ARM and accordingly ARMs liability and JVCos sole remedy for breach of the warranty provided under Clause 15.1.4 shall be as follows: if JVCo can demonstrate to ARM that any defect that is manifested or would be manifested in the silicon of an ARM Compliant Product developed using any Original ARM Product or any ARM Derivative Product is exclusively caused by a defect in the Original ARM Product or the ARM Derivative Product as delivered to JVCo then ARM shall use commercially reasonable efforts to either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correct any errors in the Original ARM Product or ARM Derivative Product and deliver the corrected Original ARM Product to JVCo;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workaround to remedy the defect and deliver such workaround to JVCo,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ARM shall have no liability (and JVCo shall have no remedy) for any such defect in an ARM Derivative Product where ARM can demonstrate that the defect is caused by a Derivative Product or Independent Product (or part thereof) that subsists in the ARM Derivative Product. </w:t>
      </w:r>
    </w:p>
    <w:p>
      <w:pPr>
        <w:pStyle w:val="TextBody"/>
        <w:bidi w:val="0"/>
        <w:spacing w:before="120" w:after="0"/>
        <w:jc w:val="left"/>
        <w:rPr>
          <w:rFonts w:ascii="Times New Roman" w:hAnsi="Times New Roman"/>
          <w:sz w:val="20"/>
        </w:rPr>
      </w:pPr>
      <w:r>
        <w:rPr>
          <w:rFonts w:ascii="Times New Roman" w:hAnsi="Times New Roman"/>
          <w:sz w:val="20"/>
        </w:rPr>
        <w:t xml:space="preserve">The foregoing states the entire liability of ARM with respect to breach of the warranty provided in Clause 15.1.4.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15.2.1</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warrants, to ARMs knowledge and belief,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ARM Group is the owner of the ARM Licensed IP or otherwise has the right to grant the rights and licenses in such ARM Licensed IP to JVCo in accordance with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ARM Licensed IP and the Co-owned IP constitutes all ARM Semiconductor Technology IP that: (a) is developed by, or on behalf of the ARM Group, and licensed, provided, or made available, by the ARM Group; and (b) subsists in the Original ARM Products and ARM Derivative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ARM Products (whether or not the Intellectual Property that subsists in the Original ARM Products is licensed under this Agreement or is Co-owned IP under the Co-ownership Deed) and the ARM Derivative Products do not infringe, misappropriate or violate any third party Copyright, mask work right or Trade Secret;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at the date of this Agreement, there are no pending actions commenced against any member of the ARM Group for infringement by the relevant Original ARM Product of any third party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at the date of this Agreement, ARM has not granted any third party any license, right, limitation, or restriction with respect to the Original ARM Products in the PRC that are in conflict with the licenses granted to JVCo under this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at the date of this Agreement, ARM (or any member of the ARM Group) is not party to a Comparable Architecture License that contains non-assert obligations that are less onerous in any material respect on the licensee (taking into account the totality of the terms of those non-assert obligations) than the non-assert obligations set out in Clauses 30.5 and 30.6.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15.2.2</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be entitled to claim that any fact, matter or circumstance causes the warranties at Clauses 15.2.1(iv) and 15.2.1(v) to be breached if that fact, matter or circumstance has been fairly disclosed by ARM to JVCo in advance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15.2.3</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15.2.4, JVCos exclusive remedy for any breach of the warranties provided in Clause 15.2.1 shall be the indemnification provided under Clause 16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4"/>
        <w:gridCol w:w="9044"/>
      </w:tblGrid>
      <w:tr>
        <w:trPr/>
        <w:tc>
          <w:tcPr>
            <w:tcW w:w="507"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15.2.4</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JVCos exclusive remedy for any breach of the warranty provided in Clause 15.2.1(vi) shall be the amendment of Clauses 30.5 and 30.6 such that it reflects (in all material respects) the non-assert obligations that give rise to the breach of that warranty.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expressly provided in this Clause 15, ARM provides no express, implied or statutory warranties, including without limitation, the implied warranties of merchantability, satisfactory quality, non-infringement or fitness for a particular purpose with respect to ARM Semiconductor Technology. All warranties implied by Applicable Law (whether by statute or common law or through trade custom or practice or otherwise) are excluded to the maximum extent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16.</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ARM INDEMNIFICATION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Except as provided under Clauses 16.3, 16.4 and 16.5, in the event of a law suit, administrative proceedings or similar action against any member of the JVCo Group (excluding a JVCo Licensee Indemnity Claim) based upon a claim that the ARM Brand Trade Marks or any of the Original ARM Products or the ARM Derivative Products as delivered by ARM to the JVCo Group under this Agreement, when used by any member of the JVCo Group in accordance with the provisions of this Agreement, infringe any third party Intellectual Property (a </w:t>
            </w:r>
            <w:r>
              <w:rPr>
                <w:rFonts w:ascii="Times New Roman" w:hAnsi="Times New Roman"/>
                <w:b/>
                <w:sz w:val="20"/>
              </w:rPr>
              <w:t>JVCo Infringement Suit</w:t>
            </w:r>
            <w:r>
              <w:rPr>
                <w:rFonts w:ascii="Times New Roman" w:hAnsi="Times New Roman"/>
                <w:sz w:val="20"/>
              </w:rPr>
              <w:t xml:space="preserve">), ARM agrees, subject to the limitations of the rest of this Clause 16 and Clause 20, to pay for the reasonable fees paid to third party attorneys to defend the suit and damages and costs finally awarded by the court in any such suit or for any amount paid in any settlement of any such suit but in each case, only to the extent that such fees, damages, costs or amounts paid in settlement relate to the JVCo Infringement Suit against the Original ARM Product or the ARM Derivative Product, provided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16.1.1</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is promptly notified by JVCo, in writing, of any and all threats, claims and proceedings related to the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16.1.2</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has sole control of the defence and any settlement of the JVCo Infringement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16.1.3</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JVCo Group does not make any admission of liability nor settle or otherwise compromise the claim without ARMs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16.1.4</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furnishes to ARM, upon request, any information available to JVCo relating to the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16.1.5</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provides reasonable assistance to enable ARM to control the defence of the JVCo Infringement Suit;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16.1.6</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JVCo Group ceases use of the Original ARM Product or ARM Derivative Product which is the subject of the suit upon receipt from ARM of any non-infringing replacement for such Original ARM Product or ARM Derivative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Except as provided under Clauses 16.3, 16.4, and 16.5, in the event of an indemnification claim brought against any member of the JVCo Group by a PRC Licensee (the </w:t>
            </w:r>
            <w:r>
              <w:rPr>
                <w:rFonts w:ascii="Times New Roman" w:hAnsi="Times New Roman"/>
                <w:b/>
                <w:sz w:val="20"/>
              </w:rPr>
              <w:t>Underlying JVCo Licensee</w:t>
            </w:r>
            <w:r>
              <w:rPr>
                <w:rFonts w:ascii="Times New Roman" w:hAnsi="Times New Roman"/>
                <w:sz w:val="20"/>
              </w:rPr>
              <w:t>) with respect to a law suit, administrative proceedings or similar action against the Underlying JVCo Licensee (the </w:t>
            </w:r>
            <w:r>
              <w:rPr>
                <w:rFonts w:ascii="Times New Roman" w:hAnsi="Times New Roman"/>
                <w:b/>
                <w:sz w:val="20"/>
              </w:rPr>
              <w:t>Underlying JVCo Licensee Suit</w:t>
            </w:r>
            <w:r>
              <w:rPr>
                <w:rFonts w:ascii="Times New Roman" w:hAnsi="Times New Roman"/>
                <w:sz w:val="20"/>
              </w:rPr>
              <w:t>) based upon a claim that the ARM Brand Trade Marks or any of the Original ARM Products or ARM Derivative Products as delivered by the JVCo Group to the Underlying JVCo Licensee under the relevant license agreement, when used by the Underlying JVCo Licensee in accordance with the provisions of that license agreement, infringe any third party Intellectual Property (a </w:t>
            </w:r>
            <w:r>
              <w:rPr>
                <w:rFonts w:ascii="Times New Roman" w:hAnsi="Times New Roman"/>
                <w:b/>
                <w:sz w:val="20"/>
              </w:rPr>
              <w:t>JVCo Licensee Indemnity Claim</w:t>
            </w:r>
            <w:r>
              <w:rPr>
                <w:rFonts w:ascii="Times New Roman" w:hAnsi="Times New Roman"/>
                <w:sz w:val="20"/>
              </w:rPr>
              <w:t xml:space="preserve">), ARM agrees, subject to the limitations of the rest of this Clause 16 and Clause 20, to pay for the reasonable fees paid by the Underlying JVCo Licensee to third party attorneys to defend the Underlying JVCo Licensee Suit and damages and costs finally awarded by the court in any such Underlying JVCo Licensee Suit or for any amounts paid in any settlement of any such Underlying JVCo Licensee Suit but in each case, only to the extent that such fees, damages, costs or amounts paid in settlement relate to the Underlying JVCo Licensee Suit against the Original ARM Product or ARM Derivative Product,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16.2.1</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is promptly notified by the Underlying JVCo Licensee, in writing, of any and all threats, claims and proceedings related to the Underlying JVCo Licensee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16.2.2</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is promptly thereafter notified by JVCo, in writing, of any and all threats, claims and proceedings related to the JVCo Licensee Indemnity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16.2.3</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has sole control of the defence and any settlement of the Underlying JVCo Licensee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16.2.4</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JVCo Group nor the Underlying JVCo Licensee may make any admission of liability nor settle or otherwise compromise the Underlying JVCo Licensee Suit without ARMs prior written consent;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16.2.5</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and the Underlying JVCo Licensee furnish to ARM, upon request, any information available to JVCo and the Underlying JVCo Licensee relating to the Underlying JVCo Licensee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16.2.6</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and the Underlying JVCo Licensee provide reasonable assistance to enable ARM to control the defence of the Underlying JVCo Licensee Suit;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16.2.7</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JVCo Group ceases use, and procures that the Underlying JVCo Licensee ceases use, of the Original ARM Product or ARM Derivative Product which is the subject of the Underlying JVCo Licensee Suit upon receipt from ARM of any non-infringing replacement for such Original ARM Product or ARM Derivative Product.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Clauses 16.1 and 16.2 state the entire liability of ARM with respect to infringement by the ARM Brand Trade Marks or the ARM Semiconductor Technology of any third party Intellectual Property.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have no liability under Clause 16.1 or Clause 16.2, in respect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16.3.1</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design implementation by JVCo (or any of its Downstream Affiliates) except to the extent that and only to the extent that such implementation infringes Necessary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16.3.2</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licensing of any Original ARM Product or ARM Derivative Product in breach of the restrictions set out at Clause 5.3 or Clause 8.7;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16.3.3</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infringement arising 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combination of any Original ARM Product or ARM Derivative Product by JVCo (or any of its Downstream Affiliates) with other products not supplied by ARM if such infringement would not have occurred but for such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 of any Original ARM Product or ARM Derivative Product by JVCo (or any of its Downstream Affiliates) if such infringement would not have occurred but for such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process of synthesizing any Original ARM Product or ARM Derivative Product including but not limited to the use by JVCo (or any of its Downstream Affiliates) of cell libraries of that entity if such infringement would not have occurred but for the application of such process;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manufacturing process applied to the Original ARM Product or ARM Derivative Product by JVCo (or any of its Downstream Affiliates) if such infringement would not have occurred but for the application of such process;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16.3.4</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suit, counterclaim, countersuit or the equivalent thereof brought by a third party against JVCo (or any of its Downstream Affiliates) based upon a claim that any of the Original ARM Products or ARM Derivative Products delivered by ARM to JVCo under this Agreement infringes a patent owned or controlled by such third party where such claim has been made by such third party as a counterclaim to an initial claim by JVCo (or any of its Downstream Affiliates) that such third party (or its affiliates) infringes any patent owned or controlled by JVCo (or any of its Downstream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16.3.5</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suit, counterclaim, countersuit or the equivalent thereof brought by a third party against JVCo (or any of its Downstream Affiliates) based upon a claim that any of the Original ARM Products or ARM Derivative Products delivered by ARM to JVCo under this Agreement infringes a patent owned or controlled by such third party where such claim is based on the implementation of a Standard;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16.3.6</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suit, counterclaim, countersuit or the equivalent thereof brought by a third party against JVCo (or any of its Downstream Affiliates) based upon a claim that any of the Original ARM Products or ARM Derivative Products delivered by ARM to JVCo under this Agreement infringes an excluded patent group previously identified by ARM and notified to JVCo for the relevant Original ARM Product or ARM Derivative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16.4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not have any liability under Clause 16.1 or Clause 16.2 for any loss caused or damages awarded, for infringement by the ARM Brand Trade Marks, any Original ARM Product or any ARM Derivative Product of the Intellectual Property of a third party, after the date of issuance of a judgement in the relevant suit (whether a JVCo Infringement Suit or an Underlying JVCo Licensee Suit). ARM shall have no continuing liability under Clause 16.1 or Clause 16.2 for any loss suffered by JVCo or its Underlying JVCo Licensee in respect of the same infringement after the date of such judgment.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not be liable for the reasonable fees of attorneys under Clause 16.1 or Clause 16.2 unless there is a final determination by the adjudicator of the suit (whether a JVCo Infringement Suit or an Underlying JVCo Licensee Suit) that the ARM Brand Trade Marks, Original ARM Product or ARM Derivative Product infringes valid third party Intellectual Property asserted in such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16.6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either a third party alleges, or ARM has any concerns, that any Original ARM Product, ARM Derivative Product or Derivative Product infringes or may infringe the Intellectual Property of a third party, then without any admission of liability, ARM at its option and expense may develop an ARM Update to the relevant Original ARM Product or ARM Derivative Product which in ARMs opinion avoids such alleged infringement and upon receipt of such ARM Update from ARM, JVCo shall (and shall procure that its Downstream Affiliates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16.6.1</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any new design or derivatives of any existing designs which have not been taped out, immediately cease use of the Original ARM Product, ARM Derivative Product or Derivative Product which the ARM Update replaces;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16.6.2</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any existing designs which have been taped out, within [***] months of receipt of the ARM Update, cease use of the Original ARM Product, ARM Derivative Product or Derivative Product which the ARM Update replaces.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suit against ARM is based in whole or in part upon a claim that any of the ARM Semiconductor Technology delivered by ARM to JVCo under this Agreement, when used in accordance with this Agreement, infringes any third party Intellectual Property as a result of any of the activities listed at Clause 16.3 above, JVCo agrees to indemnify ARM for any legal costs (including attorneys fees) reasonably incurred by ARM in defending such suit provided that JVCo is notified promptly in writing of the suit and that at JVCos written request, JVCo is given control of and all requested reasonable assistance to defend such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JVCO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Functionality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1"/>
        <w:gridCol w:w="9057"/>
      </w:tblGrid>
      <w:tr>
        <w:trPr/>
        <w:tc>
          <w:tcPr>
            <w:tcW w:w="507" w:type="dxa"/>
            <w:tcBorders/>
            <w:vAlign w:val="center"/>
          </w:tcPr>
          <w:p>
            <w:pPr>
              <w:pStyle w:val="TableContents"/>
              <w:bidi w:val="0"/>
              <w:spacing w:before="0" w:after="283"/>
              <w:jc w:val="left"/>
              <w:rPr/>
            </w:pPr>
            <w:r>
              <w:rPr/>
              <w:t> </w:t>
            </w:r>
          </w:p>
        </w:tc>
        <w:tc>
          <w:tcPr>
            <w:tcW w:w="641" w:type="dxa"/>
            <w:tcBorders/>
          </w:tcPr>
          <w:p>
            <w:pPr>
              <w:pStyle w:val="TableContents"/>
              <w:bidi w:val="0"/>
              <w:spacing w:before="0" w:after="283"/>
              <w:jc w:val="left"/>
              <w:rPr/>
            </w:pPr>
            <w:r>
              <w:rPr/>
              <w:t>17.1.1</w:t>
            </w:r>
          </w:p>
        </w:tc>
        <w:tc>
          <w:tcPr>
            <w:tcW w:w="90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warrants to ARM that all deliverables provided by JVCo in accordance with Clauses 13.3 and 13.4 will be substantially and materially the same as the Semiconductor Technology used and updated in JVCos own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17.1.2</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warrants to ARM that the Derivative Products and Independent Products in respect of which JVCo Licensed IP is licensed will be consistent with allowing a competent semiconductor manufacturer to manufacture products which substantially conform to the functionality described in the relevant specification delivered by JVCo to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1"/>
        <w:gridCol w:w="9048"/>
      </w:tblGrid>
      <w:tr>
        <w:trPr/>
        <w:tc>
          <w:tcPr>
            <w:tcW w:w="506" w:type="dxa"/>
            <w:tcBorders/>
            <w:vAlign w:val="center"/>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17.1.3</w:t>
            </w:r>
          </w:p>
        </w:tc>
        <w:tc>
          <w:tcPr>
            <w:tcW w:w="90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acknowledges that the process for converting the Derivative Products and Independent Products delivered to ARM into silicon necessarily involves the introduction and use of technology not delivered by JVCo and accordingly JVCos liability and ARMs sole remedy for breach of the warranty provided under Clause 17.1.2 shall be as follows: if ARM can demonstrate to JVCo that any defect that is manifested or would be manifested in the silicon of a product developed using any Derivative Product or Independent Product is caused by a defect in the Derivative Product or Independent Product as delivered to ARM then JVCo shall use commercially reasonable efforts to either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correct any errors in the Derivative Product or Independent Product and deliver the corrected Derivative Product or Independent Product to ARM;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workaround to remedy the defect and deliver such workaround to ARM,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JVCo shall have no liability (and ARM shall have no remedy) for any such defect in a Derivative Product where JVCo can demonstrate that the defect is caused by an Original ARM Product that subsists in the Derivative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states the entire liability of JVCo with respect to breach of the warranty provided in Clause 17.1.3.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17.1.4</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warrants, to JVCos knowledge and belief,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is the owner of the JVCo Licensed IP or otherwise has the right to grant the rights and licenses in such JVCo Licensed IP to ARM in accordance with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JVCo Licensed IP constitutes all Intellectual Property Controlled by the JVCo Group that: (a) is developed by, or on behalf of the JVCo Group, and licensed, provided, or made available, by the JVCo Group; and (b) subsists in the Derivative Products and Independent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Derivative Products and the Independent Products do not infringe, misappropriate or violate any third party Copyright, mask work right or Trade Secret.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0"/>
        <w:gridCol w:w="9059"/>
      </w:tblGrid>
      <w:tr>
        <w:trPr/>
        <w:tc>
          <w:tcPr>
            <w:tcW w:w="506" w:type="dxa"/>
            <w:tcBorders/>
            <w:vAlign w:val="center"/>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17.1.5</w:t>
            </w:r>
          </w:p>
        </w:tc>
        <w:tc>
          <w:tcPr>
            <w:tcW w:w="90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expressly provided in this Clause 17, JVCo provides no express, implied or statutory warranties, including without limitation, the implied warranties of merchantability, satisfactory quality, non-infringement or fitness for a particular purpose with respect to Derivative Products or Independent Products. All warranties implied by Applicable Law (whether by statute or common law or through trade custom or practice or otherwise) are excluded to the maximum extent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18.</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JVCO INDEMNIFICATION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Except as provided under Clauses 18.3, 18.4 and 18.5, in the event of a law suit, administrative proceedings or similar action against any member of the ARM Group (excluding an ARM Licensee Indemnity Claim) based upon a claim that any of the Derivative Products or Independent Products as delivered by JVCo to the ARM Group under this Agreement, when used by any member of the ARM Group in accordance with the provisions of this Agreement, infringe any third party Intellectual Property (an </w:t>
            </w:r>
            <w:r>
              <w:rPr>
                <w:rFonts w:ascii="Times New Roman" w:hAnsi="Times New Roman"/>
                <w:b/>
                <w:sz w:val="20"/>
              </w:rPr>
              <w:t>ARM Infringement Suit</w:t>
            </w:r>
            <w:r>
              <w:rPr>
                <w:rFonts w:ascii="Times New Roman" w:hAnsi="Times New Roman"/>
                <w:sz w:val="20"/>
              </w:rPr>
              <w:t xml:space="preserve">), JVCo agrees, subject to the limitations of the rest of this Clause 18 and Clause 20, to pay for the reasonable fees paid to third party attorneys to defend the suit and damages and costs finally awarded by the court in any such suit or for any amount paid in any settlement of any such suit but in each case, only to the extent that such fees, damages, costs or amounts paid in settlement relate to the ARM Infringement Suit against the Derivative Products or Independent Product,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18.1.1</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is promptly notified by ARM, in writing, of any and all threats, claims and proceedings related to the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18.1.2</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has sole control of the defence and any settlement of the ARM Infringement Suit;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18.1.3</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ARM Group does not make any admission of liability nor settle or otherwise compromise the claim without JVCos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18.1.4</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furnishes to JVCo, upon request, any information available to ARM relating to the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18.1.5</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provides reasonable assistance to enable JVCo to control the defence of the ARM Infringement Suit;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18.1.6</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ARM Group ceases use of the Derivative Products or Independent Product which is the subject of the suit upon receipt from JVCo of any non-infringing replacement for such Derivative Products or Independent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Except as provided under Clauses 18.3, 18.4, and 18.5, in the event of an indemnification claim brought against any member of the ARM Group by a Non-PRC Licensee (the </w:t>
            </w:r>
            <w:r>
              <w:rPr>
                <w:rFonts w:ascii="Times New Roman" w:hAnsi="Times New Roman"/>
                <w:b/>
                <w:sz w:val="20"/>
              </w:rPr>
              <w:t>Underlying ARM Licensee</w:t>
            </w:r>
            <w:r>
              <w:rPr>
                <w:rFonts w:ascii="Times New Roman" w:hAnsi="Times New Roman"/>
                <w:sz w:val="20"/>
              </w:rPr>
              <w:t>) with respect to a law suit, administrative proceeding or similar action against the Underlying ARM Licensee (the </w:t>
            </w:r>
            <w:r>
              <w:rPr>
                <w:rFonts w:ascii="Times New Roman" w:hAnsi="Times New Roman"/>
                <w:b/>
                <w:sz w:val="20"/>
              </w:rPr>
              <w:t>Underlying ARM Licensee Suit</w:t>
            </w:r>
            <w:r>
              <w:rPr>
                <w:rFonts w:ascii="Times New Roman" w:hAnsi="Times New Roman"/>
                <w:sz w:val="20"/>
              </w:rPr>
              <w:t>) based upon a claim that any of the Derivative Products or Independent Products as delivered by the ARM Group to the Underlying ARM Licensee under the relevant license agreement, when used by the Underlying ARM Licensee in accordance with the provisions of that license agreement, infringe any third party Intellectual Property (an </w:t>
            </w:r>
            <w:r>
              <w:rPr>
                <w:rFonts w:ascii="Times New Roman" w:hAnsi="Times New Roman"/>
                <w:b/>
                <w:sz w:val="20"/>
              </w:rPr>
              <w:t>ARM Licensee Indemnity Claim</w:t>
            </w:r>
            <w:r>
              <w:rPr>
                <w:rFonts w:ascii="Times New Roman" w:hAnsi="Times New Roman"/>
                <w:sz w:val="20"/>
              </w:rPr>
              <w:t xml:space="preserve">), JVCo agrees, subject to the limitations of the rest of this Clause 18 and Clause 20, to pay for the reasonable fees paid by the Underlying ARM Licensee to third party attorneys to defend the Underlying ARM Licensee Suit and damages and costs finally awarded by the court in any such Underlying ARM Licensee Suit or for any amounts paid in any settlement of any such Underlying ARM Licensee Suit but in each case, only to the extent that such fees, damages, costs or amounts paid in settlement relate to the Underlying ARM Licensee Suit against the Derivative Product or Independent Product,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18.2.1</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is promptly notified by the Underlying ARM Licensee, in writing, of any and all threats, claims and proceedings related to the Underlying ARM Licensee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18.2.2</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is promptly thereafter notified by ARM, in writing, of any and all threats, claims and proceedings related to the ARM Licensee Indemnity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18.2.3</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has sole control of the defence and any settlement of the Underlying ARM Licensee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18.2.4</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ARM Group nor the Underlying ARM Licensee may make any admission of liability nor settle or otherwise compromise the Underlying ARM Licensee Suit without ARMs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18.2.5</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ARM Group and the Underlying ARM Licensee furnish to JVCo, upon request, any information available to ARM and the Underlying ARM Licensee relating to the Underlying ARM Licensee Suit;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18.2.6</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and the Underlying ARM Licensee provide reasonable assistance to enable JVCo to control the defence of the Underlying ARM Licensee Suit;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18.2.7</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ceases use, and procures that the Underlying ARM Licensee ceases use, of the Derivative Product or Independent Product which is the subject of the suit upon receipt from ARM of any non-infringing replacement for such Original ARM Product or ARM Derivative Product.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Clauses 18.1 and 18.2 state the entire liability of JVCo with respect to infringement by the Derivative Product or Independent Product of any third party Intellectual Property.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have no liability under Clauses 18.1 or 18.2, in respect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18.3.1</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licensing of any Derivative Product or Independent Product in breach of the restriction set out at Clause 8.7;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18.3.2</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infringement arising 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combination of any Derivative Product or Independent Product by ARM (or any of its Downstream Affiliates) with other products not supplied by JVCo if such infringement would not have occurred but for such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 of any Derivative Product or Independent Product by ARM (or any of its Downstream Affiliates) if such infringement would not have occurred but for such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process of synthesizing any Derivative Product or Independent Product including but not limited to the use by ARM (or any of its Downstream Affiliates) of cell libraries of that entity if such infringement would not have occurred but for the application of such process;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manufacturing process applied to any Derivative Product or Independent Product by ARM (or any of its Downstream Affiliates) if such infringement would not have occurred but for the application of such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18.3.3</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suit, counterclaim, countersuit or the equivalent thereof brought by a third party against ARM (or any of its Downstream Affiliates) based upon a claim that any of the Derivative Products or Independent Products delivered by JVCo to ARM under this Agreement infringes a patent owned or controlled by such third party where such claim has been made by such third party as a counterclaim to an initial claim by ARM (or any of its Downstream Affiliates) that such third party (or its affiliates) infringes any patent owned or controlled by ARM (or any of its Downstream Affiliates);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18.3.4</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suit, counterclaim, countersuit or the equivalent thereof brought by a third party against ARM (or any of its Downstream Affiliates) based upon a claim that any of the Derivative Products or Independent Products delivered by JVCo to ARM under this Agreement infringes a patent owned or controlled by such third party where such claim is based on the implementation of a Standard;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18.3.5</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suit, counterclaim, countersuit or the equivalent thereof brought by a third party against ARM (or any of its Downstream Affiliates) based upon a claim that any of the Derivative Products or Independent Products delivered by JVCo to ARM under this Agreement infringes an excluded patent group previously identified by JVCo and notified to ARM for the relevant Derivative Product or Independent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18.4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have any liability under Clause 18.1 or Clause 18.2 for any loss caused or damages awarded, for infringement by the Derivative Products or Independent Products of the Intellectual Property of a third party, after the date of issuance of a judgement in the relevant suit (whether an ARM Infringement Suit or an Underlying ARM Licensee Suit). JVCo shall have no continuing liability under Clause 18.1 or Clause 18.2 for any loss suffered by ARM or its Underlying ARM Licensee in respect of the same infringement after the date of such judgment.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be liable for the reasonable fees of attorneys under Clause 18.1 or Clause 18.2 unless there is a final determination by the adjudicator of the suit (whether an ARM Infringement Suit or an Underlying ARM Licensee Suit) that the Derivative Product or Independent Product infringes valid third party Intellectual Property asserted in such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18.6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either a third party alleges, or JVCo has any concerns, that any Derivative Product or Independent Product infringes or may infringe the Intellectual Property of a third party, then without any admission of liability, JVCo at its option and expense may develop a JVCo Update to the relevant Derivative Product or Independent Product which in JVCos opinion avoids such alleged infringement and upon receipt of such JVCo Update from JVCo, ARM shall (and shall procure that its Downstream Affiliates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18.6.1</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any new design or derivatives of any existing designs which have not been taped out, immediately cease use of the Derivative Product or Independent Product which the JVCo Update replaces;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18.6.2</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any existing designs which have been taped out, within [***] months of receipt of the JVCo Update, cease use of the Derivative Product or Independent Product which the JVCo Update replaces.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18.7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suit against JVCo is based in whole or in part upon a claim that any of the Derivative Products or Independent Products delivered by JVCo to ARM under this Agreement, when used in accordance with this Agreement, infringe any third party Intellectual Property as a result of any of the activities listed at Clause 18.3 above, ARM agrees to indemnify JVCo for any legal costs (including attorneys fees) reasonably incurred by JVCo in defending such suit provided that ARM is notified promptly in writing of the suit and that at ARMs written request, ARM is given control of and all requested reasonable assistance to defend such suit.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CHANGES TO MODEL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19.1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LIMITATION OF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this Agreement shall exclude or limit the liability of either Party 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6"/>
        <w:gridCol w:w="9071"/>
      </w:tblGrid>
      <w:tr>
        <w:trPr/>
        <w:tc>
          <w:tcPr>
            <w:tcW w:w="508" w:type="dxa"/>
            <w:tcBorders/>
            <w:vAlign w:val="center"/>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20.1.1</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 by a Party of Clause 35;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20.1.2</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death and/or personal injury resulting from the negligence of that Party or its directors, officers, employees, contractors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0"/>
        <w:gridCol w:w="9059"/>
      </w:tblGrid>
      <w:tr>
        <w:trPr/>
        <w:tc>
          <w:tcPr>
            <w:tcW w:w="506" w:type="dxa"/>
            <w:tcBorders/>
            <w:vAlign w:val="center"/>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20.1.3</w:t>
            </w:r>
          </w:p>
        </w:tc>
        <w:tc>
          <w:tcPr>
            <w:tcW w:w="90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fraud and/or fraudulent misrepresentation by it, or its directors, officers, employees, contractors or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20.1.4</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Losses to the extent they are not capable of being excluded or limited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20.1, except in respect of any Recurring Wilful Exclusivity Breach and any breach of the provisions of Clause 35, in no event shall either Party be liable for any indirect, special, incidental or consequential damages whether such damages are alleged as a result of tortious conduct (including negligence) or breach of contract or otherwise, even if the other party has been advised of the possibility of such damages. This Clause 20.2 shall be without prejudice to either Partys obligation to pay the Relevant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Clause 20.2 but subject to Clauses 20.4 to 20.11, for the purposes of this Agreement, Losses for which JVCo assumes responsibility and which shall be recoverable by ARM shall include all reasonable amounts paid by any member of the ARM Group (or all amounts that any member of the ARM Group is required to pay pursuant to a court judgment) to a third party for infringement of the Intellectual Property of a third party where JVCo has failed to fulfil its obligations under Clause 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Liability for JVCo Licensee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20.4.1</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20.1, 20.4.3 and 20.7, the maximum liability of ARM to JVCo (subject to Clause 20.4.2, on a claim by claim basis) with respect to each claim brought by JVCo that relates to a JVCo Licensee Claim shall not exceed the lesser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JVCo Revenue Share Percentage that relates to that JVCo Licensed Product that is the subject of the JVCo Licensee Claim multiplied by 100% of the License Fees paid by the relevant PRC Licensee to JVCo pursuant to its license agreement relating to the JVCo Licensed Product;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JVCo Revenue Share Percentage that relates to that JVCo Licensed Product multiplied by JVCos Total Contractual Liability for that JVCo Licensee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20.4.2</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PRC Licensee brings multiple JVCo Licensee Claims in respect of the same JVCo Licensed Product, such claims shall be treated as a single JVCo Licensee Claim for the purposes of Clause 20.4.1, such that the maximum aggregate liability of ARM for claims brought by JVCo relating to such JVCo Licensee Claims shall not exceed the amount that ARM would have been liable for if the PRC Licensee had only brought one JVCo Licensee Claim in respect of that JVCo Licensed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20.4.3</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 20.4.1 of this Agreement and Clause 21.3.1 of the Co-ownership Deed shall be treated as the restatement of the same single cap. Any amounts recovered by JVCo that count towards the cap in Clause 21.3.1 of the Co-ownership Deed shall also count towards the cap set out in Clause 20.4.1 of this Agreement, where such amounts relate to the same JVCo Licensee Claim. Multiple JVCo Licensee Claims brought by a PRC Licensee in respect of the same JVCo Licensed Product shall be considered to be one and the same claim for the purposes of Clause 20.4.2 of this Agreement and Clause 21.3.2 of the Co-ownership Deed, regardless of whether such claims are brought by JVCo pursuant to this Agreement, the Co-ownership Deed or a combination of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Liability for Product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20.5.1</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20.1, 20.5.3 and 20.7, the maximum liability of ARM to JVCo (subject to Clause 20.5.2, on a claim by claim basis) for each Product Claim brought by JVCo shall not exceed the lesser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JVCo Charges Paid or Payable by JVCo (in so far as they relate to the JVCo Licensed Product that is the subject of the Product Claim) during the twelve month period immediately preceding the date of the event giving rise to the claim;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20.5.2</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JVCo brings multiple Product Claims in respect of the same JVCo Licensed Product, such claims shall be treated as a single Product Claim for the purposes of Clause 20.5.1, such that the maximum aggregate liability of ARM for such Product Claims shall not exceed the amount that ARM would have been liable for if JVCo had only brought one Product Claim for that JVCo Licensed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20.5.3</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 20.5.1 of this Agreement and Clause 21.4.1 of the Co-ownership Deed shall be treated as the restatement of the same single cap. Any amounts recovered by JVCo that count towards the cap in Clause 21.4.1 of the Co-ownership Deed shall also count towards the cap set out in Clause 20.5.1 of this Agreement, where such amounts relate to the same Product Claim. Multiple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16"/>
        <w:gridCol w:w="9089"/>
      </w:tblGrid>
      <w:tr>
        <w:trPr/>
        <w:tc>
          <w:tcPr>
            <w:tcW w:w="1116" w:type="dxa"/>
            <w:tcBorders/>
            <w:vAlign w:val="center"/>
          </w:tcPr>
          <w:p>
            <w:pPr>
              <w:pStyle w:val="TableContents"/>
              <w:bidi w:val="0"/>
              <w:spacing w:before="0" w:after="283"/>
              <w:jc w:val="left"/>
              <w:rPr/>
            </w:pPr>
            <w:r>
              <w:rPr/>
              <w:t> </w:t>
            </w:r>
          </w:p>
        </w:tc>
        <w:tc>
          <w:tcPr>
            <w:tcW w:w="9089" w:type="dxa"/>
            <w:tcBorders/>
          </w:tcPr>
          <w:p>
            <w:pPr>
              <w:pStyle w:val="TableContents"/>
              <w:bidi w:val="0"/>
              <w:spacing w:before="0" w:after="283"/>
              <w:jc w:val="left"/>
              <w:rPr/>
            </w:pPr>
            <w:r>
              <w:rPr/>
              <w:t xml:space="preserve">Product Claims brought by JVCo in respect of the same JVCo Licensed Product shall be considered to be one and the same claim for the purposes of Clause 20.5.2 of this Agreement and Clause 21.4.2 of the Co-ownership Deed, regardless of whether such claims are brought by JVCo pursuant to this Agreement, the Co-ownership Deed or a combination of both. For the purposes of assessing whether two Product Claims are the same, the fact that those claims are brought pursuant to different agreements shall be disregarded.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Liability for Non-Product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5"/>
        <w:gridCol w:w="649"/>
        <w:gridCol w:w="9051"/>
      </w:tblGrid>
      <w:tr>
        <w:trPr/>
        <w:tc>
          <w:tcPr>
            <w:tcW w:w="505"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20.6.1</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20.1, 20.6.3 and 20.7, the maximum liability of ARM to JVCo (on a claim by claim basis) for each Non-Product Claim brought by JVCo shall not exceed [***], provided that ARMs maximum liability (per claim) under this Clause 20.6.1 shall not, in any event, be less than $[***] ([***]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5"/>
        <w:gridCol w:w="649"/>
        <w:gridCol w:w="9051"/>
      </w:tblGrid>
      <w:tr>
        <w:trPr/>
        <w:tc>
          <w:tcPr>
            <w:tcW w:w="505"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20.6.2</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the maximum liability of ARM to JVCo (on a claim by claim basis) for each Non-Product Claim brought by JVCo in respect of a Recurring Wilful Exclusivity Breach shall not exceed [***], provided that ARMs maximum liability (per claim) under this Clause 20.6.2 shall not, in any event, be less than $[***] ([***]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20.6.3</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 20.6.1 of this Agreement and Clause 21.5.1 of the Co-ownership Deed shall be treated as the restatement of the same single cap. Any amounts recovered by JVCo that count towards the cap in Clause 21.5.1 of the Co-ownership Deed shall also count towards the cap set out in Clause 20.6.1 of this Agreement, where such amounts relate to the same Non-Product Claim. For the purposes of assessing whether two Non-Product Claims are the same, the fact that those claims are brought pursuant to different agreements shall be disregarded.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Cap for ARM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Clause 20.1, the maximum aggregate liability of ARM under and in connection with this Agreement and the Co-ownership Deed in respect of all claims other than Non-Product Claims in respect of Recurring Wilful Exclusivity Breaches, whether in contract, tort (including negligence), misrepresentation, for breach of duty (including strict liability) or otherwise (including, for the avoidance of doubt, all claims that relate to JVCo Licensee Claims, Product Claims and Non-Product Claims) shall not exceed $[***] ([***] US dollars).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Liability for ARM Licensee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20.8.1</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20.1, 20.8.3 and 20.11, the maximum liability of JVCo to ARM (subject to Clause 20.8.2, on a claim by claim basis) with respect to each claim brought by ARM that relates to an ARM Licensee Claim shall not exceed the lesser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ARM Revenue Share Percentage that relates to that JVCo Licensed Product that is the subject of the ARM Licensee Claim multiplied by 100% of the License Fees paid by the relevant Non-PRC Licensee to ARM pursuant to its license agreement relating to the JVCo Licensed Product;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ARM Revenue Share Percentage that relates to that JVCo Licensed Product multiplied by ARMs Total Contractual Liability for that ARM Licensee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20.8.2</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Non-PRC Licensee brings multiple ARM Licensee Claims in respect of the same JVCo Licensed Product, such claims shall be treated as a single ARM Licensee Claim for the purposes of Clause 20.8.1, such that the maximum aggregate liability of JVCo for claims brought by ARM relating to such ARM Licensee Claims shall not exceed the amount that JVCo would have been liable for if the Non-PRC Licensee had only brought one ARM Licensee Claim in respect of that JVCo Licensed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20.8.3</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 20.8.1 of this Agreement and Clause 21.7.1 of the Co-ownership Deed shall be treated as the restatement of the same single cap. Any amounts recovered by ARM that count towards the cap in Clause 21.7.1 of the Co-ownership Deed shall also count towards the cap set out in Clause 20.8.1 of this Agreement, where such amounts relate to the same ARM Licensee Claim. Multiple ARM Licensee Claims brought by a Non-PRC Licensee in respect of the same JVCo Licensed Product shall be considered to be one and the same claim for the purposes of Clause 20.8.2 of this Agreement and Clause 21.7.2 of the Co-ownership Deed, regardless of whether such claims are brought by an ARM Party pursuant to this Agreement, the Co-ownership Deed or a combination of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Liability for Product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20.9.1</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20.1, 20.9.3 and 20.11, the maximum liability of JVCo to ARM (subject to Clause 20.9.2, on a claim by claim basis) for each Product Claim brought by ARM shall not exceed the lesser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ARM Charges Paid or Payable by ARM (in so far as they relate to the JVCo Licensed Product that is the subject of the Product Claim) during the twelve month period immediately preceding the date of the event giving rise to the claim;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20.9.2</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ARM brings multiple Product Claims in respect of the same JVCo Licensed Product such claims shall be treated as a single Product Claim for the purposes of Clause 20.9.1, such that the maximum aggregate liability of JVCo for such Product Claims shall not exceed the amount that JVCo would have been liable for if ARM had only brought one Product Claim for that JVCo Licensed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20.9.3</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 20.9.1 of this Agreement and Clause 21.8.1 of the Co-ownership Deed shall be treated as the restatement of the same single cap. Any amounts recovered by ARM that count towards the cap in Clause 21.8.1 of the Co-ownership Deed shall also count towards the cap set out in Clause 20.9.1 of this Agreement, where such amounts relate to the same Product Claim. Multiple Product Claims brought by ARM Parties in respect of the same JVCo Licensed Product shall be considered to be one and the same claim for the purposes of Clause 20.9.2 of this Agreement and Clause 21.8.2 of the Co-ownership Deed, regardless of whether such claims are brought pursuant to different agreements shall be disregarded. For the purposes of assessing whether two Product Claims are the same, the fact that those claims are brought pursuant to different agreements shall be disregarded.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20.10</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Liability for Non-Product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6"/>
        <w:gridCol w:w="763"/>
        <w:gridCol w:w="8946"/>
      </w:tblGrid>
      <w:tr>
        <w:trPr/>
        <w:tc>
          <w:tcPr>
            <w:tcW w:w="496" w:type="dxa"/>
            <w:tcBorders/>
            <w:vAlign w:val="center"/>
          </w:tcPr>
          <w:p>
            <w:pPr>
              <w:pStyle w:val="TableContents"/>
              <w:bidi w:val="0"/>
              <w:spacing w:before="0" w:after="283"/>
              <w:jc w:val="left"/>
              <w:rPr/>
            </w:pPr>
            <w:r>
              <w:rPr/>
              <w:t> </w:t>
            </w:r>
          </w:p>
        </w:tc>
        <w:tc>
          <w:tcPr>
            <w:tcW w:w="763" w:type="dxa"/>
            <w:tcBorders/>
          </w:tcPr>
          <w:p>
            <w:pPr>
              <w:pStyle w:val="TableContents"/>
              <w:bidi w:val="0"/>
              <w:spacing w:before="0" w:after="283"/>
              <w:jc w:val="left"/>
              <w:rPr/>
            </w:pPr>
            <w:r>
              <w:rPr/>
              <w:t>20.10.1</w:t>
            </w:r>
          </w:p>
        </w:tc>
        <w:tc>
          <w:tcPr>
            <w:tcW w:w="89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20.1, 20.10.3 and 20.11, the maximum liability of JVCo to ARM (on a claim by claim basis) for each Non-Product Claim brought by ARM shall not exceed [***], provided that JVCos maximum liability (per claim) under this Clause 20.10.1 shall not, in any event, be less than $[***] ([***]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6"/>
        <w:gridCol w:w="763"/>
        <w:gridCol w:w="8946"/>
      </w:tblGrid>
      <w:tr>
        <w:trPr/>
        <w:tc>
          <w:tcPr>
            <w:tcW w:w="496" w:type="dxa"/>
            <w:tcBorders/>
            <w:vAlign w:val="center"/>
          </w:tcPr>
          <w:p>
            <w:pPr>
              <w:pStyle w:val="TableContents"/>
              <w:bidi w:val="0"/>
              <w:spacing w:before="0" w:after="283"/>
              <w:jc w:val="left"/>
              <w:rPr/>
            </w:pPr>
            <w:r>
              <w:rPr/>
              <w:t> </w:t>
            </w:r>
          </w:p>
        </w:tc>
        <w:tc>
          <w:tcPr>
            <w:tcW w:w="763" w:type="dxa"/>
            <w:tcBorders/>
          </w:tcPr>
          <w:p>
            <w:pPr>
              <w:pStyle w:val="TableContents"/>
              <w:bidi w:val="0"/>
              <w:spacing w:before="0" w:after="283"/>
              <w:jc w:val="left"/>
              <w:rPr/>
            </w:pPr>
            <w:r>
              <w:rPr/>
              <w:t>20.10.2</w:t>
            </w:r>
          </w:p>
        </w:tc>
        <w:tc>
          <w:tcPr>
            <w:tcW w:w="89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the maximum liability of JVCo to ARM (on a claim by claim basis) for each Non-Product Claim brought by ARM in respect of a Recurring Wilful Exclusivity Breach shall not exceed [***], provided that JVCos maximum liability (per claim) under this Clause 20.10.2 shall not, in any event, be less than $[***] ([***]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772"/>
        <w:gridCol w:w="8934"/>
      </w:tblGrid>
      <w:tr>
        <w:trPr/>
        <w:tc>
          <w:tcPr>
            <w:tcW w:w="499" w:type="dxa"/>
            <w:tcBorders/>
            <w:vAlign w:val="center"/>
          </w:tcPr>
          <w:p>
            <w:pPr>
              <w:pStyle w:val="TableContents"/>
              <w:bidi w:val="0"/>
              <w:spacing w:before="0" w:after="283"/>
              <w:jc w:val="left"/>
              <w:rPr/>
            </w:pPr>
            <w:r>
              <w:rPr/>
              <w:t> </w:t>
            </w:r>
          </w:p>
        </w:tc>
        <w:tc>
          <w:tcPr>
            <w:tcW w:w="772" w:type="dxa"/>
            <w:tcBorders/>
          </w:tcPr>
          <w:p>
            <w:pPr>
              <w:pStyle w:val="TableContents"/>
              <w:bidi w:val="0"/>
              <w:spacing w:before="0" w:after="283"/>
              <w:jc w:val="left"/>
              <w:rPr/>
            </w:pPr>
            <w:r>
              <w:rPr/>
              <w:t>20.10.3</w:t>
            </w:r>
          </w:p>
        </w:tc>
        <w:tc>
          <w:tcPr>
            <w:tcW w:w="893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 20.10.1 of this Agreement and Clause 21.9.1 of the Co-ownership Deed shall be treated as the restatement of the same single cap. Any amounts recovered by ARM that count towards the cap in Clause 21.9.1 of the Co-ownership Deed shall also count towards the cap set out in Clause 20.10.1 of this Agreement, where such amounts relate to the same Non-Product Claim. For the purposes of assessing whether two Non-Product Claims are the same, the fact that those claims are brought pursuant to different agreements shall be disregarded.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20.11</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Cap for JVCo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Clause 20.1, the maximum aggregate liability of JVCo under and in connection with this Agreement and the Co-ownership Deed in respect of all claims other than Non-Product Claims in respect of Recurring Wilful Exclusivity Breaches, whether in contract, tort (including negligence), misrepresentation, for breach of duty (including strict liability) or otherwise (including, for the avoidance of doubt, all claims that relate to ARM Licensee Claims, Product Claims and Non-Product Claims) shall not exceed $[***] ([***] US dollars). </w:t>
      </w:r>
    </w:p>
    <w:p>
      <w:pPr>
        <w:pStyle w:val="TextBody"/>
        <w:bidi w:val="0"/>
        <w:spacing w:before="120" w:after="0"/>
        <w:jc w:val="left"/>
        <w:rPr>
          <w:rFonts w:ascii="Times New Roman" w:hAnsi="Times New Roman"/>
          <w:sz w:val="20"/>
        </w:rPr>
      </w:pPr>
      <w:r>
        <w:rPr>
          <w:rFonts w:ascii="Times New Roman" w:hAnsi="Times New Roman"/>
          <w:sz w:val="20"/>
        </w:rPr>
        <w:t xml:space="preserve">Other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20.12</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20.1, Clauses 20.4 to 20.11 set out the maximum liability of each Party to the other Party under or in connection with this Agreement (including all indemnity claims), for breach of contract, in tort (including negligence)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20.13</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the types of claims that are within the scope of the caps set out at Clauses 20.4 to 20.10 are mutually exclusive and a Party may not seek to recover additional amounts pursuant to a different cap with respect to the same claim once the applicable cap had been exhausted.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20.14</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to a license agreement in this Clause 20 shall refer to the contractual arrangement between a Party and its licensee that relates to a specific JVCo Licensed Product and each Party shall ensure that it enters into separate arrangements with its licensees with respect to each JVCo Licensed Product with separately identifiable liability caps in relation to each JVCo Licensed Product, save that these requirements shall not apply to licensing arrangements between ARM and Non-PRC Licensees with respect to Original ARM Products. For the avoidance of doubt, where a claim brought against a Party by its licensee relates to multiple license agreements and multiple JVCo Licensed Products, that claim shall be treated as multiple separate JVCo Licensee Claims or multiple separate ARM Licensee Claims (as applicable) for the purposes of this Clause 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20.15</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that the provisions of this Clause 20 allocate the risks under this Agreement between ARM and JVCo after negotiation and the pricing for each of ARM and JVCo reflects this allocation of risk and the limitation of liability specified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9"/>
        <w:gridCol w:w="9646"/>
      </w:tblGrid>
      <w:tr>
        <w:trPr/>
        <w:tc>
          <w:tcPr>
            <w:tcW w:w="559" w:type="dxa"/>
            <w:tcBorders/>
          </w:tcPr>
          <w:p>
            <w:pPr>
              <w:pStyle w:val="TableContents"/>
              <w:bidi w:val="0"/>
              <w:spacing w:before="0" w:after="283"/>
              <w:jc w:val="left"/>
              <w:rPr/>
            </w:pPr>
            <w:r>
              <w:rPr/>
              <w:t>20.16</w:t>
            </w:r>
          </w:p>
        </w:tc>
        <w:tc>
          <w:tcPr>
            <w:tcW w:w="96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liability shall attach to a Party in respect of a claim (including a warranty or indemnity claim or a claim under any other provision of this Agreement or any other Transaction Document) to the extent that the same damages have been recovered by another Party or any member of its Group under any other term of this Agreement or any other Transaction Document and accordingly a Party (when considered together with its Group) may only recover once in respect of the same damages. A Party shall not be liable for any claim under any provision of this Agreement or any other Transaction Document to the extent that the subject of the claim has been or is made good or is remedied or is otherwise compensated for without cost to the non-defaulting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9"/>
        <w:gridCol w:w="9636"/>
      </w:tblGrid>
      <w:tr>
        <w:trPr/>
        <w:tc>
          <w:tcPr>
            <w:tcW w:w="569" w:type="dxa"/>
            <w:tcBorders/>
          </w:tcPr>
          <w:p>
            <w:pPr>
              <w:pStyle w:val="TableContents"/>
              <w:bidi w:val="0"/>
              <w:spacing w:before="0" w:after="283"/>
              <w:jc w:val="left"/>
              <w:rPr/>
            </w:pPr>
            <w:r>
              <w:rPr/>
              <w:t>20.17</w:t>
            </w:r>
          </w:p>
        </w:tc>
        <w:tc>
          <w:tcPr>
            <w:tcW w:w="963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 other provision of this Clause 20, nothing in this Clause 20 shall limit either Partys obligation to pay the Relevant Payments.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 D: PROSECUTION, MAINTENANCE, INFRINGEMENT AND INVALIDITY CLAIMS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PROSECUTION AND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Each Party (the </w:t>
            </w:r>
            <w:r>
              <w:rPr>
                <w:rFonts w:ascii="Times New Roman" w:hAnsi="Times New Roman"/>
                <w:b/>
                <w:sz w:val="20"/>
              </w:rPr>
              <w:t>Licensing Party</w:t>
            </w:r>
            <w:r>
              <w:rPr>
                <w:rFonts w:ascii="Times New Roman" w:hAnsi="Times New Roman"/>
                <w:sz w:val="20"/>
              </w:rPr>
              <w:t xml:space="preserve">) shall have the sole and exclusive right, at its cost and expense, to file, register, prosecute and maintain any Registrable IP included in its Relevant Licensed IP. JVCo shall use its reasonable endeavours to: (i) undertake a regular invention harvesting exercise with respect to its developed technology; and (ii) file applications for Registrable IP promptly following the identification of relevant inventions.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During the prosecution of any Relevant Licensed IP which is an application for the grant of Registrable IP and which is material to the business of the Party to whom such Intellectual Property is licensed (the </w:t>
            </w:r>
            <w:r>
              <w:rPr>
                <w:rFonts w:ascii="Times New Roman" w:hAnsi="Times New Roman"/>
                <w:b/>
                <w:sz w:val="20"/>
              </w:rPr>
              <w:t>Licensed Party</w:t>
            </w:r>
            <w:r>
              <w:rPr>
                <w:rFonts w:ascii="Times New Roman" w:hAnsi="Times New Roman"/>
                <w:sz w:val="20"/>
              </w:rPr>
              <w:t xml:space="preserve">), the Licensing Party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21.2.1</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reasonable endeavours to obtain the grant of such registration and, acting reasonably and in good faith, take into account the interests of the Licensed Party in doing so, provided that the final decision in respect of any such prosecution will be that of the Licensing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7"/>
        <w:gridCol w:w="9051"/>
      </w:tblGrid>
      <w:tr>
        <w:trPr/>
        <w:tc>
          <w:tcPr>
            <w:tcW w:w="507"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21.2.2</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control of the day-to-day activities with respect to the prosecution and maintenance of such registration and, in respect thereof, have no obligation to consult with the Licensed Party;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21.2.3</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annual status updates to the Licensed Party with respect to issuances, abandonments, and pending applications relating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22.</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INFRINGEMENT AND INVALIDITY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22.1.1</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during the Term either Party is aware that any infringement of any Relevant Licensed IP of the other Party is occurring, threatened or likely, such Party shall promptly provide to the other Party such information as it has concerning: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infringement;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infringer or unauthorised user and any other person involved in such infringement,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in addition shall provide the information which alerted the Party to such infringement.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22.1.2</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Clauses 16.7 and 18.7, the Licensing Party shall have the exclusive right to bring and control any action or proceedings with respect to the enforcement of its Relevant Licensed IP against any infringement or the defence of any Invalidity Claim, including without limitation, the right to bring an action for a permanent or preliminary injunction or institute, defend, settle or otherwise resolve any such action or proceedings (but for the avoidance of doubt shall have no obligation to bring or defend any such action or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22.1.3</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Party identifies that the alleged infringer is an entity to whom either Party has licensed its rights (otherwise than in contravention of the terms of this Agreement), the Party initiating the infringement action shall immediately withdraw the infringement action (to the extent that it relates to the Intellectual Property that has been licensed to the alleged infringer in accordance with the terms of this Agreement) and refrain from taking any further action with respect to such allegations.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of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22.2.1</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Where a Party initiates any enforcement action or defence (as applicable) with respect to infringement of, or any Invalidity Claim relating to, any Relevant Licensed IP, as provided in this Clause 22 (the </w:t>
            </w:r>
            <w:r>
              <w:rPr>
                <w:rFonts w:ascii="Times New Roman" w:hAnsi="Times New Roman"/>
                <w:b/>
                <w:sz w:val="20"/>
              </w:rPr>
              <w:t>Lead Party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the other Party (the </w:t>
            </w:r>
            <w:r>
              <w:rPr>
                <w:rFonts w:ascii="Times New Roman" w:hAnsi="Times New Roman"/>
                <w:b/>
                <w:sz w:val="20"/>
              </w:rPr>
              <w:t>Assisting Party</w:t>
            </w:r>
            <w:r>
              <w:rPr>
                <w:rFonts w:ascii="Times New Roman" w:hAnsi="Times New Roman"/>
                <w:sz w:val="20"/>
              </w:rPr>
              <w:t xml:space="preserve">) shall give the Lead Party all such reasonable assistance as the Lead Party and its representatives may from time to time reasonably request in connection with any such action, including if so requested by the Lead Party, joining as a party to such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Lead Party shall keep the Assisting Party reasonably informed (including (to the extent that: (i) it has the right to do so; and (ii) such disclosure would not waive legal privilege) by the provision of copies of all relevant documentation) of the status of such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award of damages or costs obtained from any such action or proceedings, or any sum obtained pursuant to a settlement of any such action or proceedings or otherwise obtained to settle or resolve such action, shall accrue solely to the benefit of the Lead Party;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Lead Party shall reimburse the Assisting Party in respect of all reasonable external costs and liabilities reasonably incurred by any Assisting Party in assisting the Lead Party with any such action.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 E: FINANCIAL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23.</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PAYMENT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pay, or cause to be paid, the JVCo Charge to ARM (or a member of the ARM Group designated by ARM) for each Calendar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pay, or cause to be paid, the ARM Charge to JVCo for each Calendar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REPORTS AND RECORDS RELATING TO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before the [***] Business Day after the end of each Calendar Quarter, the Paying Party shall submit a good faith estimation of the JVCo Charge (where JVCo is the Paying Party) or ARM Charge (where ARM is the Paying Party) that will be payable for that Calendar Quarter. Notwithstanding the foregoing, the provision of such an estimated amount shall not vary the payment obligations of either Party (if any) in each Calendar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The Paying Party shall submit a report to the Receiving Party within [***] days after the end of each Calendar Quarter, containing at least the information required by the form set out in Schedule 3 (a </w:t>
            </w:r>
            <w:r>
              <w:rPr>
                <w:rFonts w:ascii="Times New Roman" w:hAnsi="Times New Roman"/>
                <w:b/>
                <w:sz w:val="20"/>
              </w:rPr>
              <w:t>Payment Report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Payment Report is not provided within the timeframe set out in Clause 24.2: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4"/>
        <w:gridCol w:w="9044"/>
      </w:tblGrid>
      <w:tr>
        <w:trPr/>
        <w:tc>
          <w:tcPr>
            <w:tcW w:w="507"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24.3.1</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Receiving Party may issue an invoice (in accordance with the other terms of this Agreement) for an amount that is the Receiving Partys good faith estimation of the JVCo Charge or ARM Charge (as applicable) and the Paying Party shall make payment in accordance with Clause 26.2;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24.3.2</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the relevant Payment Report is provided, the Receiving Party shall issue an invoice for the relevant Calendar Quarter within [***] Business Days (and otherwise in accordance with the terms of this Agreement for the issuing of invoices);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4"/>
        <w:gridCol w:w="9054"/>
      </w:tblGrid>
      <w:tr>
        <w:trPr/>
        <w:tc>
          <w:tcPr>
            <w:tcW w:w="50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24.3.3</w:t>
            </w:r>
          </w:p>
        </w:tc>
        <w:tc>
          <w:tcPr>
            <w:tcW w:w="90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invoice was issued in accordance with Clause 24.3.1, the Paying Party shall pay the amounts invoiced in accordance with Clause 24.3.2 by the later of (i) [***] Business Days of receipt of the invoice; and (ii) the [***] day after the end of the Calendar Quarter that the invoice relates to (and, in each case, otherwise in accordance with the terms of this Agreement for the payment of invoices) and interest, calculated on a daily basis from [***] until the date on which the invoice is paid, shall apply at the rate of the lesser of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24.3.4</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an invoice was issued in accordance with Clause 24.3.1, the Paying Party shall pay to the Receiving Party any additional amount owing under the new invoice issued in accordance with Clause 24.3.2 or the Receiving Party shall reimburse any overpayment to the Paying Party (as applicable) within [***] Business Days of receipt of the new invoice (and otherwise in accordance with the terms of this Agreement for the payment of invoices);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4"/>
        <w:gridCol w:w="9044"/>
      </w:tblGrid>
      <w:tr>
        <w:trPr/>
        <w:tc>
          <w:tcPr>
            <w:tcW w:w="507"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24.3.5</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an invoice was issued in accordance with Clause 24.3.1, interest, calculated on a daily basis from [***] until the date the new invoice is paid, shall apply to any additional amount owing under the new invoice, at the rate of, the lesser of [***], but no interest shall apply to any overpaid amounts to be reimbursed.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period of [***] years from the date that each Payment Report is delivered by the Paying Party to the Receiving Party, the Paying Party shall keep such records and books of account, identifying and providing invoice details for all licensing arrangements with respect to JVCo Licensed Products (where JVCo is the Paying Party) and with respect to Derivative Products and Independent Products (where ARM is the Paying Party) to demonstrate compliance with the Paying Partys obligations under Clause 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24.5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Effective Date, JVCo shall provide to ARM (in accordance with Applicable Law) a good faith rolling forecast by the [***] Business Day of each calendar month, setting out the Bookings Forecast and the Revenue Forecast, in accordance with the template provided by ARM to JVCo (from time to time). During the last month of each Calendar Quarter, at ARMs reasonable request, JVCo shall provide to ARM (in accordance with Applicable Law) supplemental or updated information in respect of the Bookings Forecast and Revenue Forecast including information reasonably necessary to enable ARM to assess the certainty of anticipated revenues.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24.6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date on which ARM first licenses an Independent Product to a Non-PRC Licensee, ARM shall provide to JVCo (in accordance with Applicable Law) a good faith rolling forecast by the [***] Business Day of each calendar month in respect of ARMs licensing of Independent Products, setting out the Bookings Forecast and the Revenue Forecast, in accordance with the template provided by JVCo to ARM (from time to time). During the last month of each Calendar Quarter, at JVCos reasonable request, ARM shall provide to JVCo (in accordance with Applicable Law) supplemental or updated information in respect of the Bookings Forecast and Revenue Forecast including information reasonably necessary to enable JVCo to assess the certainty of anticipated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The Receiving Party shall have the right for representatives of a firm of independent accountants (</w:t>
            </w:r>
            <w:r>
              <w:rPr>
                <w:rFonts w:ascii="Times New Roman" w:hAnsi="Times New Roman"/>
                <w:b/>
                <w:sz w:val="20"/>
              </w:rPr>
              <w:t>Auditors</w:t>
            </w:r>
            <w:r>
              <w:rPr>
                <w:rFonts w:ascii="Times New Roman" w:hAnsi="Times New Roman"/>
                <w:sz w:val="20"/>
              </w:rPr>
              <w:t xml:space="preserve">), to make an examination and audit, by prior appointment during normal business hours, of all of the Paying Partys records and accounts as may, under recognised accounting practices, contain information bearing upon: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8"/>
        <w:gridCol w:w="9040"/>
      </w:tblGrid>
      <w:tr>
        <w:trPr/>
        <w:tc>
          <w:tcPr>
            <w:tcW w:w="507" w:type="dxa"/>
            <w:tcBorders/>
            <w:vAlign w:val="center"/>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25.1.1</w:t>
            </w:r>
          </w:p>
        </w:tc>
        <w:tc>
          <w:tcPr>
            <w:tcW w:w="904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JVCo is the Paying Party, the number of licenses of JVCo Licensed Products which have been entered into by JVCo and the financial terms of such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25.1.2</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ARM is the Paying Party, the number of licenses of Derivative Products and Independent Products which have been entered into by ARM and the financial terms of such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3"/>
        <w:gridCol w:w="9064"/>
      </w:tblGrid>
      <w:tr>
        <w:trPr/>
        <w:tc>
          <w:tcPr>
            <w:tcW w:w="508"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25.1.3</w:t>
            </w:r>
          </w:p>
        </w:tc>
        <w:tc>
          <w:tcPr>
            <w:tcW w:w="90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Paid or Payable by licensees for any relevant period with respect to the licenses described at Clauses 25.1.1 and 25.1.2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25.1.4</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permissible under Applicable Law, royalty information provided by licensees with respect to the licenses described at Clauses 25.1.1 and 25.1.2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4"/>
        <w:gridCol w:w="9044"/>
      </w:tblGrid>
      <w:tr>
        <w:trPr/>
        <w:tc>
          <w:tcPr>
            <w:tcW w:w="507"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25.1.5</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Relevant Payments payable by the relevant Paying Party pursuant to the terms of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7"/>
        <w:gridCol w:w="9070"/>
      </w:tblGrid>
      <w:tr>
        <w:trPr/>
        <w:tc>
          <w:tcPr>
            <w:tcW w:w="508"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25.1.6</w:t>
            </w:r>
          </w:p>
        </w:tc>
        <w:tc>
          <w:tcPr>
            <w:tcW w:w="90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information necessary to substantiate and verify the data submitted to a Paying Party in any Payment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Auditors shall be entitled to use the information received pursuant to such examination and audit to: (i) provide a report to the Receiving Party setting out (as a minimum) the information required from the Paying Party in the Payment Report with respect to the Paying Partys licensing activities and revenues; and (ii) otherwise verify the Payment Reports provided by the Paying Party to the Receiving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Auditors shall be permitted to provide, to the Receiving Party, information relating to the Relevant Payments, including but not limited to, information relating to the systems operated by the Paying Party to capture and record such information. Any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obtained pursuant to any audit performed in accordance with the provisions of this Clause 25 and provided by the Auditors to the Receiving Party shall be treated by the Receiving Party as the Paying Partys Confidential Information. The Auditors conclusions shall (in the absence of clerical or manifest error) be final and binding on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audit shall be at the Receiving Partys expense unless: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2"/>
        <w:gridCol w:w="9075"/>
      </w:tblGrid>
      <w:tr>
        <w:trPr/>
        <w:tc>
          <w:tcPr>
            <w:tcW w:w="508" w:type="dxa"/>
            <w:tcBorders/>
            <w:vAlign w:val="center"/>
          </w:tcPr>
          <w:p>
            <w:pPr>
              <w:pStyle w:val="TableContents"/>
              <w:bidi w:val="0"/>
              <w:spacing w:before="0" w:after="283"/>
              <w:jc w:val="left"/>
              <w:rPr/>
            </w:pPr>
            <w:r>
              <w:rPr/>
              <w:t> </w:t>
            </w:r>
          </w:p>
        </w:tc>
        <w:tc>
          <w:tcPr>
            <w:tcW w:w="622" w:type="dxa"/>
            <w:tcBorders/>
          </w:tcPr>
          <w:p>
            <w:pPr>
              <w:pStyle w:val="TableContents"/>
              <w:bidi w:val="0"/>
              <w:spacing w:before="0" w:after="283"/>
              <w:jc w:val="left"/>
              <w:rPr/>
            </w:pPr>
            <w:r>
              <w:rPr/>
              <w:t>25.4.1</w:t>
            </w:r>
          </w:p>
        </w:tc>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reveals a net underpayment of Relevant Payments or other fees of [***] or more in any Calendar Quarter;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1"/>
        <w:gridCol w:w="9048"/>
      </w:tblGrid>
      <w:tr>
        <w:trPr/>
        <w:tc>
          <w:tcPr>
            <w:tcW w:w="506" w:type="dxa"/>
            <w:tcBorders/>
            <w:vAlign w:val="center"/>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25.4.2</w:t>
            </w:r>
          </w:p>
        </w:tc>
        <w:tc>
          <w:tcPr>
            <w:tcW w:w="90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Paying Party has failed to provide the Auditors with all requested records and accounts containing information bearing upon the subject matter set out in this Clause 25 within [***] working days of such request,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which event the Paying Party shall promptly reimburse the Receiving Party for the costs of such audit. The Paying Party shall make good any underpayment of Relevant Payments forthwith. If the audit identifies that the Paying Party has made an overpayment, such overpayment will be credited to the next payment or payments to be made by the Paying Party.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26.</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PAYMENT DISPUTES AND PAYMENT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24.3, the Receiving Party shall issue an invoice for payment to the Paying Party on or before the [***] Business Day after receipt of the Payment Report. The Receiving Party shall send any invoice for payment in accordance with the notice provisions set out in Clause 44. All amounts invoiced and paid under this Agreement shall be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Subject to Clause 24.3, and except to the extent that an amount is the subject of an ongoing bona fide Payment Dispute under the procedure in Clauses 26.4, 26.5 or 40.15, the Paying Party shall pay all Relevant Payments due to the Receiving Party under the terms of this Agreement on or before the [***] day after the end of the Calendar Quarter (including any undisputed portion of a disputed invoice) (</w:t>
            </w:r>
            <w:r>
              <w:rPr>
                <w:rFonts w:ascii="Times New Roman" w:hAnsi="Times New Roman"/>
                <w:b/>
                <w:sz w:val="20"/>
              </w:rPr>
              <w:t>Due Date</w:t>
            </w:r>
            <w:r>
              <w:rPr>
                <w:rFonts w:ascii="Times New Roman" w:hAnsi="Times New Roman"/>
                <w:sz w:val="20"/>
              </w:rPr>
              <w:t>). Where there is a bona fide Payment Dispute relating to an invoice, the date for payment of any amount that is outstanding following the Payment Dispute (including any interest that has accrued in accordance with Clause 26.3) shall be the date that falls [***] days after resolution of the Payment Dispute (the </w:t>
            </w:r>
            <w:r>
              <w:rPr>
                <w:rFonts w:ascii="Times New Roman" w:hAnsi="Times New Roman"/>
                <w:b/>
                <w:sz w:val="20"/>
              </w:rPr>
              <w:t>Resolved Payment Due Date</w:t>
            </w:r>
            <w:r>
              <w:rPr>
                <w:rFonts w:ascii="Times New Roman" w:hAnsi="Times New Roman"/>
                <w:sz w:val="20"/>
              </w:rPr>
              <w:t xml:space="preserve">) and not the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24.3, if any sum under this Agreement (including any amount that is the subject of a Payment Dispute) is not paid by the Due Date then (without prejudice to the Receiving Partys other rights and remedies), in addition to the invoice amount, the Receiving Party reserves the right to charge interest on such sum on a day to day from [***] at the rate of, the lesser of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Receiving Party may dispute (in good faith) any Payment Report by providing notice in writing to the Paying Party within [***] days of receiving the Payment Report. In addition, the Paying Party may dispute (in good faith) any invoice issued pursuant to Clause 26.1 by notice in writing to the Receiving Party within [***] days of receiving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invoice (each dispute raised pursuant to this Clause 26.4 being a </w:t>
            </w:r>
            <w:r>
              <w:rPr>
                <w:b/>
              </w:rPr>
              <w:t>Payment Dispute</w:t>
            </w:r>
            <w:r>
              <w:rPr/>
              <w:t xml:space="preserve">). The notice of a Payment Dispute shall specify (i) which items of the Payment Report or invoice (as applicable) are disputed; and (ii) a full explanation as to why the Party issuing the notice considers that there are errors in the Payment Report or invoice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Partys receipt of a notice of a Payment Dispute, the Senior Representatives of the Parties (or, where nominated by a Senior Representative, a senior individual with responsibility for the financial affairs of a Party) shall promptly meet to discuss the Payment Dispute in good faith. If the Senior Representatives (or their nominees) are unable to resolve the Payment Dispute within [***] Business Days and the issuing Party has not withdrawn their Payment Dispute notice,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5"/>
        <w:gridCol w:w="649"/>
        <w:gridCol w:w="9051"/>
      </w:tblGrid>
      <w:tr>
        <w:trPr/>
        <w:tc>
          <w:tcPr>
            <w:tcW w:w="505"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26.5.1</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amounts in dispute total or exceed $[***] ([***] US dollars), either Party may elect to refer the Payment Dispute to arbitration in accordance with Clause 40.4 (and the other provisions of Clause 40), as if the notice of the Payment Dispute was a Dispute Notice and as if the Senior Representatives did not amicably resolve the Dispute within the relevant time, by providing notice to the other Party within [***] Business Days of the expiry of the [***] Business Day period in this Clause 26.5;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26.5.2</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otherwise, following the expiry of the [***] Business Day period set out above, the Payment Dispute shall be referred to the Payment Dispute mechanism set out in Clause 40.15 (the </w:t>
            </w:r>
            <w:r>
              <w:rPr>
                <w:rFonts w:ascii="Times New Roman" w:hAnsi="Times New Roman"/>
                <w:b/>
                <w:sz w:val="20"/>
              </w:rPr>
              <w:t>Payment Dispute Escalation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sums payable under this Agreement shall be paid free and clear of all deductions and withholdings in respect of tax whatsoever, save only as may be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such deduction or withholding as is mentioned in Clause 26.6 is required by Applicable Law to be made by the Paying Party in respect of Income Tax, the Paying Party shall not be obliged to pay any additional amounts to the Receiving Party in respect of such amounts deducted or withheld.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26.8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Paying Party is required to make any deduction or withholding as is mentioned in Clause 26.7, the Paying Party will use all reasonable endeavours to enable or assist the Receiving Party to claim exemption from, or a reduced rate of, the relevant Income Tax under the China-UK double tax treaty, or enable the Receiving Party to claim double tax relief for any such deduction or withholding, such endeavours to include promptly providing the Receiving Party with evidence reasonably satisfactory to the Receiving Party that such deduction or withholding has been made or (as applicable) any appropriate payment paid to the relevant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stated in this Agreement are exclusive of any Indirect Taxes.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26.9.1</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such deduction or withholding as is mentioned in Clause 26.6 is required by Applicable Law to be made by the Paying Party in respect of Indirect Taxes, the Paying Party shall be obliged to pay such additional amount as will, after such deduction or withholding has been made, leave the Receiving Party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vAlign w:val="center"/>
          </w:tcPr>
          <w:p>
            <w:pPr>
              <w:pStyle w:val="TableContents"/>
              <w:bidi w:val="0"/>
              <w:spacing w:before="0" w:after="283"/>
              <w:jc w:val="left"/>
              <w:rPr/>
            </w:pPr>
            <w:r>
              <w:rPr/>
              <w:t> </w:t>
            </w:r>
          </w:p>
        </w:tc>
        <w:tc>
          <w:tcPr>
            <w:tcW w:w="9085" w:type="dxa"/>
            <w:tcBorders/>
          </w:tcPr>
          <w:p>
            <w:pPr>
              <w:pStyle w:val="TableContents"/>
              <w:bidi w:val="0"/>
              <w:spacing w:before="0" w:after="283"/>
              <w:jc w:val="left"/>
              <w:rPr/>
            </w:pPr>
            <w:r>
              <w:rPr/>
              <w:t xml:space="preserve">the same amount as it would have been entitled to receive in the absence of any such requirement to make a deduction or withholding. Where the Paying Party seeks to apply for any tax exemption in respect of Indirect Taxes according to Chinese domestic laws, the Receiving Party will use all reasonable efforts to enable or assist the Paying Party to claim the relevant beneficial tax treatment;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26.9.2</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sum payable by the Paying Party under this Agreement is, as a result of Applicable Law, subject to Indirect Taxes in the hands of the Receiving Party, then the Paying Party shall pay such additional amount as shall be required to ensure that the total amount paid, less the Indirect Taxes chargeable on such amount, is equal to the amount that would have been payable if the sum payable by the Paying Party were not subject to those Indirect Taxes in the hands of the Receiving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1"/>
        <w:gridCol w:w="9624"/>
      </w:tblGrid>
      <w:tr>
        <w:trPr/>
        <w:tc>
          <w:tcPr>
            <w:tcW w:w="581" w:type="dxa"/>
            <w:tcBorders/>
          </w:tcPr>
          <w:p>
            <w:pPr>
              <w:pStyle w:val="TableContents"/>
              <w:bidi w:val="0"/>
              <w:spacing w:before="0" w:after="283"/>
              <w:jc w:val="left"/>
              <w:rPr/>
            </w:pPr>
            <w:r>
              <w:rPr/>
              <w:t>26.10</w:t>
            </w:r>
          </w:p>
        </w:tc>
        <w:tc>
          <w:tcPr>
            <w:tcW w:w="96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sums properly due to the Receiving Party under this Agreement shall be paid in full and the Paying Party shall not be entitled to assert against the Receiving Party any credit, set-off or counterclaim in order to justify withholding payment of any sum properly due.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 F: TERM AND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shall come into force on the date of this Agreement and shall continue in force for a period of [***] (after which the Agreement shall automatically continue to renew for consecutive [***] periods) until the later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4"/>
        <w:gridCol w:w="9044"/>
      </w:tblGrid>
      <w:tr>
        <w:trPr/>
        <w:tc>
          <w:tcPr>
            <w:tcW w:w="507"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27.1.1</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of expiry of the last to expire of the Patents licensed pursuant to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27.1.2</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that the last of the Trade Secrets licensed pursuant to this Agreement ceases to be confidential (otherwise than through the fault of a Party), </w:t>
            </w:r>
          </w:p>
        </w:tc>
      </w:tr>
    </w:tbl>
    <w:p>
      <w:pPr>
        <w:pStyle w:val="TextBody"/>
        <w:bidi w:val="0"/>
        <w:spacing w:before="120" w:after="0"/>
        <w:jc w:val="left"/>
        <w:rPr>
          <w:rFonts w:ascii="Times New Roman" w:hAnsi="Times New Roman"/>
          <w:sz w:val="20"/>
        </w:rPr>
      </w:pPr>
      <w:r>
        <w:rPr>
          <w:rFonts w:ascii="Times New Roman" w:hAnsi="Times New Roman"/>
          <w:sz w:val="20"/>
        </w:rPr>
        <w:t>unless terminated earlier in accordance with Clause 28 (the </w:t>
      </w:r>
      <w:r>
        <w:rPr>
          <w:rFonts w:ascii="Times New Roman" w:hAnsi="Times New Roman"/>
          <w:b/>
          <w:sz w:val="20"/>
        </w:rPr>
        <w:t>Term</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neither Party shall have a right to terminate the Agreement upon the expiry of the initial thirty year period or the expiry of any further ten year extension, other than in accordance with Clause 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SUSPENSION AND TERMINATION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Termination by Agreement.</w:t>
            </w:r>
            <w:r>
              <w:rPr>
                <w:rFonts w:ascii="Times New Roman" w:hAnsi="Times New Roman"/>
                <w:sz w:val="20"/>
              </w:rPr>
              <w:t xml:space="preserve"> This Agreement may be terminated by the unanimous written agreement of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JVCo Material Breach.</w:t>
            </w:r>
            <w:r>
              <w:rPr>
                <w:rFonts w:ascii="Times New Roman" w:hAnsi="Times New Roman"/>
                <w:sz w:val="20"/>
              </w:rPr>
              <w:t xml:space="preserve"> If there is a Material Breach of this Agreement by JVCo and that Material Breach is Not Resolved after following the Material Breach escalation process in Clause 29, ARM may elect to either: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28.2.1</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the license to JVCo of the ARM Licensed IP in accordance with Clause 30.1 (and may subsequently terminate this Agreement in accordance with Clause 30.1.5);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28.2.2</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30.2, terminate this Agreement on no fewer than [***] Business Days written notice to JVCo.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ARM Material Breach.</w:t>
            </w:r>
            <w:r>
              <w:rPr>
                <w:rFonts w:ascii="Times New Roman" w:hAnsi="Times New Roman"/>
                <w:sz w:val="20"/>
              </w:rPr>
              <w:t xml:space="preserve"> If there is a Material Breach of this Agreement by ARM and that Material Breach is Not Resolved after following the Material Breach escalation process in Clause 29, JVCo may elect to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28.3.1</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the license to ARM of the JVCo Licensed IP in accordance with Clause 30.1 (and may subsequently terminate this Agreement in accordance with Clause 30.1.5);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28.3.2</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30.2, terminate this Agreement on no fewer than [***] Business Days written notice to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28.4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Insolvency of JVCo.</w:t>
            </w:r>
            <w:r>
              <w:rPr>
                <w:rFonts w:ascii="Times New Roman" w:hAnsi="Times New Roman"/>
                <w:sz w:val="20"/>
              </w:rPr>
              <w:t xml:space="preserve"> If (i) JVCo becomes bankrupt or insolvent, or is the subject of proceedings for liquidation or dissolution (and such proceedings are not terminated or discharged within a reasonable period of time) or has a receiver appointed over all or a significant part of its assets, or becomes unable to pay its debts as they become due; or (ii) the cumulative operating losses of JVCo incurred from the Closing Date equal or exceed the total Registered Capital, ARM may, by written notice to JVCo, elect, subject to Clause 30.2, to terminate this Agreement with immediate effect or with effect from a specified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28.5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Insolvency of ARM.</w:t>
            </w:r>
            <w:r>
              <w:rPr>
                <w:rFonts w:ascii="Times New Roman" w:hAnsi="Times New Roman"/>
                <w:sz w:val="20"/>
              </w:rPr>
              <w:t xml:space="preserve"> If ARM becomes bankrupt or insolvent, or is the subject of proceedings for liquidation or dissolution (and such procedure is not terminated or discharged within a reasonable period of time), or has a receiver appointed over all or a significant part of its assets or becomes unable to pay its debts as they become due, JVCo may, by written notice to ARM, elect, subject to Clause 30.2, to terminate this Agreement with immediate effect or with effect from a specified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Extended Force Majeure Event.</w:t>
            </w:r>
            <w:r>
              <w:rPr>
                <w:rFonts w:ascii="Times New Roman" w:hAnsi="Times New Roman"/>
                <w:sz w:val="20"/>
              </w:rPr>
              <w:t xml:space="preserve"> Either Party may elect, subject to Clause 30.2, to terminate this Agreement with immediate effect if, as a result of a Force Majeure Event, the performance of one or more material obligations of a Party (other than an obligation to pay money) is currently suspended in accordance with Clause 42.2 and that suspension has persisted for a continuous period of [***] days or longer and is having a material adverse effect on the Party electing to terminate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Liquidation of JVCo.</w:t>
            </w:r>
            <w:r>
              <w:rPr>
                <w:rFonts w:ascii="Times New Roman" w:hAnsi="Times New Roman"/>
                <w:sz w:val="20"/>
              </w:rPr>
              <w:t xml:space="preserve"> If JVCo is to be liquidated (under Article 72 of the Joint Venture Contract or otherwise), at any time after the first to occur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28.7.1</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triggering Article 72 of the Joint Venture Contract;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28.7.2</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liquidator being appointed to JVCo, ARM may, by notice in writing to JVCo, elect, subject to Clause 30.2, to terminate this Agreement with immediate effect or with effect from a specified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ARM call of equity</w:t>
            </w:r>
            <w:r>
              <w:rPr>
                <w:rFonts w:ascii="Times New Roman" w:hAnsi="Times New Roman"/>
                <w:sz w:val="20"/>
              </w:rPr>
              <w:t xml:space="preserve"> If ARM elects in an ARM Consequences Notice to require the sale to ARM of the Equity Interest of one or more Direct Investors, ARM may, by written notice to JVCo and subject to Clause 30.2, elect to terminate this Agreement with immediate effect or with effect from a specified date. Terms used in this Clause 28.8 that are not defined in this Agreement shall have the meaning given to them in the Joint Venture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Termination of the Investment Agreement.</w:t>
            </w:r>
            <w:r>
              <w:rPr>
                <w:rFonts w:ascii="Times New Roman" w:hAnsi="Times New Roman"/>
                <w:sz w:val="20"/>
              </w:rPr>
              <w:t xml:space="preserve"> ARM may elect to terminate this Agreement with immediate effect, or with effect from a specified date, if the Investment Agreement terminates for any reason prior to the Closing (as such term is defined in the Investment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8"/>
        <w:gridCol w:w="9637"/>
      </w:tblGrid>
      <w:tr>
        <w:trPr/>
        <w:tc>
          <w:tcPr>
            <w:tcW w:w="568" w:type="dxa"/>
            <w:tcBorders/>
          </w:tcPr>
          <w:p>
            <w:pPr>
              <w:pStyle w:val="TableContents"/>
              <w:bidi w:val="0"/>
              <w:spacing w:before="0" w:after="283"/>
              <w:jc w:val="left"/>
              <w:rPr/>
            </w:pPr>
            <w:r>
              <w:rPr/>
              <w:t>28.10</w:t>
            </w:r>
          </w:p>
        </w:tc>
        <w:tc>
          <w:tcPr>
            <w:tcW w:w="96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remedies provided to a Party under this Clause 28 are not exclusive of any other rights and remedies available to that Party under any of the Transaction Documents or under Applicable Law (including any right for a Party to damages for breach of this Agreement or any of the other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29.</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BREACH ESCALATION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This Material Breach escalation process applies if a Party (the </w:t>
            </w:r>
            <w:r>
              <w:rPr>
                <w:rFonts w:ascii="Times New Roman" w:hAnsi="Times New Roman"/>
                <w:b/>
                <w:sz w:val="20"/>
              </w:rPr>
              <w:t>Breaching Party</w:t>
            </w:r>
            <w:r>
              <w:rPr>
                <w:rFonts w:ascii="Times New Roman" w:hAnsi="Times New Roman"/>
                <w:sz w:val="20"/>
              </w:rPr>
              <w:t>) is in Material Breach, or has committed a Material Breach, of this Agreement and the other Party (the </w:t>
            </w:r>
            <w:r>
              <w:rPr>
                <w:rFonts w:ascii="Times New Roman" w:hAnsi="Times New Roman"/>
                <w:b/>
                <w:sz w:val="20"/>
              </w:rPr>
              <w:t>Innocent Party</w:t>
            </w:r>
            <w:r>
              <w:rPr>
                <w:rFonts w:ascii="Times New Roman" w:hAnsi="Times New Roman"/>
                <w:sz w:val="20"/>
              </w:rPr>
              <w:t xml:space="preserve">) is seeking to rely on its remedies set out in Clauses 28.2 or 28.3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29.2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The Innocent Party shall give written notice (a </w:t>
            </w:r>
            <w:r>
              <w:rPr>
                <w:rFonts w:ascii="Times New Roman" w:hAnsi="Times New Roman"/>
                <w:b/>
                <w:sz w:val="20"/>
              </w:rPr>
              <w:t>Rectification Notice</w:t>
            </w:r>
            <w:r>
              <w:rPr>
                <w:rFonts w:ascii="Times New Roman" w:hAnsi="Times New Roman"/>
                <w:sz w:val="20"/>
              </w:rPr>
              <w:t xml:space="preserve">) to the Breaching Party requiring the Breaching Party to rectify the Material Breach within a period of no fewer than [***] Business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If, and only if, a Material Breach is not rectified by the Breaching Party before the expiry of the period specified in the Rectification Notice, the Innocent Party may escalate the Material Breach to the Senior Representatives of each Party, by providing notice in writing to the Breaching Party, setting out full details of the Material Breach (</w:t>
            </w:r>
            <w:r>
              <w:rPr>
                <w:rFonts w:ascii="Times New Roman" w:hAnsi="Times New Roman"/>
                <w:b/>
                <w:sz w:val="20"/>
              </w:rPr>
              <w:t>Escalation Notice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provision of an Escalation Notice, the Senior Representatives of the Parties shall promptly meet to discuss in good faith a resolution of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If the Parties are unable to agree in writing a resolution of the Material Breach within [***] Business Days of the Senior Representatives meeting, the Material Breach shall be regarded as </w:t>
            </w:r>
            <w:r>
              <w:rPr>
                <w:rFonts w:ascii="Times New Roman" w:hAnsi="Times New Roman"/>
                <w:b/>
                <w:sz w:val="20"/>
              </w:rPr>
              <w:t>Not Resolved</w:t>
            </w:r>
            <w:r>
              <w:rPr>
                <w:rFonts w:ascii="Times New Roman" w:hAnsi="Times New Roman"/>
                <w:sz w:val="20"/>
              </w:rPr>
              <w:t xml:space="preserve">. The Parties may extend this deadline by mutual written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29.6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Material Breach is Not Resolved: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4"/>
        <w:gridCol w:w="9054"/>
      </w:tblGrid>
      <w:tr>
        <w:trPr/>
        <w:tc>
          <w:tcPr>
            <w:tcW w:w="50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29.6.1</w:t>
            </w:r>
          </w:p>
        </w:tc>
        <w:tc>
          <w:tcPr>
            <w:tcW w:w="90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Innocent Party may exercise its rights to terminate or suspend this Agreement under Clause 28.2 or Clause 28.3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29.6.2</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Party may, by notice in writing to the other Party, refer the Material Breach to arbitration in accordance with Clause 40.4 (and the other provisions of Clause 40), as if the Escalation Notice was a Dispute Notice and as if the Senior Representatives did not amicably resolve the Dispute within the relevant time. This Agreement may not be suspended or terminated by either Party during the pendency of an arbitration (or any cure period stipulated by the arbitration tribunal) where the Material Breach that has given rise to the suspension or termination right is the subject matter of the arbitration.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EFFECTS OF SUSPENSION OR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license for future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30.1.1</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If an Innocent Party has a right to suspend their license to the Breaching Party under Clause 28.2 or Clause 28.3 (and the Material Breach escalation process has been concluded pursuant to Clause 29), the Innocent Party may provide the Breaching Party with a written </w:t>
            </w:r>
            <w:r>
              <w:rPr>
                <w:rFonts w:ascii="Times New Roman" w:hAnsi="Times New Roman"/>
                <w:b/>
                <w:sz w:val="20"/>
              </w:rPr>
              <w:t>Suspension Notice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30.1.2</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Suspension Notice must set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of the Material Breach giving rise to the right to suspend under Clause 28.2 or Clause 28.3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the date that the suspension shall take effect (not to be sooner than [***] Business Days after the date of the Suspension Notice) (the </w:t>
            </w:r>
            <w:r>
              <w:rPr>
                <w:rFonts w:ascii="Times New Roman" w:hAnsi="Times New Roman"/>
                <w:b/>
                <w:sz w:val="20"/>
              </w:rPr>
              <w:t>Suspension Date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the duration of the suspension (which must not exceed [***] days less any prior period of suspension of the Breaching Partys license) (the </w:t>
            </w:r>
            <w:r>
              <w:rPr>
                <w:rFonts w:ascii="Times New Roman" w:hAnsi="Times New Roman"/>
                <w:b/>
                <w:sz w:val="20"/>
              </w:rPr>
              <w:t>Suspension Duration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30.1.3</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30.1.4, on and from the Suspension Date until the expiration of the Suspension Duration, the Breaching Partys right to use and license the Innocent Partys IP licensed under this Agreement is suspended solely to the extent that the Breaching Party shall be prevented from doing any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granting new sub-licenses of the Innocent Partys IP licensed under this Agreement (including entering into any renewals or extensions of any existing sub-licenses);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undertaking any research, design, modification, development or manufacturing activities with respect to the Innocent Partys IP licensed under this Agreement, but the Breaching Partys license under this Agreement, including its existing obligations under existing licenses with its licensees, and the other terms of this Agreement (including provisions relating to exclusivity and indemnities), are otherwise unaffected.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30.1.4</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suspension in Clause 30.1.3 shall either not come into effect or shall immediately cease (as applicable) upon the earliest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Breaching Party rectifying the Material Breach set out in the Suspension Notice and providing written notice to that effect to the Innocent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Suspension Duration;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30.1.5</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Innocent Party may terminate this Agreement on or after expiration of the Suspension Duration provided that (i) the Breaching Party has not rectified the Material Breach set out in the Suspension Notice and provided written notice to that effect to the Innocent Party; and (ii) the Innocent Party has provided no less than [***] Business Days written notice to the Breaching Party (such notice to take effect no sooner than the date of expiration of the Suspension Duration).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30.1.6</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suspension under Clause 30.1.3 shall not affect the Material Breach escalation process in Clause 29, the Dispute resolution process in Clause 40 or any right to terminate this Agreement under Clause 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Existing licenses on termination.</w:t>
            </w:r>
            <w:r>
              <w:rPr>
                <w:rFonts w:ascii="Times New Roman" w:hAnsi="Times New Roman"/>
                <w:sz w:val="20"/>
              </w:rPr>
              <w:t xml:space="preserve"> Subject to Clause 30.3, following any termination of this Agreement the provisions of this Agreement shall survive to the extent that they relate to contractual obligations existing as of the date of the termination of this Agreement 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30.2.1</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ARMs existing licenses with Non-PRC Licensees;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30.2.2</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JVCos existing licenses with PRC Licensees,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in particular, these existing licenses shall continue to be royalty-bearing in accordance with this Agreement and the indemnities in Clauses 16 and 18 shall continue to apply solely in relation to these existing licenses, but the limited ongoing licenses between ARM and JVCo shall not be exclusive in any respect, provided that in no circumstances does a license survive in respect of any technology removed from the scope of a Partys license pursuant to Clause 8.7.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The ARM brand on termination.</w:t>
            </w:r>
            <w:r>
              <w:rPr>
                <w:rFonts w:ascii="Times New Roman" w:hAnsi="Times New Roman"/>
                <w:sz w:val="20"/>
              </w:rPr>
              <w:t xml:space="preserve"> On and from the date this Agreement terminates, JVCo must, as soon as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30.3.1</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its Company Name so as to remove any ARM word mark;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4"/>
        <w:gridCol w:w="9063"/>
      </w:tblGrid>
      <w:tr>
        <w:trPr/>
        <w:tc>
          <w:tcPr>
            <w:tcW w:w="508" w:type="dxa"/>
            <w:tcBorders/>
            <w:vAlign w:val="center"/>
          </w:tcPr>
          <w:p>
            <w:pPr>
              <w:pStyle w:val="TableContents"/>
              <w:bidi w:val="0"/>
              <w:spacing w:before="0" w:after="283"/>
              <w:jc w:val="left"/>
              <w:rPr/>
            </w:pPr>
            <w:r>
              <w:rPr/>
              <w:t> </w:t>
            </w:r>
          </w:p>
        </w:tc>
        <w:tc>
          <w:tcPr>
            <w:tcW w:w="634" w:type="dxa"/>
            <w:tcBorders/>
          </w:tcPr>
          <w:p>
            <w:pPr>
              <w:pStyle w:val="TableContents"/>
              <w:bidi w:val="0"/>
              <w:spacing w:before="0" w:after="283"/>
              <w:jc w:val="left"/>
              <w:rPr/>
            </w:pPr>
            <w:r>
              <w:rPr/>
              <w:t>30.3.2</w:t>
            </w:r>
          </w:p>
        </w:tc>
        <w:tc>
          <w:tcPr>
            <w:tcW w:w="90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cease all use of the ARM word mark or the ARM Brand Trade Marks;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30.3.3</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Clauses 9.8 and 9.11, to the extent JVCo has obtained any rights in connection with its use of the ARM word mark or the ARM Brand Trade Marks, including any Trade Marks, company or business name registrations or domain names it has that contain the word ARM or that are similar to any of the ARM Brand Trade Marks, JVCo must either abandon, or assign those rights to ARM, as reasonably requested by ARM in its absolute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30.4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Survival.</w:t>
            </w:r>
            <w:r>
              <w:rPr>
                <w:rFonts w:ascii="Times New Roman" w:hAnsi="Times New Roman"/>
                <w:sz w:val="20"/>
              </w:rPr>
              <w:t xml:space="preserve"> Clauses 1 (</w:t>
            </w:r>
            <w:r>
              <w:rPr>
                <w:rFonts w:ascii="Times New Roman" w:hAnsi="Times New Roman"/>
                <w:i/>
                <w:sz w:val="20"/>
              </w:rPr>
              <w:t>Interpretation</w:t>
            </w:r>
            <w:r>
              <w:rPr>
                <w:rFonts w:ascii="Times New Roman" w:hAnsi="Times New Roman"/>
                <w:sz w:val="20"/>
              </w:rPr>
              <w:t>), 11.1 (</w:t>
            </w:r>
            <w:r>
              <w:rPr>
                <w:rFonts w:ascii="Times New Roman" w:hAnsi="Times New Roman"/>
                <w:i/>
                <w:sz w:val="20"/>
              </w:rPr>
              <w:t>Enforcement of non-assert</w:t>
            </w:r>
            <w:r>
              <w:rPr>
                <w:rFonts w:ascii="Times New Roman" w:hAnsi="Times New Roman"/>
                <w:sz w:val="20"/>
              </w:rPr>
              <w:t>), 20 (</w:t>
            </w:r>
            <w:r>
              <w:rPr>
                <w:rFonts w:ascii="Times New Roman" w:hAnsi="Times New Roman"/>
                <w:i/>
                <w:sz w:val="20"/>
              </w:rPr>
              <w:t>Limitation of liability</w:t>
            </w:r>
            <w:r>
              <w:rPr>
                <w:rFonts w:ascii="Times New Roman" w:hAnsi="Times New Roman"/>
                <w:sz w:val="20"/>
              </w:rPr>
              <w:t>), 30 (</w:t>
            </w:r>
            <w:r>
              <w:rPr>
                <w:rFonts w:ascii="Times New Roman" w:hAnsi="Times New Roman"/>
                <w:i/>
                <w:sz w:val="20"/>
              </w:rPr>
              <w:t>Effects of suspension or termination</w:t>
            </w:r>
            <w:r>
              <w:rPr>
                <w:rFonts w:ascii="Times New Roman" w:hAnsi="Times New Roman"/>
                <w:sz w:val="20"/>
              </w:rPr>
              <w:t>), 35 (</w:t>
            </w:r>
            <w:r>
              <w:rPr>
                <w:rFonts w:ascii="Times New Roman" w:hAnsi="Times New Roman"/>
                <w:i/>
                <w:sz w:val="20"/>
              </w:rPr>
              <w:t>Confidentiality</w:t>
            </w:r>
            <w:r>
              <w:rPr>
                <w:rFonts w:ascii="Times New Roman" w:hAnsi="Times New Roman"/>
                <w:sz w:val="20"/>
              </w:rPr>
              <w:t>), 40 (</w:t>
            </w:r>
            <w:r>
              <w:rPr>
                <w:rFonts w:ascii="Times New Roman" w:hAnsi="Times New Roman"/>
                <w:i/>
                <w:sz w:val="20"/>
              </w:rPr>
              <w:t>Dispute resolution</w:t>
            </w:r>
            <w:r>
              <w:rPr>
                <w:rFonts w:ascii="Times New Roman" w:hAnsi="Times New Roman"/>
                <w:sz w:val="20"/>
              </w:rPr>
              <w:t>), 43 (</w:t>
            </w:r>
            <w:r>
              <w:rPr>
                <w:rFonts w:ascii="Times New Roman" w:hAnsi="Times New Roman"/>
                <w:i/>
                <w:sz w:val="20"/>
              </w:rPr>
              <w:t>Remedies and waivers</w:t>
            </w:r>
            <w:r>
              <w:rPr>
                <w:rFonts w:ascii="Times New Roman" w:hAnsi="Times New Roman"/>
                <w:sz w:val="20"/>
              </w:rPr>
              <w:t>), 44 (</w:t>
            </w:r>
            <w:r>
              <w:rPr>
                <w:rFonts w:ascii="Times New Roman" w:hAnsi="Times New Roman"/>
                <w:i/>
                <w:sz w:val="20"/>
              </w:rPr>
              <w:t>Notices</w:t>
            </w:r>
            <w:r>
              <w:rPr>
                <w:rFonts w:ascii="Times New Roman" w:hAnsi="Times New Roman"/>
                <w:sz w:val="20"/>
              </w:rPr>
              <w:t>) and 52 (</w:t>
            </w:r>
            <w:r>
              <w:rPr>
                <w:rFonts w:ascii="Times New Roman" w:hAnsi="Times New Roman"/>
                <w:i/>
                <w:sz w:val="20"/>
              </w:rPr>
              <w:t>Governing law and jurisdiction</w:t>
            </w:r>
            <w:r>
              <w:rPr>
                <w:rFonts w:ascii="Times New Roman" w:hAnsi="Times New Roman"/>
                <w:sz w:val="20"/>
              </w:rPr>
              <w:t xml:space="preserve">) shall survive the termination of this Agreement without limitation in time (irrespective of the event giving rise to the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Non-assert from JVCo.</w:t>
            </w:r>
            <w:r>
              <w:rPr>
                <w:rFonts w:ascii="Times New Roman" w:hAnsi="Times New Roman"/>
                <w:sz w:val="20"/>
              </w:rPr>
              <w:t xml:space="preserve"> On and from the date this Agreement terminates, JVCo agrees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30.5.1</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will not Assert against ARM any Essential Claims with respect to any product developed by any member of the ARM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30.5.2</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will not Assert against any Downstream Affiliate of any member of the ARM Group any Essential Claims with respect to any product developed or derived from technology for which the Downstream Affiliate has obtained a valid license from any member of the ARM Group or another Downstream Affiliate of any member of the ARM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0"/>
        <w:gridCol w:w="9059"/>
      </w:tblGrid>
      <w:tr>
        <w:trPr/>
        <w:tc>
          <w:tcPr>
            <w:tcW w:w="506" w:type="dxa"/>
            <w:tcBorders/>
            <w:vAlign w:val="center"/>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30.5.3</w:t>
            </w:r>
          </w:p>
        </w:tc>
        <w:tc>
          <w:tcPr>
            <w:tcW w:w="90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it assigns to a third party any Essential Claim that prior to assignment would be subject to the obligation not to assert in Clauses 30.5.1 and 30.5.2, then: (i) notwithstanding such assignment, such assigned Essential Claim shall remain subject to the obligation not to Assert; and (ii) JVCo shall notify the third party assignee that the assigned Essential Claim shall be encumbered by an obligation of the patent owner not to Assert such Essential Claim against any product developed by ARM or any product developed or derived from technology for which the ARM Licensee has obtained a valid license from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Defensive suspension of non-assert.</w:t>
            </w:r>
            <w:r>
              <w:rPr>
                <w:rFonts w:ascii="Times New Roman" w:hAnsi="Times New Roman"/>
                <w:sz w:val="20"/>
              </w:rPr>
              <w:t xml:space="preserve"> Upon Assertion of Patent infringement against JVCo or any Downstream Affiliate of JVCo by ARM or any Downstream Affiliate of any member of the ARM Group, as the case may be (the </w:t>
            </w:r>
            <w:r>
              <w:rPr>
                <w:rFonts w:ascii="Times New Roman" w:hAnsi="Times New Roman"/>
                <w:b/>
                <w:sz w:val="20"/>
              </w:rPr>
              <w:t>Asserting Party</w:t>
            </w:r>
            <w:r>
              <w:rPr>
                <w:rFonts w:ascii="Times New Roman" w:hAnsi="Times New Roman"/>
                <w:sz w:val="20"/>
              </w:rPr>
              <w:t xml:space="preserve">) in respect of an integrated circuit incorporating an Architecture Compliant Core manufactured by or on behalf of JVCo or any Downstream Affiliate of JVCo pursuant to rights granted by ARM under this Agreement, JVCo shall provide notice to ARM of its intention to suspend the benefits of Clause 30.5 with respect to that Asserting Party. If, within [***] days after such notice has been given to ARM, the Asserting Party has not withdrawn or terminated its Assertion against JVCo then JVCo shall be entitled to suspend the obligation not to Assert against the Asserting Party until such Assertion is withdrawn or terminated.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PART G: OTHER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ADJUDICATION OF LICENSEES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31.1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an entity does not fully satisfy the requirements of a PRC Licensee but JVCo considers in good faith that that entity should fall within its exclusive licensing channel (that entity and its Group (if any), </w:t>
            </w:r>
            <w:r>
              <w:rPr>
                <w:rFonts w:ascii="Times New Roman" w:hAnsi="Times New Roman"/>
                <w:b/>
                <w:sz w:val="20"/>
              </w:rPr>
              <w:t>TBD Entity</w:t>
            </w:r>
            <w:r>
              <w:rPr>
                <w:rFonts w:ascii="Times New Roman" w:hAnsi="Times New Roman"/>
                <w:sz w:val="20"/>
              </w:rPr>
              <w:t>), JVCo may notify ARM in writing that it wishes to contest the allocation of that entity (a </w:t>
            </w:r>
            <w:r>
              <w:rPr>
                <w:rFonts w:ascii="Times New Roman" w:hAnsi="Times New Roman"/>
                <w:b/>
                <w:sz w:val="20"/>
              </w:rPr>
              <w:t>Licensee Enquiry Notice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receipt of a Licensee Enquiry Notice, ARM shall promptly consult with JVCo in order to understand the reasons for JVCos request that the TBD Entity is treated as a PRC Licensee.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considering whether the TBD Entity should be classified as PRC Licensees, ARM shall consider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31.3.1</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reasons given by JVCo as part of the consultation process detailed in Clause 31.2;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31.3.2</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operations of the TBD Entity, including the location of (i) its headquarters; and (ii) the majority of its employees, revenues and business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31.3.3</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similarity of the TBD Entity to other PRC Licensees,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the Parties acknowledge and agree that the assessment of whether a TBD Entity should be treated as a PRC Licensee shall be undertaken on a Group-wide basis (save where the allocation applies to the identity of a PRC Licensee in relation to the distribution of DSG Tools).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soon as reasonably practicable following receipt of the Licensee Enquiry Notice, ARM shall notify JVCo in writing as to whether the TBD Entity will be treated as PRC Licensees for the purposes of this Agreement and ARM shall act reasonably in making that assessment.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ARM to communicate its decision within [***] Business Days after its receipt of a Licensee Enquiry Notice shall be automatically escalated and submitted for review by the Senior Representatives in accordance with Clause 40.3 (save where such delay is caused by a delay by JVCo in providing additional information requested by ARM with respect to that Licensee Enquiry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ARM rejects a Licensee Enquiry Notice, such Licensee Enquiry Notice shall be automatically escalated and submitted for review by the Senior Representatives in accordance with Clause 40.3.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32.</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RECLASSIFICATION OF LICENSEES AND ACQUISITONS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licensees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32.1.1</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as at the date of this Agreement, the entities set out at Schedule 1 constitute PRC Licensees and, without prejudice to the licensing restriction contained in Clause 32.1.3, each listed entity shall be treated as a PRC Licensee unless and until that entity is Reclassified in accordance with this Clause 32.1.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37"/>
        <w:gridCol w:w="9062"/>
      </w:tblGrid>
      <w:tr>
        <w:trPr/>
        <w:tc>
          <w:tcPr>
            <w:tcW w:w="506"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32.1.2</w:t>
            </w:r>
          </w:p>
        </w:tc>
        <w:tc>
          <w:tcPr>
            <w:tcW w:w="9062" w:type="dxa"/>
            <w:tcBorders/>
          </w:tcPr>
          <w:p>
            <w:pPr>
              <w:pStyle w:val="TableContents"/>
              <w:bidi w:val="0"/>
              <w:spacing w:before="0" w:after="0"/>
              <w:jc w:val="left"/>
              <w:rPr>
                <w:rFonts w:ascii="Times New Roman" w:hAnsi="Times New Roman"/>
                <w:sz w:val="20"/>
              </w:rPr>
            </w:pPr>
            <w:r>
              <w:rPr>
                <w:rFonts w:ascii="Times New Roman" w:hAnsi="Times New Roman"/>
                <w:sz w:val="20"/>
              </w:rPr>
              <w:t>Subject to Clause 32.1.6, upon a change of circumstances (including a change in the nature of operations or the corporate characteristics) of a licensee of either Party (the </w:t>
            </w:r>
            <w:r>
              <w:rPr>
                <w:rFonts w:ascii="Times New Roman" w:hAnsi="Times New Roman"/>
                <w:b/>
                <w:sz w:val="20"/>
              </w:rPr>
              <w:t>Identified Licensee</w:t>
            </w:r>
            <w:r>
              <w:rPr>
                <w:rFonts w:ascii="Times New Roman" w:hAnsi="Times New Roman"/>
                <w:sz w:val="20"/>
              </w:rPr>
              <w:t>) (or that licensees Group) that results in a material change in the nature of operations or the corporate characteristics of that entity or its Group, that Party may notify the other Party in writing of that change of circumstances (a </w:t>
            </w:r>
            <w:r>
              <w:rPr>
                <w:rFonts w:ascii="Times New Roman" w:hAnsi="Times New Roman"/>
                <w:b/>
                <w:sz w:val="20"/>
              </w:rPr>
              <w:t>Change Notification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7"/>
        <w:gridCol w:w="9051"/>
      </w:tblGrid>
      <w:tr>
        <w:trPr/>
        <w:tc>
          <w:tcPr>
            <w:tcW w:w="507"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32.1.3</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Upon receipt of a Change Notification, the Parties shall promptly meet to discuss the content of the Change Notification and seek to agree (each Party acing reasonably) upon whether the Identified Licensee and its Group should be </w:t>
            </w:r>
            <w:r>
              <w:rPr>
                <w:rFonts w:ascii="Times New Roman" w:hAnsi="Times New Roman"/>
                <w:b/>
                <w:sz w:val="20"/>
              </w:rPr>
              <w:t>Reclassified</w:t>
            </w:r>
            <w:r>
              <w:rPr>
                <w:rFonts w:ascii="Times New Roman" w:hAnsi="Times New Roman"/>
                <w:sz w:val="20"/>
              </w:rPr>
              <w:t xml:space="preserve"> as Non-PRC Licensees (where the Identified Licensee is a PRC Licensee) or as PRC Licensees (where the Identified Licensee is a Non-PRC Licensee).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32"/>
        <w:gridCol w:w="9067"/>
      </w:tblGrid>
      <w:tr>
        <w:trPr/>
        <w:tc>
          <w:tcPr>
            <w:tcW w:w="506"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32.1.4</w:t>
            </w:r>
          </w:p>
        </w:tc>
        <w:tc>
          <w:tcPr>
            <w:tcW w:w="90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considering whether the Identified Licensee and its Group should be    Reclassified, the Parties shall consider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10"/>
        <w:gridCol w:w="8575"/>
      </w:tblGrid>
      <w:tr>
        <w:trPr/>
        <w:tc>
          <w:tcPr>
            <w:tcW w:w="11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Identified Licensee was a Non-Standard PRC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610"/>
        <w:gridCol w:w="7963"/>
      </w:tblGrid>
      <w:tr>
        <w:trPr/>
        <w:tc>
          <w:tcPr>
            <w:tcW w:w="1632"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Non-Standard PRC Licensee was included in Section B of Part 1 of Schedule 1 at the date of this Agreement, the reasons for the inclusion of that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2"/>
        <w:gridCol w:w="7962"/>
      </w:tblGrid>
      <w:tr>
        <w:trPr/>
        <w:tc>
          <w:tcPr>
            <w:tcW w:w="1631"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similarity of the entity (following the change detailed in the Change Notification) to other PRC Licensees;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2"/>
        <w:gridCol w:w="7962"/>
      </w:tblGrid>
      <w:tr>
        <w:trPr/>
        <w:tc>
          <w:tcPr>
            <w:tcW w:w="1631"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change detailed in the Change Notification on the business operations of the entity and its Group, including the location of (i) its headquarters; and (ii) the majority of its employees, revenues and business activities;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10"/>
        <w:gridCol w:w="8575"/>
      </w:tblGrid>
      <w:tr>
        <w:trPr/>
        <w:tc>
          <w:tcPr>
            <w:tcW w:w="11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the factors set out in Clause 32.1.6.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32.1.5</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Parties are unable to reach agreement on whether the Identified Licensee and its Group should be Reclassified within [***] Business Days of the meeting described at Clause 32.1.3, the issue shall be automatically escalated and submitted for review by Senior Representatives in accordance with Clause 40.3.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5"/>
        <w:gridCol w:w="649"/>
        <w:gridCol w:w="9051"/>
      </w:tblGrid>
      <w:tr>
        <w:trPr/>
        <w:tc>
          <w:tcPr>
            <w:tcW w:w="505"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32.1.6</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either (i) a PRC Licensee (other than a Non-Standard PRC Licensee) ceases to meet any of the criteria set out in limbs A(i) to (iv) or B(i) of the definition of PRC Licensee; or (ii) a Non-PRC Licensee begins to meet any of the criteria set out in limbs A(i) to (iv) or B(i) of the definition of PRC Licensee, such change shall be automatically deemed to be sufficiently material to enable a Party to issue a Change Notification and (save where otherwise agreed between the Parties) no other factors shall be relevant to the Reclassification decision. Notwithstanding the foregoing, where a PRC Licensee ceases to meet the criteria set out in any of limbs A(i) to (iv) or B(i) of the definition of PRC Licensee but JVCo considers (acting reasonably) that that entity should be treated as a Non-Standard PRC Licensee rather than Reclassified as a Non-PRC Licensee, the Parties shall consider the similarity of that entity to other Non-Standard PRC Licensees when making the Reclassification assessment.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32.1.7</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acknowledge and agree that upon an Identified Licensee and its Group becoming Reclassified, the exclusivity afforded to each Party pursuant to this Agreement shall mean that the Party that previously entered into licenses with respect to any JVCo Licensed Products with that Identified Licensee and its Group (such Party being the </w:t>
            </w:r>
            <w:r>
              <w:rPr>
                <w:rFonts w:ascii="Times New Roman" w:hAnsi="Times New Roman"/>
                <w:b/>
                <w:sz w:val="20"/>
              </w:rPr>
              <w:t>Outgoing Licensor</w:t>
            </w:r>
            <w:r>
              <w:rPr>
                <w:rFonts w:ascii="Times New Roman" w:hAnsi="Times New Roman"/>
                <w:sz w:val="20"/>
              </w:rPr>
              <w:t xml:space="preserve">) shall not be permitted to enter into any new Commercial licensing arrangement with respect to any JVCo Licensed Products with the Identified Licensee or its Group, save where permitted pursuant to Clause 7.1 and 14.4.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5"/>
        <w:gridCol w:w="649"/>
        <w:gridCol w:w="9051"/>
      </w:tblGrid>
      <w:tr>
        <w:trPr/>
        <w:tc>
          <w:tcPr>
            <w:tcW w:w="505"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32.1.8</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nothing in this Agreement shall prevent the Outgoing Licensor from continuing to satisfy any contractual obligations (including with respect to the licensing of any JVCo Licensed Products) it owes to the Identified Licensee and its Group as at the date of the Reclassification until the termination, expiry or novation of such contractual obligations and the Outgoing Licensor shall be permitted to continue to engage with the Identified Licensee and its Group to the extent reasonably necessary to satisfy such obligations. Where the Outgoing Licensor continues to satisfy contractual obligations in accordance with this Clause 32.1.8, the Reclassification shall be disregarded for the purposes of calculating any amounts due to the other Party pursuant to this Agreement with respect to that Identified Licensee and its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1"/>
        <w:gridCol w:w="9057"/>
      </w:tblGrid>
      <w:tr>
        <w:trPr/>
        <w:tc>
          <w:tcPr>
            <w:tcW w:w="507" w:type="dxa"/>
            <w:tcBorders/>
            <w:vAlign w:val="center"/>
          </w:tcPr>
          <w:p>
            <w:pPr>
              <w:pStyle w:val="TableContents"/>
              <w:bidi w:val="0"/>
              <w:spacing w:before="0" w:after="283"/>
              <w:jc w:val="left"/>
              <w:rPr/>
            </w:pPr>
            <w:r>
              <w:rPr/>
              <w:t> </w:t>
            </w:r>
          </w:p>
        </w:tc>
        <w:tc>
          <w:tcPr>
            <w:tcW w:w="641" w:type="dxa"/>
            <w:tcBorders/>
          </w:tcPr>
          <w:p>
            <w:pPr>
              <w:pStyle w:val="TableContents"/>
              <w:bidi w:val="0"/>
              <w:spacing w:before="0" w:after="283"/>
              <w:jc w:val="left"/>
              <w:rPr/>
            </w:pPr>
            <w:r>
              <w:rPr/>
              <w:t>32.2.1</w:t>
            </w:r>
          </w:p>
        </w:tc>
        <w:tc>
          <w:tcPr>
            <w:tcW w:w="90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ARM or any member of the ARM Group acquires a company or business that involves the licensing of any Semiconductor Technology to PRC Licensees, ARM shall notify JVCo as soon as reasonably practicable and the Parties shall promptly consult and agree (in good faith) upon a migration plan to facilitate JVCos licensing of such Semiconductor Technology to PRC Licensees.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1"/>
        <w:gridCol w:w="9057"/>
      </w:tblGrid>
      <w:tr>
        <w:trPr/>
        <w:tc>
          <w:tcPr>
            <w:tcW w:w="507" w:type="dxa"/>
            <w:tcBorders/>
            <w:vAlign w:val="center"/>
          </w:tcPr>
          <w:p>
            <w:pPr>
              <w:pStyle w:val="TableContents"/>
              <w:bidi w:val="0"/>
              <w:spacing w:before="0" w:after="283"/>
              <w:jc w:val="left"/>
              <w:rPr/>
            </w:pPr>
            <w:r>
              <w:rPr/>
              <w:t> </w:t>
            </w:r>
          </w:p>
        </w:tc>
        <w:tc>
          <w:tcPr>
            <w:tcW w:w="641" w:type="dxa"/>
            <w:tcBorders/>
          </w:tcPr>
          <w:p>
            <w:pPr>
              <w:pStyle w:val="TableContents"/>
              <w:bidi w:val="0"/>
              <w:spacing w:before="0" w:after="283"/>
              <w:jc w:val="left"/>
              <w:rPr/>
            </w:pPr>
            <w:r>
              <w:rPr/>
              <w:t>32.2.2</w:t>
            </w:r>
          </w:p>
        </w:tc>
        <w:tc>
          <w:tcPr>
            <w:tcW w:w="90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JVCo or any member of the JVCo Group acquires a company or business that involves the licensing of any Semiconductor Technology to Non-PRC Licensees, JVCo shall notify ARM as soon as reasonably practicable and the Parties shall promptly consult and agree (in good faith) upon a migration plan to facilitate ARMs licensing of such Semiconductor Technology to Non-PRC Licensees.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6"/>
        <w:gridCol w:w="651"/>
        <w:gridCol w:w="9048"/>
      </w:tblGrid>
      <w:tr>
        <w:trPr/>
        <w:tc>
          <w:tcPr>
            <w:tcW w:w="506" w:type="dxa"/>
            <w:tcBorders/>
            <w:vAlign w:val="center"/>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32.2.3</w:t>
            </w:r>
          </w:p>
        </w:tc>
        <w:tc>
          <w:tcPr>
            <w:tcW w:w="90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this Agreement shall prevent the acquiring Party described in Clauses 32.2.1 and 32.2.2 from continuing to satisfy any contractual obligations it owes (or any member of its Group owes) to the licensees (who are counterparties to the acquired license agreements) as at the date of the acquisition until the termination, expiry or novation of such contractual obligations and the acquiring Party shall be permitted to continue to engage with the licensees to the extent reasonably necessary to satisfy such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33.</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NOVATING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further acknowledge and agree that certain of the Transferring Contracts may not have been novated from ARM to JVCo in accordance with the Investment Agreement by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Transferring Contract that has not yet been novated to JVCo pursuant to Section 7.05 of the Investment Agreement as of the Operational Start-up Date, within eighteen (18) months after the Operational Start-up Date, both JVCo and ARM shall use all reasonable efforts to procure that each of the PRC Licensee counterparties to the Transferring Contracts agrees to transfer the Transferring Contracts to JVCo on terms substantially equivalent to the relevant Novation Agreement for each Transferring Contract. Novations of Transferring Contracts shall take effect on: (i) if the Novation Agreement is executed prior to the Operational Start-up Date or in the calendar quarter in which the Operational Start-up Date occurs, the Operational Start-up Date; and (ii) if the Novation Agreement is executed in a calendar quarter after the one in which the Operational Start-up Date occurs, the start of the calendar quarter in which the Novation Agreement is executed. JVCo shall perform its obligations under the Novated License Agreement and be bound by them as if JVCo were a party to those contracts in lieu of ARM or its Affiliate (as applicable). Notwithstanding the novation of a Transferring Contract, ARM shall be responsible for invoicing, and receiving payments from, counterparties to the Transferring Contracts, for amounts in respect of or able to be invoiced in the period prior to the novation taking effect. Each of ARM and JVCo shall bear its own costs of procuring that relevant counterparty(ies)s consent to such transfers, provided that neither ARM nor JVCo shall be required to pay any amount to a counterparty to obtain its consent to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33.3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Transferring Contract involves a license of Third Party Restricted IP or DSG Tools, the Novation Agreement shall, without prejudice to Clauses 5.8, 5.9 and 7.4 of the IP License Agreement, except to the extent otherwise agreed in writing by ARM and JVCo, expressly exclude from the rights and obligations being novated, rights and obligations to the extent they relate to Third Party Restricted IP or DSG Tools.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and from the Operational Start-up Date until the date on which the relevant Transferring Contract is transferred to JVCo pursuant to Section 7.05(a) of the Investment Agreement or Clause 33.2, the following clauses shall apply in respect of each Transferring Contract which has not, as at the Operational Start-up Date, been so transferred: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32"/>
        <w:gridCol w:w="9065"/>
      </w:tblGrid>
      <w:tr>
        <w:trPr/>
        <w:tc>
          <w:tcPr>
            <w:tcW w:w="508"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33.4.1</w:t>
            </w:r>
          </w:p>
        </w:tc>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or its Affiliates (as the case may be) shall continue to perform its obligations under each Transferring Contract, and JVCo shall, at ARMs written request, provide certain services in respect of the relevant Transferring Contract pursuant to the JV Services Agreement (as requested by ARM);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33.4.2</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permitted under Section 7.05 of the Investment Agreement or this Clause 33, ARM shall procure that none of its Affiliates shall agree to any termination or material amendment or waiver of their rights under the relevant Transferring Contract without the prior written consent of JVCo (not to be unreasonably withheld, conditioned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Operational Start-up Date, if a request is made to ARM or an Affiliate of ARM, or JVCo or an Affiliate of JVCo, for a new license of, or a renewal of an existing license of, ARM Licensed IP by any PRC Licensee who is a counterparty or an Affiliate of a counterparty to a Transferring Contract which has not at the relevant time been transferred to JVCo pursuant to Section 7.05(a) of the Investment Agreement or this Clause 33, neither ARM nor its Affiliates, nor JVCo or its Affiliates, shall enter into any such requested license with such Person until such time as the relevant Transferring Contract has been transferred to JVCo pursuant to Section 7.05(a) of the Investment or this Clause 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undertakes to ARM that it will duly and properly perform, assume and pay and discharge when due and indemnify ARM and its Affiliates against all liabilities and obligations of ARM and its Affiliates under the Transferring Contracts arising on or after the later of the Operational Start-up Date and the date the novation of such Transferring Contract takes effect (other than any costs incurred by ARM or its Affiliates pursuant to Section 7.05(a) of the Investment Agreement or Clause 33.2), provided that JVCo shall not be liable for any liability or obligation under such Transferring Contract that arose or was accrued before the later of the Operational Start-up Date and the date the novation of such Transferring Contract takes effect, and ARM shall indemnify JVCo against all liabilities and obligations of ARM and its Affiliates under any Transferring Contract not assumed by JVCo under Section 7.05 of the Investment Agreement and this Clause 33 (including all liabilities and obligations related to or arising under any Transferring Contract in relation to the period prior to the date of transfer to JVCo (whether the same have arisen or arise after the date of transfer to JVCo) and all liabilities and obligations in relation to any Transferring Contract that do not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JVCo does not already have a copy, ARM shall deliver to JVCo (i) at the Operational Start-up, a copy of any Novation Agreements entered into pursuant to Section 7.05(a) of the Investment Agreement or Clause 33.2 on or prior to the Operational Start-up Date, and (ii) as soon as reasonably practicable after entry into of such agreements, a copy of any Novation Agreements entered into pursuant to Section 7.05(a) of the Investment Agreement or Clause 33.2 after the Operational Start-up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After the Operational Start-up Date, within [***] days after the end of each calendar quarter solely with respect to each Transferring Contract containing a license of an Original ARM Product (including M Class Products, but excluding DSG Tools) that has not yet been novated to JVCo pursuant to Section 7.05 of the Investment Agreement or this Clause 33 (each an </w:t>
            </w:r>
            <w:r>
              <w:rPr>
                <w:rFonts w:ascii="Times New Roman" w:hAnsi="Times New Roman"/>
                <w:b/>
                <w:sz w:val="20"/>
              </w:rPr>
              <w:t>In-Flight License</w:t>
            </w:r>
            <w:r>
              <w:rPr>
                <w:rFonts w:ascii="Times New Roman" w:hAnsi="Times New Roman"/>
                <w:sz w:val="20"/>
              </w:rPr>
              <w:t>), (i) ARM shall, to the extent that such obligations are not satisfied under Section 7.05(i) of the Investment Agreement, (x) pay to JVCo an amount equal to 10% of any Royalties and License Fees relating to periods on or after the Operational Start-up Date that are Paid or Payable to ARM (less any Tax thereon) pursuant to such In-Flight License during that calendar quarter (each quarterly payment being a </w:t>
            </w:r>
            <w:r>
              <w:rPr>
                <w:rFonts w:ascii="Times New Roman" w:hAnsi="Times New Roman"/>
                <w:b/>
                <w:sz w:val="20"/>
              </w:rPr>
              <w:t>Transferring Contract Commission Payment</w:t>
            </w:r>
            <w:r>
              <w:rPr>
                <w:rFonts w:ascii="Times New Roman" w:hAnsi="Times New Roman"/>
                <w:sz w:val="20"/>
              </w:rPr>
              <w:t xml:space="preserve"> and the first Transferring Contract Commission Payment shall relate to the period from the Operational Start-up Date until the end of that calendar quarter); and (y) to the extent permitted by Applicable Law (including competition laws), provide to JVCo a report specifying the Royalties and License Fees relating to periods on or after the Operational Start-up Date that are Paid or Payable to ARM during that calendar quarter with respect to all In-Flight Licenses on an aggregated and anonymised basis by product and customer, and (ii) JVCo shall not distribute that report to any officer, director or employee of JVCo or any of its Subsidiaries who is involved in the pricing or licencing arrangements for that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on reasonable notice to JVCo, be entitled to appoint a firm of independent auditors to audit JVCos activities with respect to the ARM Licensed IP to ensure: (i) compliance with this Agreement; and (ii) that JVCo is adopting Intellectual Property security practices and processes which are at least as rigorous and protective as industry best practice processes. JVCo shall make available such personnel, documentation and/or access to premises as ARM may reasonably request in order to perform its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on reasonable notice to ARM, be entitled to appoint a firm of independent auditors to audit ARMs activities with respect to the JVCo Licensed IP to ensure compliance with this Agreement. ARM shall make available such personnel, documentation and/or access to premises as JVCo may reasonably request in order to perform its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Each Party shall bear their own costs in relation to any audit undertaken in accordance with this Clause 34, save that the other Party shall reimburse the Party that initiated the audit (the </w:t>
            </w:r>
            <w:r>
              <w:rPr>
                <w:rFonts w:ascii="Times New Roman" w:hAnsi="Times New Roman"/>
                <w:b/>
                <w:sz w:val="20"/>
              </w:rPr>
              <w:t>Initiating Party</w:t>
            </w:r>
            <w:r>
              <w:rPr>
                <w:rFonts w:ascii="Times New Roman" w:hAnsi="Times New Roman"/>
                <w:sz w:val="20"/>
              </w:rPr>
              <w:t xml:space="preserve">) for all such costs 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7"/>
        <w:gridCol w:w="9061"/>
      </w:tblGrid>
      <w:tr>
        <w:trPr/>
        <w:tc>
          <w:tcPr>
            <w:tcW w:w="507"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34.3.1</w:t>
            </w:r>
          </w:p>
        </w:tc>
        <w:tc>
          <w:tcPr>
            <w:tcW w:w="90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 reveals that the other Party has breached the terms of this Agreement in a way that is more than immaterial or insubstantial;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34.3.2</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has failed to provide the auditors with all requested records and accounts containing information bearing upon the subject matter of the audit within a reasonable period following any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any audit undertaken in accordance with this Clause 34, the Initiating Party may require that the Parties discuss the findings and, if appropriate, the Parties shall seek to agree a plan to address any concerns identified in the audit.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entering into any licensing arrangement with any PRC Licensee in accordance with the terms of this Agreement, JVCo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0"/>
        <w:gridCol w:w="9059"/>
      </w:tblGrid>
      <w:tr>
        <w:trPr/>
        <w:tc>
          <w:tcPr>
            <w:tcW w:w="506" w:type="dxa"/>
            <w:tcBorders/>
            <w:vAlign w:val="center"/>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34.5.1</w:t>
            </w:r>
          </w:p>
        </w:tc>
        <w:tc>
          <w:tcPr>
            <w:tcW w:w="90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 sufficient financial due diligence with respect to the proposed PRC Licensee in order to satisfy itself (to a reasonable extent) that the creditworthiness of the PRC Licensee is adequate to support the financial obligations that will be imposed on such PRC Licensee pursuant to the proposed licensing arrangement;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2"/>
        <w:gridCol w:w="9057"/>
      </w:tblGrid>
      <w:tr>
        <w:trPr/>
        <w:tc>
          <w:tcPr>
            <w:tcW w:w="506" w:type="dxa"/>
            <w:tcBorders/>
            <w:vAlign w:val="center"/>
          </w:tcPr>
          <w:p>
            <w:pPr>
              <w:pStyle w:val="TableContents"/>
              <w:bidi w:val="0"/>
              <w:spacing w:before="0" w:after="283"/>
              <w:jc w:val="left"/>
              <w:rPr/>
            </w:pPr>
            <w:r>
              <w:rPr/>
              <w:t> </w:t>
            </w:r>
          </w:p>
        </w:tc>
        <w:tc>
          <w:tcPr>
            <w:tcW w:w="642" w:type="dxa"/>
            <w:tcBorders/>
          </w:tcPr>
          <w:p>
            <w:pPr>
              <w:pStyle w:val="TableContents"/>
              <w:bidi w:val="0"/>
              <w:spacing w:before="0" w:after="283"/>
              <w:jc w:val="left"/>
              <w:rPr/>
            </w:pPr>
            <w:r>
              <w:rPr/>
              <w:t>34.5.2</w:t>
            </w:r>
          </w:p>
        </w:tc>
        <w:tc>
          <w:tcPr>
            <w:tcW w:w="90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 Intellectual Property security due diligence in accordance with the Prescribed Security Audit Requirements (notified by ARM to JVCo from time to time) in order to satisfy itself (to a reasonable extent) that the PRC Licensee has adequate processes in place to protect the Intellectual Property licensed, provided or made available by JVCo to that PRC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set out at Clause 34.5.2 shall also apply where an additional product is being added by JVCo to the scope of an existing licensing arrangement with a PRC Licensee, where the Prescribed Audit Requirements for that product are different to the requirements that the PRC Licensee has previously been checked against.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 of confidentiality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expressly provided by Clause 35.2, each Party shall maintain in confidence the Confidential Information and apply security measures no less stringent than the measures that such Party applies to its own like information, and not less than a reasonable degree of care, to prevent unauthorised disclosure and use of the Confidential Information. The period of confidentiality shall be indefinite with respect to each Partys Confidential Information. Nothing in this Clause 35 shall prevent either Party from entering into licensing arrangements with licensees on the terms permitted by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Permitted Disclosures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35.2.1</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Party may disclose Confidential Information received from the other Party in the following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disclosure to third parties to the extent that the Confidential Information is required to be disclosed pursuant to a court order or as otherwise required by law, provided that the Party required to make the disclosure promptly notifies the other Party upon learning of such requirement and has given the other Party a reasonable opportunity to contest or limit the scope of such required disclosure (including but not limited to making an application for a protective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disclosure to nominated third parties under written authority from the original discloser of the Confidential Information;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disclosure to the receiving Partys legal counsel, accountants or professional advisors to the extent necessary for them to advise upon the interpretation or enforcement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4"/>
        <w:gridCol w:w="9044"/>
      </w:tblGrid>
      <w:tr>
        <w:trPr/>
        <w:tc>
          <w:tcPr>
            <w:tcW w:w="507"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35.2.2</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Royalty reports may be disclosed in confidence to the Receiving Partys financial and legal advisors. In addition, ARM may disclose the total unit sales, from time to time, of ARM Compliant Products provided that the unit sales of such products by JVCo are not separately identifiable or deducible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37"/>
        <w:gridCol w:w="9062"/>
      </w:tblGrid>
      <w:tr>
        <w:trPr/>
        <w:tc>
          <w:tcPr>
            <w:tcW w:w="506"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35.2.3</w:t>
            </w:r>
          </w:p>
        </w:tc>
        <w:tc>
          <w:tcPr>
            <w:tcW w:w="90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shall be permitted to disclose Confidential Information of the other Party to members of its Group subject to the same terms and conditions of confidentiality as are set out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7"/>
        <w:gridCol w:w="9051"/>
      </w:tblGrid>
      <w:tr>
        <w:trPr/>
        <w:tc>
          <w:tcPr>
            <w:tcW w:w="507"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35.3.1</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agrees that it shall not use any of the Confidential Information of the other Party other than pursuant to and in accordance with the exercise of any of the licenses granted under this Agreement. Without limiting the generality of the foregoing, and save as otherwise permitted by the terms of this Agreement, neither Party shall use Confidential Information of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the basis for any Patent application or as a reference for modifying existing Patents or creating any continuation, continuation in part, or extension of existing Patents;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generating data for publication or disclosure to third parties, which compares the performance or functionality of the JVCo Licensed Products with any other products created by a Party or a third party, without obtaining the other Partys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1"/>
        <w:gridCol w:w="9076"/>
      </w:tblGrid>
      <w:tr>
        <w:trPr/>
        <w:tc>
          <w:tcPr>
            <w:tcW w:w="508" w:type="dxa"/>
            <w:tcBorders/>
            <w:vAlign w:val="center"/>
          </w:tcPr>
          <w:p>
            <w:pPr>
              <w:pStyle w:val="TableContents"/>
              <w:bidi w:val="0"/>
              <w:spacing w:before="0" w:after="283"/>
              <w:jc w:val="left"/>
              <w:rPr/>
            </w:pPr>
            <w:r>
              <w:rPr/>
              <w:t> </w:t>
            </w:r>
          </w:p>
        </w:tc>
        <w:tc>
          <w:tcPr>
            <w:tcW w:w="621" w:type="dxa"/>
            <w:tcBorders/>
          </w:tcPr>
          <w:p>
            <w:pPr>
              <w:pStyle w:val="TableContents"/>
              <w:bidi w:val="0"/>
              <w:spacing w:before="0" w:after="283"/>
              <w:jc w:val="left"/>
              <w:rPr/>
            </w:pPr>
            <w:r>
              <w:rPr/>
              <w:t>35.4.1</w:t>
            </w:r>
          </w:p>
        </w:tc>
        <w:tc>
          <w:tcPr>
            <w:tcW w:w="9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this Clause 35 shall not apply to information which: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known to and has been reduced to tangible form by the receiving Party prior to its receipt provided that such information is not already subject to any obligations of 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the public domain at the time of receipt or later becomes part of the public domain without breach of the confidentiality obligations in this Agreement (or by any Downstream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received from a third party without any breach of any obligation of confidentiality in respect of such information provided that such information is not subject to any continuing obligations of 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Confidential Information of a Party that is identified by that Party as exempt from these disclosure obligations;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Confidential Information of JVCo or its Downstream Affiliates and is provided to ARM by Feedback.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contained in this Clause 35 shall continue to apply after the expiry or termination of this Agreement without limit in time for so long as such information remains confidential.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36.</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ANTI-CORRUPTION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undertakes that it will not, and will (to the extent within its powers) procure that its Associated Persons will not, engage in any activity, practice or conduct in connection with the operations of JVCo which would be in contravention of the Anti-Bribery and Anti-Corruption Policy (other than an immaterial contravention that is administrative in nature) or give rise to an offence under or non-compliance with any anti-bribery and anti-corruption laws, regulations or codes that may apply to JVCo, its Associated Persons or ARM or its Associated Persons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either Party has reasonable cause to believe, based upon specific facts, that the other Party may be in violation of its undertakings in Clause 36.1, then the Party in question will at the reasonable request of the other Party, confirm in writing that it has complied with its undertaking in Clause 36.1, and will provide any information reasonably requested by the other Party in support of such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36.3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permitted by Applicable Law, each Party will indemnify and hold harmless the other Party (and: (i) in the case of ARM, members of the Enlarged ARM Group; and (ii) in the case of JVCo, members of the JVCo Group) from and against any and all claims, damages, losses, penalties, costs and expenses arising from or related to, any breach by that Party of its undertaking in Clause 36.1.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36.4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investigate and remediate, to the extent necessary to ensure compliance with the Anti-Bribery and Anti-Corruption Policy and applicable anti-corruption and anti-bribery laws, allegations of non-compliance with such policies and laws with the assistance of an expert in such policies and laws, if necessary (and JVCo shall notify ARM of such allegations as soon as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IP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On or around the Effective Date, each Party shall procure (to the extent within its power to do so) the establishment of an IP Committee (the </w:t>
            </w:r>
            <w:r>
              <w:rPr>
                <w:rFonts w:ascii="Times New Roman" w:hAnsi="Times New Roman"/>
                <w:b/>
                <w:sz w:val="20"/>
              </w:rPr>
              <w:t>IP Committee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IP Committee shall be composed of [***] members, with [***] representatives from ARM and [***] representatives from JVCo, each of them being entitled to vote at the meeting of the IP Committee. Each Party shall be entitled at any time to appoint a replacement IP Committee representative with a [***] day prior notice to the other Party. A quorum shall exist at any meeting of the IP Committee if: (i) at least [***] representatives are present; and (ii) there are more representatives from ARM present than representatives from JVCo.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shall appoint one of its representatives of the IP Committee as an IP Liaison Officer for such Party and each IP Liaison Officer will support the tasks undertaken by the IP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IP Committee shall meet no less than [***] every [***] months (and may meet more frequently if agreed between the Parties) and the tasks undertaken by the IP Committee shall include the following tasks during each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37.4.1</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ensuring that JVCo keeps updated lists and records of all JVCo Licensed IP (including: (i) where practicable, any third party IP that subsists in any Derivative Product or Independent Product; and (ii) a full bill of materials of Intellectual Property that subsists in any Derivative Product or Independent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4"/>
        <w:gridCol w:w="9044"/>
      </w:tblGrid>
      <w:tr>
        <w:trPr/>
        <w:tc>
          <w:tcPr>
            <w:tcW w:w="507"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37.4.2</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ensuring that ARM keeps updated lists and records of all ARM Licensed IP (including (i) where practicable, any third party IP that subsists in any Original ARM Product and ARM Derivative Product; and (ii) a full bill of materials of Intellectual Property that subsists in any Original ARM Product or ARM Derivative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7"/>
        <w:gridCol w:w="9051"/>
      </w:tblGrid>
      <w:tr>
        <w:trPr/>
        <w:tc>
          <w:tcPr>
            <w:tcW w:w="507"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37.4.3</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decisions as to how to protect and secure the Foreground IP, including decisions regarding the filing, registration and maintenance of Foreground IP (save for Intellectual Property rights exclusively subsisting in the Independent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3"/>
        <w:gridCol w:w="9055"/>
      </w:tblGrid>
      <w:tr>
        <w:trPr/>
        <w:tc>
          <w:tcPr>
            <w:tcW w:w="507" w:type="dxa"/>
            <w:tcBorders/>
            <w:vAlign w:val="center"/>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37.4.4</w:t>
            </w:r>
          </w:p>
        </w:tc>
        <w:tc>
          <w:tcPr>
            <w:tcW w:w="90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permissible under Applicable Law, providing updates regarding JVCos licensing activities with respect to JVCo Licensed Products (save for Independent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37.4.5</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permissible under Applicable Law, providing updates regarding ARMs licensing activities with respect to JVCo Licensed Products (save for Original ARM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7"/>
        <w:gridCol w:w="9061"/>
      </w:tblGrid>
      <w:tr>
        <w:trPr/>
        <w:tc>
          <w:tcPr>
            <w:tcW w:w="507"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37.4.6</w:t>
            </w:r>
          </w:p>
        </w:tc>
        <w:tc>
          <w:tcPr>
            <w:tcW w:w="90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and providing updates regarding the management of any claims, actions or proceedings initiated by or against ARM or JVCo in relation to the infringement of any ARM Licensed IP and/or Foreground IP or the infringement of any third party Intellectual Property by any JVCo Licensed Product (including with respect to the arguments being made in relation to the defence of any JVCo Licensed Product against any allegation of third party infringement);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37.4.7</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updates with respect to ARMs licensing activities that fall within the scope of Clause 7.1.3.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MUTUAL ROADMAP, ROADMAP COMMITTEE AND PRODUCT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On or around the Effective Date, each Party shall procure (to the extent within its power to do so) the establishment of a roadmap committee (the </w:t>
            </w:r>
            <w:r>
              <w:rPr>
                <w:rFonts w:ascii="Times New Roman" w:hAnsi="Times New Roman"/>
                <w:b/>
                <w:sz w:val="20"/>
              </w:rPr>
              <w:t>Roadmap Committee</w:t>
            </w:r>
            <w:r>
              <w:rPr>
                <w:rFonts w:ascii="Times New Roman" w:hAnsi="Times New Roman"/>
                <w:sz w:val="20"/>
              </w:rPr>
              <w:t xml:space="preserve">). The Roadmap Committee shall consist of [***] members, of which [***] members shall be appointed by JVCo and [***] members shall be appointed by ARM. Each of JVCo and ARM shall be entitled at any time to remove and appoint a replacement Roadmap Committee representative with [***] Business Days prior written notice to the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Roadmap Committee shall, unless otherwise agreed by ARM and JVCo meet no less than once every [***] months. The agenda for each meeting of the Roadmap Committee shall include the following: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Product development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any new Original ARM Product, Derivative Product, Independent Product or ARM Derivative Product that has reached Concept stage (or such equivalent milestone defined in the Product Lifecycle Management Requirements,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deciding whether JVCo is permitted to create or use any Derivative Product by modifying any source code that subsists in an Original ARM Product or an ARM Derivative Product (and, for the avoidance of doubt, in the absence of unanimous agreement to the contrary, JVCo shall not be permitted to create any Derivative Product by modification of source code that subsists in any Original ARM Product or any ARM Derivative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communicating likely updates to dates of Release or product specifications in respect of a JVCo Licensed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3"/>
        <w:gridCol w:w="9084"/>
      </w:tblGrid>
      <w:tr>
        <w:trPr/>
        <w:tc>
          <w:tcPr>
            <w:tcW w:w="50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communicating feedback received by ARM or JVCo in relation to the Mutual Roadmap, including from PRC Licensees (provided that each of ARM and JVCo retains sole discretion as to whether to communicate such feedback to the other Party);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Classification of Derivative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deciding whether a Derivative Product proposed by JVCo shall be a Mutual Roadmap Derivative Product and how and when Mutual Roadmap Derivative Products shall be included on the Mutual Roadmap (and, for the avoidance of doubt, in the absence of unanimous agreement to the contrary, each Derivative Product shall be deemed to be an Other Derivative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whether any Derivative Product should be declared as being Obsolete Technology;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Pricing and licensing of Derivative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the form of the ARM Model License for each Derivative Product (including, for the avoidance of doubt, for Architecture Compliant Cores);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(h)</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the license fee amount and royalty rate proposed by ARM for inclusion in the ARM-JVCo Price Book for each Derivative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Derivative Exception Requests (for Derivative Products and ARM Derivative Products) in accordance with paragraph 10 of Schedule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09"/>
        <w:gridCol w:w="9089"/>
      </w:tblGrid>
      <w:tr>
        <w:trPr/>
        <w:tc>
          <w:tcPr>
            <w:tcW w:w="507"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(j)</w:t>
            </w:r>
          </w:p>
        </w:tc>
        <w:tc>
          <w:tcPr>
            <w:tcW w:w="90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agreeing upon Permitted Deviations and Licensing Exceptions to any ARM Model License for any Derivative Product (in the case of Licensing Exceptions, that are requested by JVCo or ARM for any such license with a licensee);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Pricing and licensing of ARM Derivative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(k)</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the form of the Applicable Model License for each ARM Derivative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(l)</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agreeing upon Permitted Deviations and Licensing Exceptions to any Applicable Model License for any ARM Derivative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3"/>
        <w:gridCol w:w="9083"/>
      </w:tblGrid>
      <w:tr>
        <w:trPr/>
        <w:tc>
          <w:tcPr>
            <w:tcW w:w="509"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(m)</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the license fee amount and royalty rate proposed by ARM (in the case of ARM Derivative Products derived from Derivative Products) or JVCo (in the case of ARM Derivative Products derived from Independent Products) for inclusion in the JVCo-ARM Price Book for each ARM Derivative Product;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Branding of Derivative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(n)</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deciding whether JVCo shall be entitled to use the ARM Brand Trade Marks with respect to the licensing of any Other Derivative Product (and, for the avoidance of doubt and as set out in Clause 9.2 of this Agreement, in the absence of unanimous agreement to the contrary, JVCo shall not use the ARM Brand Trade Marks to identify, market, promote, or otherwise in relation to the licensing of, Other Derivative Products or Independent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(o)</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agreeing upon the product name and number that will be applied to any Derivative Product, in accordance with Clause 9.3.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38.3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for a quorum to be present at any meeting of the Roadmap Committee, at least [***] members must be present (either in person or by telephone), [***] of which must be an ARM appointee and [***] of which must be a JVCo appointee. All decisions of the Roadmap Committee shall require unanimous consent of the members of the Roadmap Committee present.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38.4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following the Effective Date, ARM shall provide to JVCo a copy of the Mutual Roadmap and shall, promptly following any update to the Mutual Roadmap, provide an updated copy to JVCo. Neither JVCo, ARM nor the Roadmap Committee shall have any authority to update the Mutual Roadmap unilaterally,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3"/>
        <w:gridCol w:w="9064"/>
      </w:tblGrid>
      <w:tr>
        <w:trPr/>
        <w:tc>
          <w:tcPr>
            <w:tcW w:w="508"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38.4.1</w:t>
            </w:r>
          </w:p>
        </w:tc>
        <w:tc>
          <w:tcPr>
            <w:tcW w:w="90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be required to update the Mutual Roadmap: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request from the Roadmap Committee, to incorporate any Mutual Roadmap Derivative Product in the manner unanimously agreed by the Roadmap Committee;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request from the Roadmap Committee, to remove any Mutual Roadmap Derivative Product from the Mutual Roadmap;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6"/>
        <w:gridCol w:w="9042"/>
      </w:tblGrid>
      <w:tr>
        <w:trPr/>
        <w:tc>
          <w:tcPr>
            <w:tcW w:w="507" w:type="dxa"/>
            <w:tcBorders/>
            <w:vAlign w:val="center"/>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38.4.2</w:t>
            </w:r>
          </w:p>
        </w:tc>
        <w:tc>
          <w:tcPr>
            <w:tcW w:w="9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ARM shall be permitted to update the Mutual Roadmap to add or remove (or amend any details relating to) any Original ARM Product from the Mutual Roadmap.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38.5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or JVCo (as applicable) shall notify the other Party as soon as reasonably practicable if either ARM or JVCo becomes aware that the date of Release or the product specification in respect of an Original ARM Product or a Mutual Roadmap Derivative Product (as applicable) is likely to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the Roadmap Committee may elect to classify a Derivative Product as a Mutual Roadmap Derivative Product where that Derivative Product is used and licensed for certain market segments and/or applications (with the Derivative Product constituting an Other Derivative Product for all other purposes). In addition, where the Roadmap Committee agrees that a Derivative Product constitutes a Mutual Roadmap Derivative Product, that classification will only apply to that Derivative Product for so long as the specification of the product remains the same (in all material respects) as the specification described by JVCo to the Roadmap Committee at the time that the classification decision was made by the Roadmap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developing Derivative Products, JVCo shall adhere to the terminology and processes set out in the Product Lifecycle Management Requirements, the current draft of which is set forth in Schedule 5 (and which may be updated from time to time by written notice from ARM to JVCo). The Product Lifecycle Management Requirements shall be the same as ARMs own internal product lifecycle management requirements. In addition, when developing Independent Products, JVCo shall reasonably inform ARM of how the management and terminology used in JVCos product lifecycle management in relation to that Independent Product may align with those Product Lifecycle Management Requirements by making reference to the terminology and processes set out in those Product Lifecycle Management Requirements and the Parties shall discuss and co-operate in good faith with respect to such alignment to enable ARM to assess and market such Independent Product to Non-PRC Licensees (if ARM so elects).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39.</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39.2 below but otherwise notwithstanding any other provision of this Agreement (including where obligations refer to the Term), this Agreement and the licenses contained herein shall take effect upon the Effective Date and neither Party shall have any rights or obligations pursuant to this Agreement prior to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Clauses 5.8 and 5.9 and the final sentence in each of Clauses 7.2.5 and 14.5.4 shall take effect upon the date of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provide the list of entities for inclusion in Schedule 1 on or before the date of this Agreement. Subject to Clause 39.4, ARM shall ensure that the list of entities for inclusion in Schedule 1 includes all of the entities included in the Disclosed PRC Licensee List.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there is a change to an entity in the Disclosed PRC Licensee List between the date of the Investment Agreement and the Effective Date, the Parties shall, upon notification by either Party, discuss and agree upon any reclassification of that entity as if the regime set out at Clause 32 applied at that time (and, in the event of a reclassification of that entity as a Non-PRC Licensee, ARM shall not be required to include that entity in the list that is provided in accordance with Clause 39.3).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DISPUTE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40.1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shall make every effort to settle amicably any and all disputes, controversies, conflicts and claims arising out of or relating to or in connection with this Agreement or any transactions contemplated hereby, the performance or non-performance or timely performance of the obligations set forth herein or asserted breach of this Agreement (including any questions regarding its existence, validity, interpretation, enforceability or termination) (a </w:t>
            </w:r>
            <w:r>
              <w:rPr>
                <w:rFonts w:ascii="Times New Roman" w:hAnsi="Times New Roman"/>
                <w:b/>
                <w:sz w:val="20"/>
              </w:rPr>
              <w:t>Dispute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Any Dispute between the Parties may be referred by written notice setting out brief details of the Dispute (a </w:t>
            </w:r>
            <w:r>
              <w:rPr>
                <w:rFonts w:ascii="Times New Roman" w:hAnsi="Times New Roman"/>
                <w:b/>
                <w:sz w:val="20"/>
              </w:rPr>
              <w:t>Dispute Notice</w:t>
            </w:r>
            <w:r>
              <w:rPr>
                <w:rFonts w:ascii="Times New Roman" w:hAnsi="Times New Roman"/>
                <w:sz w:val="20"/>
              </w:rPr>
              <w:t xml:space="preserve">) given by one Party to the other Party, to Senior Representatives of each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Senior Representatives shall promptly meet to discuss in good faith the Dispute. In the event that the Senior Representatives do not amicably resolve the Dispute within [***] days of the date of dispatch of the Dispute Notice, the Dispute may then be referred by either Party to, and shall be finally and exclusively resolved by, arbitration in accordance with Clause 40.4. In the event that a Party reasonably considers that a discussion between Senior Representatives for up to [***] days before commencing arbitration pursuant to Clause 40.4 may have a material adverse impact on such Party or its business, it shall be entitled to immediately refer such Dispute to arbitration without the need for such discussion between Senior Representatives, provided that, prior to or simultaneous with such referral, it delivers a Dispute Notice to the other Parties informing them of such referral.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40.4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(i) the obligations in Clause 40.3 having been complied with, (ii) Clause 40.13, and (iii) the last sentence of Clause 40.5, any Dispute (subject to Clause 26.5, other than a Payment Dispute) may be referred by either Party by notice in writing to, and (if so referred) shall be finally and exclusively resolved by arbitration in Hong Kong under the Hong Kong International Arbitration Centre (the </w:t>
            </w:r>
            <w:r>
              <w:rPr>
                <w:rFonts w:ascii="Times New Roman" w:hAnsi="Times New Roman"/>
                <w:b/>
                <w:sz w:val="20"/>
              </w:rPr>
              <w:t>HKIAC</w:t>
            </w:r>
            <w:r>
              <w:rPr>
                <w:rFonts w:ascii="Times New Roman" w:hAnsi="Times New Roman"/>
                <w:sz w:val="20"/>
              </w:rPr>
              <w:t>) Administered Arbitration Rules then in force when the notice of arbitration is submitted to the HKIAC in accordance with those rules, as may be amended by the rest of this Clause 40 (such notice being the </w:t>
            </w:r>
            <w:r>
              <w:rPr>
                <w:rFonts w:ascii="Times New Roman" w:hAnsi="Times New Roman"/>
                <w:b/>
                <w:sz w:val="20"/>
              </w:rPr>
              <w:t>Arbitration Referral Notice</w:t>
            </w:r>
            <w:r>
              <w:rPr>
                <w:rFonts w:ascii="Times New Roman" w:hAnsi="Times New Roman"/>
                <w:sz w:val="20"/>
              </w:rPr>
              <w:t xml:space="preserve">), with a copy of such referral to the other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seat, or legal place, of arbitration shall be Hong Kong. The language to be used in the arbitral proceeding shall be English. The arbitral award may include monetary relief, injunctive relief or both and shall be final and binding upon the parties and enforceable in accordance with its terms, and the Parties agree to comply with the arbitration award. Arbitration expenses shall be paid by the relevant Party/Parties as determined by the arbitral tribunal. If either Party needs to enforce an arbitral award by legal action of any kind, the Party/Parties against which such legal action is taken shall pay all reasonable costs and expenses and attorneys fees, including any cost of additional litigation or arbitration incurred by the Party/Parties seeking to enforce the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arbitration tribunal shall consist of three (3) arbitrators. The claimant(s), irrespective of number, shall nominate jointly one (1) arbitrator; the respondent(s), irrespective of number, shall nominate jointly one (1) arbitrator, and the third arbitrator shall be appointed by the HKIAC. The third arbitrator shall not be a citizen of the PRC or the UK. If either the claimant(s) or the respondent(s) fails to appoint an arbitrator within [***] days of the Arbitration Referral Notice having been dispatched the HKIAC shall appoint the arbitrator for and on behalf of such Party/Parties.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40.7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course of any arbitration proceedings, all provisions of this Agreement shall, to the most feasible and practicable extent, be implemented continuously by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40.8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consent generally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4"/>
        <w:gridCol w:w="9054"/>
      </w:tblGrid>
      <w:tr>
        <w:trPr/>
        <w:tc>
          <w:tcPr>
            <w:tcW w:w="50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40.8.1</w:t>
            </w:r>
          </w:p>
        </w:tc>
        <w:tc>
          <w:tcPr>
            <w:tcW w:w="90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submission to arbitration made in accordance with this Clause 40, or related legal action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40.8.2</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giving of any interim and conservatory relief by any court of competent jurisdiction (including any temporary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40.8.3</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giving of any interim or permanent injunctive relief available under Applicable Law, by any court of competent jurisdiction, for the infringement of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40.8.4</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of any process in connection with such submission, action or proceeding, including the making, enforcement or execution against any property whatsoever (irrespective of its use or intended use) of any order, award or judgment which may be made or given in any such arbitration, action or proceeding,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waives any objection that it may have to any such courts on the grounds of inconvenient forum.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40.9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arbitration award shall be enforceable by any court or courts having jurisdiction over the Party/Parties against which the award has been rendered, or over the assets of the Party/Parties against which such award has been rendered, wherever such assets may be located. Such award shall be enforced, inter alia, in accordance with the New York Convention on the Recognition and Enforcement of Foreign Arbitral Awards and the Arrangement between the Mainland and the Hong Kong SAR on the Mutual Enforcement of Arbitral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74"/>
        <w:gridCol w:w="9631"/>
      </w:tblGrid>
      <w:tr>
        <w:trPr/>
        <w:tc>
          <w:tcPr>
            <w:tcW w:w="574" w:type="dxa"/>
            <w:tcBorders/>
          </w:tcPr>
          <w:p>
            <w:pPr>
              <w:pStyle w:val="TableContents"/>
              <w:bidi w:val="0"/>
              <w:spacing w:before="0" w:after="283"/>
              <w:jc w:val="left"/>
              <w:rPr/>
            </w:pPr>
            <w:r>
              <w:rPr/>
              <w:t>40.10</w:t>
            </w:r>
          </w:p>
        </w:tc>
        <w:tc>
          <w:tcPr>
            <w:tcW w:w="96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acknowledges that it is a commercial entity that affords its shareholders with limited liability, is separate from (and with an identity separate from) its direct or indirect shareholders, is capable of suing and being sued and is entering into the transactions contemplated by this Agreement to which it is a party as private-law commercial transactions that shall not be deemed as being entered into in the exercise of any public function. The Parties agree to abide by and perform: (i) any decision issued by the arbitral tribunal constituted pursuant to Clause 40.5; and (ii) any judgment or order issued in any interim relief proceeding pursuant to Clause 40.8.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9"/>
        <w:gridCol w:w="9636"/>
      </w:tblGrid>
      <w:tr>
        <w:trPr/>
        <w:tc>
          <w:tcPr>
            <w:tcW w:w="569" w:type="dxa"/>
            <w:tcBorders/>
          </w:tcPr>
          <w:p>
            <w:pPr>
              <w:pStyle w:val="TableContents"/>
              <w:bidi w:val="0"/>
              <w:spacing w:before="0" w:after="283"/>
              <w:jc w:val="left"/>
              <w:rPr/>
            </w:pPr>
            <w:r>
              <w:rPr/>
              <w:t>40.11</w:t>
            </w:r>
          </w:p>
        </w:tc>
        <w:tc>
          <w:tcPr>
            <w:tcW w:w="963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Clause 52, this Clause 40 shall be governed by the laws of Hong Kong.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9"/>
        <w:gridCol w:w="9646"/>
      </w:tblGrid>
      <w:tr>
        <w:trPr/>
        <w:tc>
          <w:tcPr>
            <w:tcW w:w="559" w:type="dxa"/>
            <w:tcBorders/>
          </w:tcPr>
          <w:p>
            <w:pPr>
              <w:pStyle w:val="TableContents"/>
              <w:bidi w:val="0"/>
              <w:spacing w:before="0" w:after="283"/>
              <w:jc w:val="left"/>
              <w:rPr/>
            </w:pPr>
            <w:r>
              <w:rPr/>
              <w:t>40.12</w:t>
            </w:r>
          </w:p>
        </w:tc>
        <w:tc>
          <w:tcPr>
            <w:tcW w:w="96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undertake to keep confidential all awards in any arbitration, together with all materials in the proceedings created for the purpose of the arbitration and all other documents produced by another party in the proceedings not otherwise in the public domain, save to the extent that disclosure may be required of a party by legal duty, to protect or pursue a legal right or to enforce or challenge an award in legal proceedings before a court or other judicial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9"/>
        <w:gridCol w:w="9636"/>
      </w:tblGrid>
      <w:tr>
        <w:trPr/>
        <w:tc>
          <w:tcPr>
            <w:tcW w:w="569" w:type="dxa"/>
            <w:tcBorders/>
          </w:tcPr>
          <w:p>
            <w:pPr>
              <w:pStyle w:val="TableContents"/>
              <w:bidi w:val="0"/>
              <w:spacing w:before="0" w:after="283"/>
              <w:jc w:val="left"/>
              <w:rPr/>
            </w:pPr>
            <w:r>
              <w:rPr/>
              <w:t>40.13</w:t>
            </w:r>
          </w:p>
        </w:tc>
        <w:tc>
          <w:tcPr>
            <w:tcW w:w="963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 other provision of this Agreement, nothing shall preclude either Party from applying for any preliminary or injunctive remedies available under Applicable Law in any forum for the infringement of Intellectual Property.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Payment Disputes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9"/>
        <w:gridCol w:w="9626"/>
      </w:tblGrid>
      <w:tr>
        <w:trPr/>
        <w:tc>
          <w:tcPr>
            <w:tcW w:w="579" w:type="dxa"/>
            <w:tcBorders/>
          </w:tcPr>
          <w:p>
            <w:pPr>
              <w:pStyle w:val="TableContents"/>
              <w:bidi w:val="0"/>
              <w:spacing w:before="0" w:after="283"/>
              <w:jc w:val="left"/>
              <w:rPr/>
            </w:pPr>
            <w:r>
              <w:rPr/>
              <w:t>40.14</w:t>
            </w:r>
          </w:p>
        </w:tc>
        <w:tc>
          <w:tcPr>
            <w:tcW w:w="96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except where a Payment Dispute is referred to arbitration under Clause 26.5.1, Clauses 40.2 to 40.4 shall not apply to Payment Disputes and such disputes shall instead be escalated by the Parties in accordance with Clauses 26.4 and 26.5. Where the Senior Representatives (or their nominees) have been unable to resolve the Payment Dispute in accordance with Clause 26.5, and the Payment Dispute has not been referred to arbitration under Clause 26.5.1, Clause 40.15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9"/>
        <w:gridCol w:w="9626"/>
      </w:tblGrid>
      <w:tr>
        <w:trPr/>
        <w:tc>
          <w:tcPr>
            <w:tcW w:w="579" w:type="dxa"/>
            <w:tcBorders/>
          </w:tcPr>
          <w:p>
            <w:pPr>
              <w:pStyle w:val="TableContents"/>
              <w:bidi w:val="0"/>
              <w:spacing w:before="0" w:after="283"/>
              <w:jc w:val="left"/>
              <w:rPr/>
            </w:pPr>
            <w:r>
              <w:rPr/>
              <w:t>40.15</w:t>
            </w:r>
          </w:p>
        </w:tc>
        <w:tc>
          <w:tcPr>
            <w:tcW w:w="96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Dispute shall be resolved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753"/>
        <w:gridCol w:w="8953"/>
      </w:tblGrid>
      <w:tr>
        <w:trPr/>
        <w:tc>
          <w:tcPr>
            <w:tcW w:w="499" w:type="dxa"/>
            <w:tcBorders/>
            <w:vAlign w:val="center"/>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40.15.1</w:t>
            </w:r>
          </w:p>
        </w:tc>
        <w:tc>
          <w:tcPr>
            <w:tcW w:w="8953"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shall jointly appoint, or (if the Parties cannot agree on such appointment) procure that the President of the Hong Kong Institute of Certified Public Accountants appoints, an Acceptable Accounting Firm (independent of the Parties) (the </w:t>
            </w:r>
            <w:r>
              <w:rPr>
                <w:rFonts w:ascii="Times New Roman" w:hAnsi="Times New Roman"/>
                <w:b/>
                <w:sz w:val="20"/>
              </w:rPr>
              <w:t>Adjudicating Firm</w:t>
            </w:r>
            <w:r>
              <w:rPr>
                <w:rFonts w:ascii="Times New Roman" w:hAnsi="Times New Roman"/>
                <w:sz w:val="20"/>
              </w:rPr>
              <w:t>) as soon as practicable within [***] Business Days of the Payment Dispute Escalation Date and procure that the Adjudicating Firm provides an adjudication of the Payment Dispute as soon as practicable and in any event within [***] days of being appointed (such assessment being the </w:t>
            </w:r>
            <w:r>
              <w:rPr>
                <w:rFonts w:ascii="Times New Roman" w:hAnsi="Times New Roman"/>
                <w:b/>
                <w:sz w:val="20"/>
              </w:rPr>
              <w:t>Adjudicating Firms Decision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0"/>
        <w:gridCol w:w="764"/>
        <w:gridCol w:w="8941"/>
      </w:tblGrid>
      <w:tr>
        <w:trPr/>
        <w:tc>
          <w:tcPr>
            <w:tcW w:w="500" w:type="dxa"/>
            <w:tcBorders/>
            <w:vAlign w:val="center"/>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40.15.2</w:t>
            </w:r>
          </w:p>
        </w:tc>
        <w:tc>
          <w:tcPr>
            <w:tcW w:w="89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shall each promptly provide the Adjudicating Firm with all information reasonably requested by the Adjudicating Firm in order to make their decision within the periods contemplated by Clause 40.15.1;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1"/>
        <w:gridCol w:w="755"/>
        <w:gridCol w:w="8949"/>
      </w:tblGrid>
      <w:tr>
        <w:trPr/>
        <w:tc>
          <w:tcPr>
            <w:tcW w:w="501" w:type="dxa"/>
            <w:tcBorders/>
            <w:vAlign w:val="center"/>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40.15.3</w:t>
            </w:r>
          </w:p>
        </w:tc>
        <w:tc>
          <w:tcPr>
            <w:tcW w:w="89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expenses of the Adjudicating Firm shall be paid by the Party against whom the Adjudicating Firm decides (or, where the Adjudicating Firms Decision falls between the respective positions of the Parties, the costs and expenses will be divided pro-rata between the Parties, according to the respective delta between a Partys position and the resolved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1"/>
        <w:gridCol w:w="755"/>
        <w:gridCol w:w="8949"/>
      </w:tblGrid>
      <w:tr>
        <w:trPr/>
        <w:tc>
          <w:tcPr>
            <w:tcW w:w="501" w:type="dxa"/>
            <w:tcBorders/>
            <w:vAlign w:val="center"/>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40.15.4</w:t>
            </w:r>
          </w:p>
        </w:tc>
        <w:tc>
          <w:tcPr>
            <w:tcW w:w="89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Adjudicating Firm shall act as an expert and not an arbitrator;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772"/>
        <w:gridCol w:w="8934"/>
      </w:tblGrid>
      <w:tr>
        <w:trPr/>
        <w:tc>
          <w:tcPr>
            <w:tcW w:w="499" w:type="dxa"/>
            <w:tcBorders/>
            <w:vAlign w:val="center"/>
          </w:tcPr>
          <w:p>
            <w:pPr>
              <w:pStyle w:val="TableContents"/>
              <w:bidi w:val="0"/>
              <w:spacing w:before="0" w:after="283"/>
              <w:jc w:val="left"/>
              <w:rPr/>
            </w:pPr>
            <w:r>
              <w:rPr/>
              <w:t> </w:t>
            </w:r>
          </w:p>
        </w:tc>
        <w:tc>
          <w:tcPr>
            <w:tcW w:w="772" w:type="dxa"/>
            <w:tcBorders/>
          </w:tcPr>
          <w:p>
            <w:pPr>
              <w:pStyle w:val="TableContents"/>
              <w:bidi w:val="0"/>
              <w:spacing w:before="0" w:after="283"/>
              <w:jc w:val="left"/>
              <w:rPr/>
            </w:pPr>
            <w:r>
              <w:rPr/>
              <w:t>40.15.5</w:t>
            </w:r>
          </w:p>
        </w:tc>
        <w:tc>
          <w:tcPr>
            <w:tcW w:w="893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save for fraud or manifest error, the Adjudicating Firms Decision shall be final and binding on the Parties as a determination of the Payment Dispute and, for the avoidance of doubt, Clauses 26.1 and 26.3 shall apply to the issuance and payment of any invoices following such resolution of the Payment Dispute.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41.4, neither Party shall assign or otherwise transfer this Agreement or any of its rights and obligations hereunder whether in whole or in part without the prior written consent of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41.4, JVCo shall not assign or otherwise transfer any rights in the JVCo Licensed IP whether in whole or in part: (i) without the prior written consent of ARM; and (ii) without contractually requiring such assignment or transfer (and any subsequent assignment or transfer) be subject to the rights granted or owed to ARM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41.4, ARM shall not assign or otherwise transfer any rights in the ARM Licensed IP whether in whole or in part: (i) without the prior written consent of JVCo; and (ii) without contractually requiring such assignment or transfer (and any subsequent assignment or transfer) be subject to the rights granted or owed to JVCo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Clauses 41.1 to 41.3 shall not apply to the transfer of rights by either Party in their Relevant Licensed IP as part of an intra-group reorganisation (which shall include, in the case of ARM, transfers within the Enlarged ARM Group), so long as such transfer will have no adverse impact on the assigning Partys full performance and satisfaction of their obligations under this Agreement and the Co-ownership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FORCE MAJEURE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42.1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Party will be liable to the other Party for any delay or non-performance of its obligations under this Agreement (excluding any obligation to pay any amounts to the other Party), arising from any Force Majeure Event provided that the affected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0"/>
        <w:gridCol w:w="9059"/>
      </w:tblGrid>
      <w:tr>
        <w:trPr/>
        <w:tc>
          <w:tcPr>
            <w:tcW w:w="506" w:type="dxa"/>
            <w:tcBorders/>
            <w:vAlign w:val="center"/>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42.1.1</w:t>
            </w:r>
          </w:p>
        </w:tc>
        <w:tc>
          <w:tcPr>
            <w:tcW w:w="90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(and in any event within [***] Business Days from the occurrence of such Force Majeure Event) notifies the other Party in writing of the cause of the delay or non-performance and the likely duration of the delay or non-performance;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23"/>
        <w:gridCol w:w="9074"/>
      </w:tblGrid>
      <w:tr>
        <w:trPr/>
        <w:tc>
          <w:tcPr>
            <w:tcW w:w="508"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42.1.2</w:t>
            </w:r>
          </w:p>
        </w:tc>
        <w:tc>
          <w:tcPr>
            <w:tcW w:w="90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uses reasonable endeavours to minimise the delay and limit the effect of that delay or non-performance on the other Party and to resume performance of all obligations after the impact of such Force Majeure Event is eliminated or reduced.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such case, the performance of the affected Partys obligations, to the extent affected by the Force Majeure Event, will be suspended during the period that the cause persists and the due date for performance thereof shall be automatically extended, without penalty under the Agreement, for a period equal to such suspension.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43.</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REMEDIES AND WAIVERS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delay or omission by a Party in exercising any right, power or remedy provided by law or under this Agreement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26"/>
        <w:gridCol w:w="9070"/>
      </w:tblGrid>
      <w:tr>
        <w:trPr/>
        <w:tc>
          <w:tcPr>
            <w:tcW w:w="509" w:type="dxa"/>
            <w:tcBorders/>
            <w:vAlign w:val="center"/>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43.1.1</w:t>
            </w:r>
          </w:p>
        </w:tc>
        <w:tc>
          <w:tcPr>
            <w:tcW w:w="90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such right, power or remedy;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54"/>
        <w:gridCol w:w="9043"/>
      </w:tblGrid>
      <w:tr>
        <w:trPr/>
        <w:tc>
          <w:tcPr>
            <w:tcW w:w="508"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43.1.2</w:t>
            </w:r>
          </w:p>
        </w:tc>
        <w:tc>
          <w:tcPr>
            <w:tcW w:w="9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operate as a waiver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single or partial exercise of any right, power or remedy provided by law or under this Agreement shall not preclude any other or further exercise thereof or the exercise of any other right, power or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and remedies provided in this Agreement are cumulative and not exclusive of any rights, powers and remedies provided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under this Agreement shall only be effective if it is in writing and in the English language and delivered by messenger, email (save for termination notices) or registered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Notices under this Agreement shall be sent to a Party at its address or email address and for the attention of the individual, in the case of ARM, set out below or, in the case of JVCo, notified by JVCo to ARM on or before the Effective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Party</w:t>
            </w:r>
          </w:p>
        </w:tc>
        <w:tc>
          <w:tcPr>
            <w:tcW w:w="204" w:type="dxa"/>
            <w:tcBorders/>
            <w:vAlign w:val="bottom"/>
          </w:tcPr>
          <w:p>
            <w:pPr>
              <w:pStyle w:val="TableContents"/>
              <w:bidi w:val="0"/>
              <w:spacing w:before="0" w:after="283"/>
              <w:jc w:val="left"/>
              <w:rPr/>
            </w:pPr>
            <w:r>
              <w:rPr/>
              <w:t>  </w:t>
            </w:r>
          </w:p>
        </w:tc>
        <w:tc>
          <w:tcPr>
            <w:tcW w:w="7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Address</w:t>
            </w:r>
          </w:p>
        </w:tc>
      </w:tr>
      <w:tr>
        <w:trPr/>
        <w:tc>
          <w:tcPr>
            <w:tcW w:w="2040" w:type="dxa"/>
            <w:tcBorders/>
          </w:tcPr>
          <w:p>
            <w:pPr>
              <w:pStyle w:val="TableContents"/>
              <w:bidi w:val="0"/>
              <w:spacing w:before="0" w:after="283"/>
              <w:jc w:val="left"/>
              <w:rPr/>
            </w:pPr>
            <w:r>
              <w:rPr/>
              <w:t>ARM</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110 Fulbourn Road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Cambridge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England CB1 9NJ</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the attention of: General Counsel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With a copy (which shall not constitute notice)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Slaughter and May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One Bunhill Row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EC1Y 8YY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the attention of: [***]</w:t>
            </w:r>
          </w:p>
          <w:p>
            <w:pPr>
              <w:pStyle w:val="TableContents"/>
              <w:bidi w:val="0"/>
              <w:spacing w:before="0" w:after="20"/>
              <w:jc w:val="left"/>
              <w:rPr>
                <w:rFonts w:ascii="Times New Roman" w:hAnsi="Times New Roman"/>
                <w:sz w:val="20"/>
              </w:rPr>
            </w:pPr>
            <w:r>
              <w:rPr>
                <w:rFonts w:ascii="Times New Roman" w:hAnsi="Times New Roman"/>
                <w:sz w:val="20"/>
              </w:rPr>
              <w:t>With a copy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Party may change its notice details on giving notice to the other Parties of the change in accordance with this Clause 44, such change to take effect upon deemed delivery of the relevant notice pursuant to this Clause 44 (unless otherwise specified in the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shall be deemed delivered on the following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33"/>
        <w:gridCol w:w="9064"/>
      </w:tblGrid>
      <w:tr>
        <w:trPr/>
        <w:tc>
          <w:tcPr>
            <w:tcW w:w="508"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44.4.1</w:t>
            </w:r>
          </w:p>
        </w:tc>
        <w:tc>
          <w:tcPr>
            <w:tcW w:w="90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delivery is made personally or by messenger, on the date of delivery;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44.4.2</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delivery is by registered mail, [***] days after it is mailed (as indicated by the postmark);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44.4.3</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delivery is by email, on the [***] Business Day after the date of sending.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INDEPENDENT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stated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27"/>
        <w:gridCol w:w="9070"/>
      </w:tblGrid>
      <w:tr>
        <w:trPr/>
        <w:tc>
          <w:tcPr>
            <w:tcW w:w="508"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45.1.1</w:t>
            </w:r>
          </w:p>
        </w:tc>
        <w:tc>
          <w:tcPr>
            <w:tcW w:w="90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herein shall be construed to create any relationship of employer and employee, agent and principal or partnership between JVCo on the one hand, and ARM, on the other hand;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6"/>
        <w:gridCol w:w="9042"/>
      </w:tblGrid>
      <w:tr>
        <w:trPr/>
        <w:tc>
          <w:tcPr>
            <w:tcW w:w="507" w:type="dxa"/>
            <w:tcBorders/>
            <w:vAlign w:val="center"/>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45.1.2</w:t>
            </w:r>
          </w:p>
        </w:tc>
        <w:tc>
          <w:tcPr>
            <w:tcW w:w="9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not assume, either directly or indirectly, any liability of or for ARM and ARM shall not assume, either directly or indirectly, any liability of or for JVCo;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8"/>
        <w:gridCol w:w="9060"/>
      </w:tblGrid>
      <w:tr>
        <w:trPr/>
        <w:tc>
          <w:tcPr>
            <w:tcW w:w="507"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45.1.3</w:t>
            </w:r>
          </w:p>
        </w:tc>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JVCo nor ARM shall have the authority to bind or obligate the other and nor shall it represent that it has such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46.</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stated in this Agreement and Section 13.03 of the Investment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8"/>
        <w:gridCol w:w="9040"/>
      </w:tblGrid>
      <w:tr>
        <w:trPr/>
        <w:tc>
          <w:tcPr>
            <w:tcW w:w="507" w:type="dxa"/>
            <w:tcBorders/>
            <w:vAlign w:val="center"/>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46.1.1</w:t>
            </w:r>
          </w:p>
        </w:tc>
        <w:tc>
          <w:tcPr>
            <w:tcW w:w="904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shall pay all costs and expenses incurred by ARM and members of the ARM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58"/>
        <w:gridCol w:w="9040"/>
      </w:tblGrid>
      <w:tr>
        <w:trPr/>
        <w:tc>
          <w:tcPr>
            <w:tcW w:w="507" w:type="dxa"/>
            <w:tcBorders/>
            <w:vAlign w:val="center"/>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46.1.2</w:t>
            </w:r>
          </w:p>
        </w:tc>
        <w:tc>
          <w:tcPr>
            <w:tcW w:w="904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JVCo shall pay all costs and expenses incurred by it and members of the JVCo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relation to the negotiation, preparation, execution and carrying into effect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COUNTERPARTS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47.1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be executed in any number of counterparts, and by the Parties to it on separate counterparts, but shall not be effective until each Party has executed at least one counterpart.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counterpart shall constitute an original of this Agreement, but all the counterparts shall together constitute but one and the same instrument.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48.</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ENTIRE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and the other Transaction Documents, together with all Schedules hereto and thereto, constitute the whole and only agreement between the Parties relating to the subject matter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the case of fraud, each Party acknowledges that in entering into this Agreement it is not relying upon any pre-contractual statement which is not expressly repeated in this Agreement and the other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the case of fraud, no Party shall have any right of action against any other Party arising out of or in connection with any pre-contractual statement except to the extent that it is expressly repeated in this Agreement and the other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Clause 48, pre-contractual statement means any draft, agreement, undertaking, representation, warranty, promise, assurance or arrangement of any nature whatsoever, whether or not in writing, relating to the subject matter of this Agreement made or given by any person at any time prior to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only be varied in writing signed by each of the 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INVALIDITY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any provision of this Agreement is or becomes illegal, invalid or unenforceable in any respect under the law of any jurisdiction that shall not affect or impair: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49.1.1</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legality, validity or enforceability in that jurisdiction of any other provision of this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47"/>
        <w:gridCol w:w="9052"/>
      </w:tblGrid>
      <w:tr>
        <w:trPr/>
        <w:tc>
          <w:tcPr>
            <w:tcW w:w="506"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49.1.2</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legality, validity or enforceability under the law of any other jurisdiction of that or any other provision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such case,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FURTHER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shall, at the written request of another Party, execute all documents and do all such acts and things as may be reasonably necessary to give full effect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shall, at the request of the other Party, provide such information and execute such documents as are reasonably necessary for registration of the licenses granted under this Agreement with the intellectual property offices and/or any other relevant authorities in any country of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Party shall pay any reasonable and properly incurred expenses of any other Party in complying with its obligations under Clauses 50.1 and 50.2.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50.4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JVCo shall: (i) within [***] days of the date of this Agreement, register this Agreement as a technology import contract with the relevant local counterpart of the Ministry of Commerce of the Peoples Republic of China (</w:t>
            </w:r>
            <w:r>
              <w:rPr>
                <w:rFonts w:ascii="Times New Roman" w:hAnsi="Times New Roman"/>
                <w:b/>
                <w:sz w:val="20"/>
              </w:rPr>
              <w:t>MOFCOM</w:t>
            </w:r>
            <w:r>
              <w:rPr>
                <w:rFonts w:ascii="Times New Roman" w:hAnsi="Times New Roman"/>
                <w:sz w:val="20"/>
              </w:rPr>
              <w:t>) under the PRC Regulations on the Administration of the Import and Export of Technologies, and shall deliver to ARM a copy of the technology import certificate issued by MOFCOM (</w:t>
            </w:r>
            <w:r>
              <w:rPr>
                <w:rFonts w:ascii="Times New Roman" w:hAnsi="Times New Roman"/>
                <w:b/>
                <w:sz w:val="20"/>
              </w:rPr>
              <w:t>Technology Import Certificate</w:t>
            </w:r>
            <w:r>
              <w:rPr>
                <w:rFonts w:ascii="Times New Roman" w:hAnsi="Times New Roman"/>
                <w:sz w:val="20"/>
              </w:rPr>
              <w:t xml:space="preserve">); and (ii) promptly make any and all other filings and registrations and take such other actions as may be required to enable JVCo to effect payment of any sums due to ARM under this Agreement, including, but not limited to, filing addenda to this Agreement with MOFCOM in order to obtain any updated Technology Import Certificate required to make such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THIRD PARTY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expressly stated in this Agreement, the Parties do not intend that any term of this Agreement should be enforceable by any person who is not a party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Clause 40.11, this Agreement is to be governed by and construed in accordance with English law. Any dispute arising out of or in connection with this Agreement, whether contractual or non-contractual, is to be governed by and determined in accordance with English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w:t>
      </w:r>
      <w:r>
        <w:rPr>
          <w:rFonts w:ascii="Times New Roman" w:hAnsi="Times New Roman"/>
          <w:sz w:val="20"/>
        </w:rPr>
        <w:t xml:space="preserve"> of which this Agreement has been entered into on the date first written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6"/>
        <w:gridCol w:w="121"/>
        <w:gridCol w:w="116"/>
        <w:gridCol w:w="121"/>
        <w:gridCol w:w="4641"/>
      </w:tblGrid>
      <w:tr>
        <w:trPr/>
        <w:tc>
          <w:tcPr>
            <w:tcW w:w="52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41" w:type="dxa"/>
            <w:tcBorders/>
            <w:vAlign w:val="center"/>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pPr>
            <w:r>
              <w:rPr/>
              <w:t>Signed by         Graham Budd</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pPr>
            <w:r>
              <w:rPr/>
              <w:t xml:space="preserve">for and on behalf of </w:t>
            </w:r>
            <w:r>
              <w:rPr>
                <w:b/>
              </w:rPr>
              <w:t>ARM LIMITED</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Graham Budd</w:t>
            </w:r>
          </w:p>
        </w:tc>
      </w:tr>
      <w:tr>
        <w:trPr/>
        <w:tc>
          <w:tcPr>
            <w:tcW w:w="52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bidi w:val="0"/>
              <w:spacing w:before="0" w:after="283"/>
              <w:jc w:val="left"/>
              <w:rPr>
                <w:sz w:val="4"/>
                <w:szCs w:val="4"/>
              </w:rPr>
            </w:pPr>
            <w:r>
              <w:rPr>
                <w:sz w:val="4"/>
                <w:szCs w:val="4"/>
              </w:rPr>
            </w:r>
          </w:p>
        </w:tc>
      </w:tr>
      <w:tr>
        <w:trPr>
          <w:trHeight w:val="195" w:hRule="atLeast"/>
        </w:trPr>
        <w:tc>
          <w:tcPr>
            <w:tcW w:w="5206" w:type="dxa"/>
            <w:tcBorders/>
            <w:vAlign w:val="center"/>
          </w:tcPr>
          <w:p>
            <w:pPr>
              <w:pStyle w:val="TableContents"/>
              <w:bidi w:val="0"/>
              <w:spacing w:before="0" w:after="283"/>
              <w:jc w:val="left"/>
              <w:rPr>
                <w:sz w:val="4"/>
                <w:szCs w:val="4"/>
              </w:rPr>
            </w:pPr>
            <w:r>
              <w:rPr>
                <w:sz w:val="4"/>
                <w:szCs w:val="4"/>
              </w:rPr>
            </w:r>
          </w:p>
        </w:tc>
        <w:tc>
          <w:tcPr>
            <w:tcW w:w="237" w:type="dxa"/>
            <w:gridSpan w:val="2"/>
            <w:tcBorders/>
            <w:vAlign w:val="center"/>
          </w:tcPr>
          <w:p>
            <w:pPr>
              <w:pStyle w:val="TableContents"/>
              <w:bidi w:val="0"/>
              <w:spacing w:before="0" w:after="283"/>
              <w:jc w:val="left"/>
              <w:rPr>
                <w:sz w:val="4"/>
                <w:szCs w:val="4"/>
              </w:rPr>
            </w:pPr>
            <w:r>
              <w:rPr>
                <w:sz w:val="4"/>
                <w:szCs w:val="4"/>
              </w:rPr>
            </w:r>
          </w:p>
        </w:tc>
        <w:tc>
          <w:tcPr>
            <w:tcW w:w="4762" w:type="dxa"/>
            <w:gridSpan w:val="2"/>
            <w:tcBorders/>
            <w:vAlign w:val="center"/>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pPr>
            <w:r>
              <w:rPr/>
              <w:t>Signed by</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pPr>
            <w:r>
              <w:rPr/>
              <w:t>for and on behalf of</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b/>
              </w:rPr>
            </w:pPr>
            <w:r>
              <w:rPr>
                <w:b/>
              </w:rPr>
              <w:t>ARM TECHNOLOGY (CHINA) CO. LTD</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pPr>
            <w:r>
              <w:rPr/>
              <w:t>(</w:t>
            </w:r>
            <w:r>
              <w:rPr>
                <w:rFonts w:eastAsia="pmingliu"/>
                <w:sz w:val="18"/>
              </w:rPr>
              <w:t>安谋科技（中国）有限公司</w:t>
            </w:r>
            <w:r>
              <w:rPr/>
              <w:t>)</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Allen Wu</w:t>
            </w:r>
          </w:p>
        </w:tc>
      </w:tr>
      <w:tr>
        <w:trPr/>
        <w:tc>
          <w:tcPr>
            <w:tcW w:w="52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64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PRC LICENSEES AS AT THE DATE OF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CALCULATION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240" w:after="0"/>
        <w:jc w:val="center"/>
        <w:rPr>
          <w:rFonts w:ascii="Times New Roman" w:hAnsi="Times New Roman"/>
          <w:b/>
          <w:sz w:val="20"/>
        </w:rPr>
      </w:pPr>
      <w:r>
        <w:rPr>
          <w:rFonts w:ascii="Times New Roman" w:hAnsi="Times New Roman"/>
          <w:b/>
          <w:sz w:val="20"/>
        </w:rPr>
        <w:t xml:space="preserve">PRO FORMA PAYMENT REPORT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240" w:after="0"/>
        <w:jc w:val="center"/>
        <w:rPr>
          <w:rFonts w:ascii="Times New Roman" w:hAnsi="Times New Roman"/>
          <w:b/>
          <w:sz w:val="20"/>
        </w:rPr>
      </w:pPr>
      <w:r>
        <w:rPr>
          <w:rFonts w:ascii="Times New Roman" w:hAnsi="Times New Roman"/>
          <w:b/>
          <w:sz w:val="20"/>
        </w:rPr>
        <w:t xml:space="preserve">PERMITTED DEVIATIONS AND LICENSING EXCEPTIONS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 </w:t>
      </w:r>
    </w:p>
    <w:p>
      <w:pPr>
        <w:pStyle w:val="TextBody"/>
        <w:bidi w:val="0"/>
        <w:spacing w:before="240" w:after="0"/>
        <w:jc w:val="center"/>
        <w:rPr>
          <w:rFonts w:ascii="Times New Roman" w:hAnsi="Times New Roman"/>
          <w:b/>
          <w:sz w:val="20"/>
        </w:rPr>
      </w:pPr>
      <w:r>
        <w:rPr>
          <w:rFonts w:ascii="Times New Roman" w:hAnsi="Times New Roman"/>
          <w:b/>
          <w:sz w:val="20"/>
        </w:rPr>
        <w:t xml:space="preserve">EXAMPLE PRODUCT LIFECYCLE MANAGEMENT REQUIREMENTS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p>
    <w:p>
      <w:pPr>
        <w:pStyle w:val="TextBody"/>
        <w:bidi w:val="0"/>
        <w:spacing w:before="0" w:after="0"/>
        <w:jc w:val="right"/>
        <w:rPr>
          <w:rFonts w:ascii="Times New Roman" w:hAnsi="Times New Roman"/>
          <w:b/>
          <w:sz w:val="20"/>
        </w:rPr>
      </w:pPr>
      <w:bookmarkStart w:id="51" w:name="d393891dex211.htm"/>
      <w:bookmarkStart w:id="52" w:name="ksd393891dex211"/>
      <w:bookmarkEnd w:id="51"/>
      <w:bookmarkEnd w:id="52"/>
      <w:r>
        <w:rPr>
          <w:rFonts w:ascii="Times New Roman" w:hAnsi="Times New Roman"/>
          <w:b/>
          <w:sz w:val="20"/>
        </w:rPr>
        <w:t xml:space="preserve">Exhibit 21.1 </w:t>
      </w:r>
      <w:r>
        <w:br w:type="page"/>
      </w:r>
    </w:p>
    <w:p>
      <w:pPr>
        <w:pStyle w:val="TextBody"/>
        <w:bidi w:val="0"/>
        <w:spacing w:before="360" w:after="0"/>
        <w:jc w:val="center"/>
        <w:rPr>
          <w:rFonts w:ascii="Times New Roman" w:hAnsi="Times New Roman"/>
          <w:b/>
          <w:sz w:val="20"/>
        </w:rPr>
      </w:pPr>
      <w:r>
        <w:rPr>
          <w:rFonts w:ascii="Times New Roman" w:hAnsi="Times New Roman"/>
          <w:b/>
          <w:sz w:val="20"/>
        </w:rPr>
        <w:t xml:space="preserve">Subsidiaries of Arm Limited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71"/>
        <w:gridCol w:w="343"/>
        <w:gridCol w:w="3858"/>
      </w:tblGrid>
      <w:tr>
        <w:trPr/>
        <w:tc>
          <w:tcPr>
            <w:tcW w:w="4371"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437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Subsidiary</w:t>
            </w:r>
          </w:p>
        </w:tc>
        <w:tc>
          <w:tcPr>
            <w:tcW w:w="343" w:type="dxa"/>
            <w:tcBorders/>
            <w:vAlign w:val="bottom"/>
          </w:tcPr>
          <w:p>
            <w:pPr>
              <w:pStyle w:val="TableContents"/>
              <w:bidi w:val="0"/>
              <w:spacing w:before="0" w:after="283"/>
              <w:jc w:val="left"/>
              <w:rPr/>
            </w:pPr>
            <w:r>
              <w:rPr/>
              <w:t>    </w:t>
            </w:r>
          </w:p>
        </w:tc>
        <w:tc>
          <w:tcPr>
            <w:tcW w:w="38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Jurisdiction of Incorporation</w:t>
            </w:r>
          </w:p>
        </w:tc>
      </w:tr>
      <w:tr>
        <w:trPr/>
        <w:tc>
          <w:tcPr>
            <w:tcW w:w="4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Arm Embedded Technologies Private Limited</w:t>
            </w:r>
          </w:p>
        </w:tc>
        <w:tc>
          <w:tcPr>
            <w:tcW w:w="343" w:type="dxa"/>
            <w:tcBorders/>
            <w:shd w:fill="CCEEFF" w:val="clear"/>
            <w:vAlign w:val="bottom"/>
          </w:tcPr>
          <w:p>
            <w:pPr>
              <w:pStyle w:val="TableContents"/>
              <w:bidi w:val="0"/>
              <w:spacing w:before="0" w:after="283"/>
              <w:jc w:val="left"/>
              <w:rPr/>
            </w:pPr>
            <w:r>
              <w:rPr/>
              <w:t>    </w:t>
            </w:r>
          </w:p>
        </w:tc>
        <w:tc>
          <w:tcPr>
            <w:tcW w:w="38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India</w:t>
            </w:r>
          </w:p>
        </w:tc>
      </w:tr>
      <w:tr>
        <w:trPr/>
        <w:tc>
          <w:tcPr>
            <w:tcW w:w="4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Arm France SAS</w:t>
            </w:r>
          </w:p>
        </w:tc>
        <w:tc>
          <w:tcPr>
            <w:tcW w:w="343" w:type="dxa"/>
            <w:tcBorders/>
            <w:vAlign w:val="bottom"/>
          </w:tcPr>
          <w:p>
            <w:pPr>
              <w:pStyle w:val="TableContents"/>
              <w:bidi w:val="0"/>
              <w:spacing w:before="0" w:after="283"/>
              <w:jc w:val="left"/>
              <w:rPr/>
            </w:pPr>
            <w:r>
              <w:rPr/>
              <w:t>    </w:t>
            </w:r>
          </w:p>
        </w:tc>
        <w:tc>
          <w:tcPr>
            <w:tcW w:w="38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France</w:t>
            </w:r>
          </w:p>
        </w:tc>
      </w:tr>
      <w:tr>
        <w:trPr/>
        <w:tc>
          <w:tcPr>
            <w:tcW w:w="4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Arm, Inc.</w:t>
            </w:r>
          </w:p>
        </w:tc>
        <w:tc>
          <w:tcPr>
            <w:tcW w:w="343" w:type="dxa"/>
            <w:tcBorders/>
            <w:shd w:fill="CCEEFF" w:val="clear"/>
            <w:vAlign w:val="bottom"/>
          </w:tcPr>
          <w:p>
            <w:pPr>
              <w:pStyle w:val="TableContents"/>
              <w:bidi w:val="0"/>
              <w:spacing w:before="0" w:after="283"/>
              <w:jc w:val="left"/>
              <w:rPr/>
            </w:pPr>
            <w:r>
              <w:rPr/>
              <w:t>    </w:t>
            </w:r>
          </w:p>
        </w:tc>
        <w:tc>
          <w:tcPr>
            <w:tcW w:w="38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bl>
    <w:p>
      <w:pPr>
        <w:pStyle w:val="TextBody"/>
        <w:bidi w:val="0"/>
        <w:spacing w:before="0" w:after="0"/>
        <w:jc w:val="right"/>
        <w:rPr>
          <w:rFonts w:ascii="Times New Roman" w:hAnsi="Times New Roman"/>
          <w:b/>
          <w:sz w:val="20"/>
        </w:rPr>
      </w:pPr>
      <w:bookmarkStart w:id="53" w:name="d393891dex231.htm"/>
      <w:bookmarkStart w:id="54" w:name="ksd393891dex231"/>
      <w:bookmarkEnd w:id="53"/>
      <w:bookmarkEnd w:id="54"/>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on Form F-1 of our report dated July 31, 2023, relating to the financial statements of Arm Limited.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240" w:after="0"/>
        <w:jc w:val="left"/>
        <w:rPr>
          <w:rFonts w:ascii="Times New Roman" w:hAnsi="Times New Roman"/>
          <w:sz w:val="20"/>
        </w:rPr>
      </w:pPr>
      <w:r>
        <w:rPr>
          <w:rFonts w:ascii="Times New Roman" w:hAnsi="Times New Roman"/>
          <w:sz w:val="20"/>
        </w:rPr>
        <w:t xml:space="preserve">August 21, 2023 </w:t>
      </w:r>
    </w:p>
    <w:p>
      <w:pPr>
        <w:pStyle w:val="TextBody"/>
        <w:bidi w:val="0"/>
        <w:spacing w:before="0" w:after="0"/>
        <w:jc w:val="right"/>
        <w:rPr>
          <w:rFonts w:ascii="Times New Roman" w:hAnsi="Times New Roman"/>
          <w:b/>
          <w:sz w:val="20"/>
        </w:rPr>
      </w:pPr>
      <w:bookmarkStart w:id="55" w:name="d393891dexfilingfees.htm"/>
      <w:bookmarkStart w:id="56" w:name="ksd393891dexfilingfees"/>
      <w:bookmarkEnd w:id="55"/>
      <w:bookmarkEnd w:id="56"/>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sz w:val="20"/>
        </w:rPr>
      </w:pPr>
      <w:r>
        <w:rPr>
          <w:rFonts w:ascii="Times New Roman" w:hAnsi="Times New Roman"/>
          <w:sz w:val="20"/>
        </w:rPr>
        <w:t xml:space="preserve">Form F-1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Arm Holdings Limited(1)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and Carry Forward Securities </w:t>
      </w:r>
    </w:p>
    <w:p>
      <w:pPr>
        <w:pStyle w:val="TextBody"/>
        <w:bidi w:val="0"/>
        <w:spacing w:before="0" w:after="0"/>
        <w:jc w:val="left"/>
        <w:rPr/>
      </w:pPr>
      <w:r>
        <w:rPr/>
        <w:t> </w:t>
      </w:r>
    </w:p>
    <w:tbl>
      <w:tblPr>
        <w:tblW w:w="10200" w:type="dxa"/>
        <w:jc w:val="left"/>
        <w:tblInd w:w="0" w:type="dxa"/>
        <w:tblLayout w:type="fixed"/>
        <w:tblCellMar>
          <w:top w:w="0" w:type="dxa"/>
          <w:left w:w="0" w:type="dxa"/>
          <w:bottom w:w="0" w:type="dxa"/>
          <w:right w:w="0" w:type="dxa"/>
        </w:tblCellMar>
      </w:tblPr>
      <w:tblGrid>
        <w:gridCol w:w="380"/>
        <w:gridCol w:w="120"/>
        <w:gridCol w:w="710"/>
        <w:gridCol w:w="120"/>
        <w:gridCol w:w="1565"/>
        <w:gridCol w:w="60"/>
        <w:gridCol w:w="1025"/>
        <w:gridCol w:w="120"/>
        <w:gridCol w:w="785"/>
        <w:gridCol w:w="120"/>
        <w:gridCol w:w="695"/>
        <w:gridCol w:w="120"/>
        <w:gridCol w:w="1700"/>
        <w:gridCol w:w="120"/>
        <w:gridCol w:w="1040"/>
        <w:gridCol w:w="120"/>
        <w:gridCol w:w="1400"/>
      </w:tblGrid>
      <w:tr>
        <w:trPr/>
        <w:tc>
          <w:tcPr>
            <w:tcW w:w="3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8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Security  </w:t>
            </w:r>
          </w:p>
          <w:p>
            <w:pPr>
              <w:pStyle w:val="TableContents"/>
              <w:bidi w:val="0"/>
              <w:spacing w:before="0" w:after="20"/>
              <w:jc w:val="center"/>
              <w:rPr>
                <w:rFonts w:ascii="Times New Roman" w:hAnsi="Times New Roman"/>
                <w:sz w:val="14"/>
              </w:rPr>
            </w:pPr>
            <w:r>
              <w:rPr>
                <w:rFonts w:ascii="Times New Roman" w:hAnsi="Times New Roman"/>
                <w:sz w:val="14"/>
              </w:rPr>
              <w:t>Type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Security  </w:t>
            </w:r>
          </w:p>
          <w:p>
            <w:pPr>
              <w:pStyle w:val="TableContents"/>
              <w:bidi w:val="0"/>
              <w:spacing w:before="0" w:after="0"/>
              <w:jc w:val="center"/>
              <w:rPr>
                <w:rFonts w:ascii="Times New Roman" w:hAnsi="Times New Roman"/>
                <w:sz w:val="14"/>
              </w:rPr>
            </w:pPr>
            <w:r>
              <w:rPr>
                <w:rFonts w:ascii="Times New Roman" w:hAnsi="Times New Roman"/>
                <w:sz w:val="14"/>
              </w:rPr>
              <w:t>Class  </w:t>
            </w:r>
          </w:p>
          <w:p>
            <w:pPr>
              <w:pStyle w:val="TableContents"/>
              <w:bidi w:val="0"/>
              <w:spacing w:before="0" w:after="20"/>
              <w:jc w:val="center"/>
              <w:rPr>
                <w:rFonts w:ascii="Times New Roman" w:hAnsi="Times New Roman"/>
                <w:sz w:val="14"/>
              </w:rPr>
            </w:pPr>
            <w:r>
              <w:rPr>
                <w:rFonts w:ascii="Times New Roman" w:hAnsi="Times New Roman"/>
                <w:sz w:val="14"/>
              </w:rPr>
              <w:t>Title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Fee  </w:t>
            </w:r>
          </w:p>
          <w:p>
            <w:pPr>
              <w:pStyle w:val="TableContents"/>
              <w:bidi w:val="0"/>
              <w:spacing w:before="0" w:after="0"/>
              <w:jc w:val="center"/>
              <w:rPr>
                <w:rFonts w:ascii="Times New Roman" w:hAnsi="Times New Roman"/>
                <w:sz w:val="14"/>
              </w:rPr>
            </w:pPr>
            <w:r>
              <w:rPr>
                <w:rFonts w:ascii="Times New Roman" w:hAnsi="Times New Roman"/>
                <w:sz w:val="14"/>
              </w:rPr>
              <w:t>Calculation  </w:t>
            </w:r>
          </w:p>
          <w:p>
            <w:pPr>
              <w:pStyle w:val="TableContents"/>
              <w:bidi w:val="0"/>
              <w:spacing w:before="0" w:after="0"/>
              <w:jc w:val="center"/>
              <w:rPr>
                <w:rFonts w:ascii="Times New Roman" w:hAnsi="Times New Roman"/>
                <w:sz w:val="14"/>
              </w:rPr>
            </w:pPr>
            <w:r>
              <w:rPr>
                <w:rFonts w:ascii="Times New Roman" w:hAnsi="Times New Roman"/>
                <w:sz w:val="14"/>
              </w:rPr>
              <w:t>or Carry  </w:t>
            </w:r>
          </w:p>
          <w:p>
            <w:pPr>
              <w:pStyle w:val="TableContents"/>
              <w:bidi w:val="0"/>
              <w:spacing w:before="0" w:after="0"/>
              <w:jc w:val="center"/>
              <w:rPr>
                <w:rFonts w:ascii="Times New Roman" w:hAnsi="Times New Roman"/>
                <w:sz w:val="14"/>
              </w:rPr>
            </w:pPr>
            <w:r>
              <w:rPr>
                <w:rFonts w:ascii="Times New Roman" w:hAnsi="Times New Roman"/>
                <w:sz w:val="14"/>
              </w:rPr>
              <w:t>Forward  </w:t>
            </w:r>
          </w:p>
          <w:p>
            <w:pPr>
              <w:pStyle w:val="TableContents"/>
              <w:bidi w:val="0"/>
              <w:spacing w:before="0" w:after="20"/>
              <w:jc w:val="center"/>
              <w:rPr>
                <w:rFonts w:ascii="Times New Roman" w:hAnsi="Times New Roman"/>
                <w:sz w:val="14"/>
              </w:rPr>
            </w:pPr>
            <w:r>
              <w:rPr>
                <w:rFonts w:ascii="Times New Roman" w:hAnsi="Times New Roman"/>
                <w:sz w:val="14"/>
              </w:rPr>
              <w:t>Rule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Amount     </w:t>
            </w:r>
          </w:p>
          <w:p>
            <w:pPr>
              <w:pStyle w:val="TableContents"/>
              <w:bidi w:val="0"/>
              <w:spacing w:before="0" w:after="20"/>
              <w:jc w:val="center"/>
              <w:rPr>
                <w:rFonts w:ascii="Times New Roman" w:hAnsi="Times New Roman"/>
                <w:sz w:val="14"/>
              </w:rPr>
            </w:pPr>
            <w:r>
              <w:rPr>
                <w:rFonts w:ascii="Times New Roman" w:hAnsi="Times New Roman"/>
                <w:sz w:val="14"/>
              </w:rPr>
              <w:t>Registered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Proposed   </w:t>
            </w:r>
          </w:p>
          <w:p>
            <w:pPr>
              <w:pStyle w:val="TableContents"/>
              <w:bidi w:val="0"/>
              <w:spacing w:before="0" w:after="0"/>
              <w:jc w:val="center"/>
              <w:rPr>
                <w:rFonts w:ascii="Times New Roman" w:hAnsi="Times New Roman"/>
                <w:sz w:val="14"/>
              </w:rPr>
            </w:pPr>
            <w:r>
              <w:rPr>
                <w:rFonts w:ascii="Times New Roman" w:hAnsi="Times New Roman"/>
                <w:sz w:val="14"/>
              </w:rPr>
              <w:t>Maximum   </w:t>
            </w:r>
          </w:p>
          <w:p>
            <w:pPr>
              <w:pStyle w:val="TableContents"/>
              <w:bidi w:val="0"/>
              <w:spacing w:before="0" w:after="0"/>
              <w:jc w:val="center"/>
              <w:rPr>
                <w:rFonts w:ascii="Times New Roman" w:hAnsi="Times New Roman"/>
                <w:sz w:val="14"/>
              </w:rPr>
            </w:pPr>
            <w:r>
              <w:rPr>
                <w:rFonts w:ascii="Times New Roman" w:hAnsi="Times New Roman"/>
                <w:sz w:val="14"/>
              </w:rPr>
              <w:t>Offering   </w:t>
            </w:r>
          </w:p>
          <w:p>
            <w:pPr>
              <w:pStyle w:val="TableContents"/>
              <w:bidi w:val="0"/>
              <w:spacing w:before="0" w:after="0"/>
              <w:jc w:val="center"/>
              <w:rPr>
                <w:rFonts w:ascii="Times New Roman" w:hAnsi="Times New Roman"/>
                <w:sz w:val="14"/>
              </w:rPr>
            </w:pPr>
            <w:r>
              <w:rPr>
                <w:rFonts w:ascii="Times New Roman" w:hAnsi="Times New Roman"/>
                <w:sz w:val="14"/>
              </w:rPr>
              <w:t>Price Per   </w:t>
            </w:r>
          </w:p>
          <w:p>
            <w:pPr>
              <w:pStyle w:val="TableContents"/>
              <w:bidi w:val="0"/>
              <w:spacing w:before="0" w:after="20"/>
              <w:jc w:val="center"/>
              <w:rPr>
                <w:rFonts w:ascii="Times New Roman" w:hAnsi="Times New Roman"/>
                <w:sz w:val="14"/>
              </w:rPr>
            </w:pPr>
            <w:r>
              <w:rPr>
                <w:rFonts w:ascii="Times New Roman" w:hAnsi="Times New Roman"/>
                <w:sz w:val="14"/>
              </w:rPr>
              <w:t>Unit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0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Maximum  </w:t>
            </w:r>
          </w:p>
          <w:p>
            <w:pPr>
              <w:pStyle w:val="TableContents"/>
              <w:bidi w:val="0"/>
              <w:spacing w:before="0" w:after="0"/>
              <w:jc w:val="center"/>
              <w:rPr>
                <w:rFonts w:ascii="Times New Roman" w:hAnsi="Times New Roman"/>
                <w:sz w:val="14"/>
              </w:rPr>
            </w:pPr>
            <w:r>
              <w:rPr>
                <w:rFonts w:ascii="Times New Roman" w:hAnsi="Times New Roman"/>
                <w:sz w:val="14"/>
              </w:rPr>
              <w:t>Aggregate  </w:t>
            </w:r>
          </w:p>
          <w:p>
            <w:pPr>
              <w:pStyle w:val="TableContents"/>
              <w:bidi w:val="0"/>
              <w:spacing w:before="0" w:after="0"/>
              <w:jc w:val="center"/>
              <w:rPr>
                <w:rFonts w:ascii="Times New Roman" w:hAnsi="Times New Roman"/>
                <w:sz w:val="14"/>
              </w:rPr>
            </w:pPr>
            <w:r>
              <w:rPr>
                <w:rFonts w:ascii="Times New Roman" w:hAnsi="Times New Roman"/>
                <w:sz w:val="14"/>
              </w:rPr>
              <w:t>Offering  </w:t>
            </w:r>
          </w:p>
          <w:p>
            <w:pPr>
              <w:pStyle w:val="TableContents"/>
              <w:bidi w:val="0"/>
              <w:spacing w:before="0" w:after="20"/>
              <w:jc w:val="center"/>
              <w:rPr>
                <w:rFonts w:ascii="Times New Roman" w:hAnsi="Times New Roman"/>
                <w:sz w:val="14"/>
              </w:rPr>
            </w:pPr>
            <w:r>
              <w:rPr>
                <w:rFonts w:ascii="Times New Roman" w:hAnsi="Times New Roman"/>
                <w:sz w:val="14"/>
              </w:rPr>
              <w:t>Price(2)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Fee  </w:t>
            </w:r>
          </w:p>
          <w:p>
            <w:pPr>
              <w:pStyle w:val="TableContents"/>
              <w:bidi w:val="0"/>
              <w:spacing w:before="0" w:after="20"/>
              <w:jc w:val="center"/>
              <w:rPr>
                <w:rFonts w:ascii="Times New Roman" w:hAnsi="Times New Roman"/>
                <w:sz w:val="14"/>
              </w:rPr>
            </w:pPr>
            <w:r>
              <w:rPr>
                <w:rFonts w:ascii="Times New Roman" w:hAnsi="Times New Roman"/>
                <w:sz w:val="14"/>
              </w:rPr>
              <w:t>Rate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Amount of    </w:t>
              <w:br/>
              <w:t>Registration    </w:t>
              <w:br/>
              <w:t>Fee     </w:t>
            </w:r>
          </w:p>
        </w:tc>
      </w:tr>
      <w:tr>
        <w:trPr>
          <w:trHeight w:val="15" w:hRule="atLeast"/>
        </w:trPr>
        <w:tc>
          <w:tcPr>
            <w:tcW w:w="10200" w:type="dxa"/>
            <w:gridSpan w:val="17"/>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0" w:type="dxa"/>
            <w:gridSpan w:val="17"/>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pPr>
            <w:r>
              <w:rPr/>
              <w:t>Newly Registered Securities</w:t>
            </w:r>
          </w:p>
        </w:tc>
      </w:tr>
      <w:tr>
        <w:trPr/>
        <w:tc>
          <w:tcPr>
            <w:tcW w:w="380"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to Be</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center"/>
              <w:rPr/>
            </w:pPr>
            <w:r>
              <w:rPr/>
              <w:t>Equity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5" w:type="dxa"/>
            <w:tcBorders>
              <w:bottom w:val="single" w:sz="2" w:space="0" w:color="000000"/>
            </w:tcBorders>
            <w:tcMar>
              <w:bottom w:w="28" w:type="dxa"/>
            </w:tcMar>
            <w:vAlign w:val="center"/>
          </w:tcPr>
          <w:p>
            <w:pPr>
              <w:pStyle w:val="TableContents"/>
              <w:bidi w:val="0"/>
              <w:jc w:val="center"/>
              <w:rPr/>
            </w:pPr>
            <w:r>
              <w:rPr/>
              <w:t>Ordinary Shares,  </w:t>
            </w:r>
          </w:p>
          <w:p>
            <w:pPr>
              <w:pStyle w:val="TableContents"/>
              <w:bidi w:val="0"/>
              <w:spacing w:before="0" w:after="0"/>
              <w:jc w:val="center"/>
              <w:rPr>
                <w:rFonts w:ascii="Times New Roman" w:hAnsi="Times New Roman"/>
                <w:sz w:val="20"/>
              </w:rPr>
            </w:pPr>
            <w:r>
              <w:rPr>
                <w:rFonts w:ascii="Times New Roman" w:hAnsi="Times New Roman"/>
                <w:sz w:val="20"/>
              </w:rPr>
              <w:t>nominal value  </w:t>
            </w:r>
          </w:p>
          <w:p>
            <w:pPr>
              <w:pStyle w:val="TableContents"/>
              <w:bidi w:val="0"/>
              <w:spacing w:before="0" w:after="0"/>
              <w:jc w:val="center"/>
              <w:rPr>
                <w:rFonts w:ascii="Times New Roman" w:hAnsi="Times New Roman"/>
                <w:sz w:val="20"/>
              </w:rPr>
            </w:pPr>
            <w:r>
              <w:rPr>
                <w:rFonts w:ascii="Times New Roman" w:hAnsi="Times New Roman"/>
                <w:sz w:val="20"/>
              </w:rPr>
              <w:t>£0.001 per share,  </w:t>
            </w:r>
          </w:p>
          <w:p>
            <w:pPr>
              <w:pStyle w:val="TableContents"/>
              <w:bidi w:val="0"/>
              <w:spacing w:before="0" w:after="0"/>
              <w:jc w:val="center"/>
              <w:rPr>
                <w:rFonts w:ascii="Times New Roman" w:hAnsi="Times New Roman"/>
                <w:sz w:val="20"/>
              </w:rPr>
            </w:pPr>
            <w:r>
              <w:rPr>
                <w:rFonts w:ascii="Times New Roman" w:hAnsi="Times New Roman"/>
                <w:sz w:val="20"/>
              </w:rPr>
              <w:t>represented by  </w:t>
            </w:r>
          </w:p>
          <w:p>
            <w:pPr>
              <w:pStyle w:val="TableContents"/>
              <w:bidi w:val="0"/>
              <w:spacing w:before="0" w:after="0"/>
              <w:jc w:val="center"/>
              <w:rPr>
                <w:rFonts w:ascii="Times New Roman" w:hAnsi="Times New Roman"/>
                <w:sz w:val="20"/>
              </w:rPr>
            </w:pPr>
            <w:r>
              <w:rPr>
                <w:rFonts w:ascii="Times New Roman" w:hAnsi="Times New Roman"/>
                <w:sz w:val="20"/>
              </w:rPr>
              <w:t>American  </w:t>
            </w:r>
          </w:p>
          <w:p>
            <w:pPr>
              <w:pStyle w:val="TableContents"/>
              <w:bidi w:val="0"/>
              <w:spacing w:before="0" w:after="0"/>
              <w:jc w:val="center"/>
              <w:rPr>
                <w:rFonts w:ascii="Times New Roman" w:hAnsi="Times New Roman"/>
                <w:sz w:val="20"/>
              </w:rPr>
            </w:pPr>
            <w:r>
              <w:rPr>
                <w:rFonts w:ascii="Times New Roman" w:hAnsi="Times New Roman"/>
                <w:sz w:val="20"/>
              </w:rPr>
              <w:t>depositary  </w:t>
            </w:r>
          </w:p>
          <w:p>
            <w:pPr>
              <w:pStyle w:val="TableContents"/>
              <w:bidi w:val="0"/>
              <w:spacing w:before="0" w:after="20"/>
              <w:jc w:val="center"/>
              <w:rPr>
                <w:rFonts w:ascii="Times New Roman" w:hAnsi="Times New Roman"/>
                <w:sz w:val="20"/>
              </w:rPr>
            </w:pPr>
            <w:r>
              <w:rPr>
                <w:rFonts w:ascii="Times New Roman" w:hAnsi="Times New Roman"/>
                <w:sz w:val="20"/>
              </w:rPr>
              <w:t>shares(3)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5" w:type="dxa"/>
            <w:tcBorders>
              <w:bottom w:val="single" w:sz="2" w:space="0" w:color="000000"/>
            </w:tcBorders>
            <w:tcMar>
              <w:bottom w:w="28" w:type="dxa"/>
            </w:tcMar>
            <w:vAlign w:val="center"/>
          </w:tcPr>
          <w:p>
            <w:pPr>
              <w:pStyle w:val="TableContents"/>
              <w:bidi w:val="0"/>
              <w:spacing w:before="0" w:after="283"/>
              <w:jc w:val="center"/>
              <w:rPr/>
            </w:pPr>
            <w:r>
              <w:rPr/>
              <w:t> </w:t>
            </w:r>
            <w:r>
              <w:rPr/>
              <w:t>Rule 457(o)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00" w:type="dxa"/>
            <w:tcBorders>
              <w:bottom w:val="single" w:sz="2" w:space="0" w:color="000000"/>
            </w:tcBorders>
            <w:tcMar>
              <w:bottom w:w="28" w:type="dxa"/>
            </w:tcMar>
            <w:vAlign w:val="center"/>
          </w:tcPr>
          <w:p>
            <w:pPr>
              <w:pStyle w:val="TableContents"/>
              <w:bidi w:val="0"/>
              <w:spacing w:before="0" w:after="283"/>
              <w:jc w:val="center"/>
              <w:rPr/>
            </w:pPr>
            <w:r>
              <w:rPr/>
              <w:t>$100,000,000.00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tcBorders>
            <w:tcMar>
              <w:bottom w:w="28" w:type="dxa"/>
            </w:tcMar>
            <w:vAlign w:val="center"/>
          </w:tcPr>
          <w:p>
            <w:pPr>
              <w:pStyle w:val="TableContents"/>
              <w:bidi w:val="0"/>
              <w:spacing w:before="0" w:after="283"/>
              <w:jc w:val="center"/>
              <w:rPr/>
            </w:pPr>
            <w:r>
              <w:rPr/>
              <w:t>.00011020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$11,020.00 </w:t>
            </w:r>
          </w:p>
        </w:tc>
      </w:tr>
      <w:tr>
        <w:trPr/>
        <w:tc>
          <w:tcPr>
            <w:tcW w:w="38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385" w:type="dxa"/>
            <w:gridSpan w:val="7"/>
            <w:tcBorders>
              <w:bottom w:val="single" w:sz="2" w:space="0" w:color="000000"/>
            </w:tcBorders>
            <w:tcMar>
              <w:bottom w:w="28" w:type="dxa"/>
            </w:tcMar>
            <w:vAlign w:val="center"/>
          </w:tcPr>
          <w:p>
            <w:pPr>
              <w:pStyle w:val="TableContents"/>
              <w:bidi w:val="0"/>
              <w:spacing w:before="0" w:after="283"/>
              <w:jc w:val="center"/>
              <w:rPr/>
            </w:pPr>
            <w:r>
              <w:rPr/>
              <w:t>Total Offering Amounts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00" w:type="dxa"/>
            <w:tcBorders>
              <w:bottom w:val="single" w:sz="2" w:space="0" w:color="000000"/>
            </w:tcBorders>
            <w:tcMar>
              <w:bottom w:w="28" w:type="dxa"/>
            </w:tcMar>
            <w:vAlign w:val="center"/>
          </w:tcPr>
          <w:p>
            <w:pPr>
              <w:pStyle w:val="TableContents"/>
              <w:bidi w:val="0"/>
              <w:spacing w:before="0" w:after="283"/>
              <w:jc w:val="center"/>
              <w:rPr/>
            </w:pPr>
            <w:r>
              <w:rPr/>
              <w:t>$100,000,000.00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$11,020.00 </w:t>
            </w:r>
          </w:p>
        </w:tc>
      </w:tr>
      <w:tr>
        <w:trPr/>
        <w:tc>
          <w:tcPr>
            <w:tcW w:w="38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385" w:type="dxa"/>
            <w:gridSpan w:val="7"/>
            <w:tcBorders>
              <w:bottom w:val="single" w:sz="2" w:space="0" w:color="000000"/>
            </w:tcBorders>
            <w:tcMar>
              <w:bottom w:w="28" w:type="dxa"/>
            </w:tcMar>
            <w:vAlign w:val="center"/>
          </w:tcPr>
          <w:p>
            <w:pPr>
              <w:pStyle w:val="TableContents"/>
              <w:bidi w:val="0"/>
              <w:spacing w:before="0" w:after="283"/>
              <w:jc w:val="center"/>
              <w:rPr/>
            </w:pPr>
            <w:r>
              <w:rPr/>
              <w:t>Total Fees Previously Paid</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0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   </w:t>
            </w:r>
          </w:p>
        </w:tc>
      </w:tr>
      <w:tr>
        <w:trPr/>
        <w:tc>
          <w:tcPr>
            <w:tcW w:w="38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385" w:type="dxa"/>
            <w:gridSpan w:val="7"/>
            <w:tcBorders>
              <w:bottom w:val="single" w:sz="2" w:space="0" w:color="000000"/>
            </w:tcBorders>
            <w:tcMar>
              <w:bottom w:w="28" w:type="dxa"/>
            </w:tcMar>
            <w:vAlign w:val="center"/>
          </w:tcPr>
          <w:p>
            <w:pPr>
              <w:pStyle w:val="TableContents"/>
              <w:bidi w:val="0"/>
              <w:spacing w:before="0" w:after="283"/>
              <w:jc w:val="center"/>
              <w:rPr/>
            </w:pPr>
            <w:r>
              <w:rPr/>
              <w:t>Total Fee Offsets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0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   </w:t>
            </w:r>
          </w:p>
        </w:tc>
      </w:tr>
      <w:tr>
        <w:trPr/>
        <w:tc>
          <w:tcPr>
            <w:tcW w:w="38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385" w:type="dxa"/>
            <w:gridSpan w:val="7"/>
            <w:tcBorders>
              <w:bottom w:val="single" w:sz="2" w:space="0" w:color="000000"/>
            </w:tcBorders>
            <w:tcMar>
              <w:bottom w:w="28" w:type="dxa"/>
            </w:tcMar>
            <w:vAlign w:val="center"/>
          </w:tcPr>
          <w:p>
            <w:pPr>
              <w:pStyle w:val="TableContents"/>
              <w:bidi w:val="0"/>
              <w:spacing w:before="0" w:after="283"/>
              <w:jc w:val="center"/>
              <w:rPr/>
            </w:pPr>
            <w:r>
              <w:rPr/>
              <w:t>Net Fee Due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0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$11,020.00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 Holdings Limited, a company with limited liability incorporated under the laws of England and Wales, will become the holding company of Arm Limited and will be the Registrant. We intend to alter the legal status of the Registrant under English law from a private limited company by re-registering as a public limited company and changing the name of the Registrant from Arm Holdings Limited to Arm Holdings plc prior to the completion of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in accordance with Rule 457(o) under the Securities Act of 1933, as amended.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depositary shares, or ADSs, issuable upon deposit of the ordinary shares registered hereby will be registered under a separate registration statement on Form F-6 (File No. 333-        ). Each ADS represents one ordinary share.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450</Pages>
  <Words>233825</Words>
  <Characters>1224685</Characters>
  <CharactersWithSpaces>1468042</CharactersWithSpaces>
  <Paragraphs>27821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