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8706.xml.htm"/>
      <w:bookmarkStart w:id="1" w:name="kswkform4_1787088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Bartels Laura Kathleen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12,997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13,816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856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271.43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12,960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6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99,571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 ("RSU") award was granted on May 13, 2024, 28.5% of which vested on May 15, 2025, with quarterly vesting of 6.5% thereafter, subject to continued service to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right to receive, following vesting, 1 Ordinary Share held in the form of an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RSU award was granted on May 1, 2025, 28.5% of which vested on May 15, 2026, with quarterly vesting of 6.5% thereafter, subject to continued service to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Ordinary Shares withheld to satisfy tax withholding requirements on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Laura Kathleen Bartels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104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749</Words>
  <Characters>4001</Characters>
  <CharactersWithSpaces>4637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