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September, 2026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240"/>
        <w:jc w:val="both"/>
        <w:rPr/>
      </w:pPr>
      <w:r>
        <w:rPr>
          <w:rFonts w:ascii="Times New Roman;serif" w:hAnsi="Times New Roman;serif"/>
          <w:b w:val="false"/>
          <w:color w:val="000000"/>
          <w:sz w:val="20"/>
          <w:shd w:fill="FFFFFF" w:val="clear"/>
        </w:rPr>
        <w:t>This report on Form 6-K shall be deemed to b</w:t>
      </w:r>
      <w:r>
        <w:rPr>
          <w:rFonts w:ascii="Times New Roman;serif" w:hAnsi="Times New Roman;serif"/>
          <w:b w:val="false"/>
          <w:color w:val="000000"/>
          <w:sz w:val="20"/>
        </w:rPr>
        <w:t>e incorporated by reference into the registration statements on Form S-8 (File Nos. 333-274544, 333-287614 and 333-295884) of</w:t>
      </w:r>
      <w:r>
        <w:rPr>
          <w:color w:val="000000"/>
          <w:shd w:fill="FFFFFF" w:val="clear"/>
        </w:rPr>
        <w:t xml:space="preserve"> </w:t>
      </w:r>
      <w:r>
        <w:rPr>
          <w:rFonts w:ascii="Times New Roman;serif" w:hAnsi="Times New Roman;serif"/>
          <w:b w:val="false"/>
          <w:color w:val="000000"/>
          <w:sz w:val="20"/>
          <w:shd w:fill="FFFFFF" w:val="clear"/>
        </w:rPr>
        <w:t>Arm Holdings plc (including the prospectus forming a part of each such registration statement) and to be a part thereof from the date of this Form 6-K to the extent not superseded by documents or reports subsequently filed or furnished.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Results of 2026 Annual General Meeting of Arm Holdings plc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10, 2026, Arm Holdings plc (the “Company”) announced the results of its Annual General Meeting held on September 9, 2026 (the “AGM”). Voting at the AGM was conducted by way of a poll. The results of the voting, including the number of votes cast for and against and the number of votes withheld, are available on the Company's website and are set forth in Exhibit 99.1 to this report on Form 6-K.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Exhibit Index included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6238" w:type="dxa"/>
        <w:jc w:val="left"/>
        <w:tblInd w:w="0" w:type="dxa"/>
        <w:tblLayout w:type="fixed"/>
        <w:tblCellMar>
          <w:top w:w="28" w:type="dxa"/>
          <w:left w:w="28" w:type="dxa"/>
          <w:bottom w:w="28" w:type="dxa"/>
          <w:right w:w="28" w:type="dxa"/>
        </w:tblCellMar>
      </w:tblPr>
      <w:tblGrid>
        <w:gridCol w:w="538"/>
        <w:gridCol w:w="472"/>
        <w:gridCol w:w="474"/>
        <w:gridCol w:w="1389"/>
        <w:gridCol w:w="1389"/>
        <w:gridCol w:w="197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armholdings2026results.htm">
              <w:r>
                <w:rPr>
                  <w:rStyle w:val="InternetLink"/>
                  <w:rFonts w:ascii="Times New Roman;serif" w:hAnsi="Times New Roman;serif"/>
                  <w:b w:val="false"/>
                  <w:color w:val="0000FF"/>
                  <w:sz w:val="20"/>
                  <w:u w:val="single"/>
                </w:rPr>
                <w:t>2026 Arm Holdings plc Annual General Meeting Results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814" w:type="dxa"/>
        <w:jc w:val="left"/>
        <w:tblInd w:w="0" w:type="dxa"/>
        <w:tblLayout w:type="fixed"/>
        <w:tblCellMar>
          <w:top w:w="28" w:type="dxa"/>
          <w:left w:w="28" w:type="dxa"/>
          <w:bottom w:w="28" w:type="dxa"/>
          <w:right w:w="28" w:type="dxa"/>
        </w:tblCellMar>
      </w:tblPr>
      <w:tblGrid>
        <w:gridCol w:w="802"/>
        <w:gridCol w:w="707"/>
        <w:gridCol w:w="711"/>
        <w:gridCol w:w="328"/>
        <w:gridCol w:w="328"/>
        <w:gridCol w:w="328"/>
        <w:gridCol w:w="757"/>
        <w:gridCol w:w="757"/>
        <w:gridCol w:w="109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600200" cy="4857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00200"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2026 Arm Holdings plc Annual General Meeting Results</w:t>
      </w:r>
    </w:p>
    <w:p>
      <w:pPr>
        <w:pStyle w:val="TextBody"/>
        <w:bidi w:val="0"/>
        <w:spacing w:before="5" w:after="283"/>
        <w:jc w:val="left"/>
        <w:rPr/>
      </w:pPr>
      <w:r>
        <w:rPr/>
      </w:r>
    </w:p>
    <w:p>
      <w:pPr>
        <w:pStyle w:val="TextBody"/>
        <w:bidi w:val="0"/>
        <w:spacing w:before="58" w:after="283"/>
        <w:jc w:val="left"/>
        <w:rPr/>
      </w:pPr>
      <w:r>
        <w:rPr/>
      </w:r>
    </w:p>
    <w:p>
      <w:pPr>
        <w:pStyle w:val="TextBody"/>
        <w:bidi w:val="0"/>
        <w:spacing w:lineRule="auto" w:line="288" w:before="0" w:after="0"/>
        <w:jc w:val="both"/>
        <w:rPr/>
      </w:pPr>
      <w:r>
        <w:rPr>
          <w:rFonts w:ascii="Times New Roman;serif" w:hAnsi="Times New Roman;serif"/>
          <w:b w:val="false"/>
          <w:color w:val="000000"/>
          <w:sz w:val="22"/>
        </w:rPr>
        <w:t>On September 9, 2026, Arm Holdings plc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held its 2026 annual general meeting (the “</w:t>
      </w:r>
      <w:r>
        <w:rPr>
          <w:rFonts w:ascii="Times New Roman;serif" w:hAnsi="Times New Roman;serif"/>
          <w:b/>
          <w:color w:val="000000"/>
          <w:sz w:val="22"/>
        </w:rPr>
        <w:t>AGM</w:t>
      </w:r>
      <w:r>
        <w:rPr>
          <w:color w:val="000000"/>
        </w:rPr>
        <w:t>”</w:t>
      </w:r>
      <w:r>
        <w:rPr>
          <w:rFonts w:ascii="Times New Roman;serif" w:hAnsi="Times New Roman;serif"/>
          <w:b w:val="false"/>
          <w:color w:val="000000"/>
          <w:sz w:val="22"/>
        </w:rPr>
        <w:t>). Voting at the AGM was conducted by way of a poll, and each ordinary share, which may be represented by American Depositary Shares, issued and outstanding as of the close of business on the record date was entitled to one (1) vote on each resolution at the AGM.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are the voting results for the proposals considered and voted upon at the AGM, each of which was an ordinary resolution requiring a simple majority:</w:t>
      </w:r>
    </w:p>
    <w:p>
      <w:pPr>
        <w:pStyle w:val="TextBody"/>
        <w:bidi w:val="0"/>
        <w:spacing w:before="55" w:after="283"/>
        <w:jc w:val="left"/>
        <w:rPr/>
      </w:pPr>
      <w:r>
        <w:rPr/>
      </w:r>
    </w:p>
    <w:tbl>
      <w:tblPr>
        <w:tblW w:w="10205" w:type="dxa"/>
        <w:jc w:val="left"/>
        <w:tblInd w:w="0" w:type="dxa"/>
        <w:tblLayout w:type="fixed"/>
        <w:tblCellMar>
          <w:top w:w="28" w:type="dxa"/>
          <w:left w:w="28" w:type="dxa"/>
          <w:bottom w:w="28" w:type="dxa"/>
          <w:right w:w="28" w:type="dxa"/>
        </w:tblCellMar>
      </w:tblPr>
      <w:tblGrid>
        <w:gridCol w:w="2502"/>
        <w:gridCol w:w="1965"/>
        <w:gridCol w:w="1977"/>
        <w:gridCol w:w="434"/>
        <w:gridCol w:w="434"/>
        <w:gridCol w:w="438"/>
        <w:gridCol w:w="394"/>
        <w:gridCol w:w="394"/>
        <w:gridCol w:w="398"/>
        <w:gridCol w:w="405"/>
        <w:gridCol w:w="356"/>
        <w:gridCol w:w="508"/>
      </w:tblGrid>
      <w:tr>
        <w:trPr/>
        <w:tc>
          <w:tcPr>
            <w:tcW w:w="2502"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40" w:before="124" w:after="283"/>
              <w:jc w:val="both"/>
              <w:rPr>
                <w:rFonts w:ascii="Times New Roman;serif" w:hAnsi="Times New Roman;serif"/>
                <w:b/>
                <w:color w:val="000000"/>
                <w:sz w:val="22"/>
              </w:rPr>
            </w:pPr>
            <w:r>
              <w:rPr>
                <w:rFonts w:ascii="Times New Roman;serif" w:hAnsi="Times New Roman;serif"/>
                <w:b/>
                <w:color w:val="000000"/>
                <w:sz w:val="22"/>
              </w:rPr>
              <w:t>Proposal</w:t>
            </w:r>
          </w:p>
        </w:tc>
        <w:tc>
          <w:tcPr>
            <w:tcW w:w="1306" w:type="dxa"/>
            <w:gridSpan w:val="3"/>
            <w:tcBorders/>
            <w:tcMar>
              <w:top w:w="0" w:type="dxa"/>
              <w:left w:w="0" w:type="dxa"/>
              <w:bottom w:w="0" w:type="dxa"/>
              <w:right w:w="0" w:type="dxa"/>
            </w:tcMar>
            <w:vAlign w:val="center"/>
          </w:tcPr>
          <w:p>
            <w:pPr>
              <w:pStyle w:val="TableContents"/>
              <w:bidi w:val="0"/>
              <w:spacing w:lineRule="auto" w:line="240" w:before="124" w:after="283"/>
              <w:jc w:val="center"/>
              <w:rPr>
                <w:rFonts w:ascii="Times New Roman;serif" w:hAnsi="Times New Roman;serif"/>
                <w:b/>
                <w:color w:val="000000"/>
                <w:sz w:val="22"/>
              </w:rPr>
            </w:pPr>
            <w:r>
              <w:rPr>
                <w:rFonts w:ascii="Times New Roman;serif" w:hAnsi="Times New Roman;serif"/>
                <w:b/>
                <w:color w:val="000000"/>
                <w:sz w:val="22"/>
              </w:rPr>
              <w:t>For</w:t>
            </w:r>
          </w:p>
        </w:tc>
        <w:tc>
          <w:tcPr>
            <w:tcW w:w="1186" w:type="dxa"/>
            <w:gridSpan w:val="3"/>
            <w:tcBorders/>
            <w:tcMar>
              <w:top w:w="0" w:type="dxa"/>
              <w:left w:w="0" w:type="dxa"/>
              <w:bottom w:w="0" w:type="dxa"/>
              <w:right w:w="0" w:type="dxa"/>
            </w:tcMar>
            <w:vAlign w:val="center"/>
          </w:tcPr>
          <w:p>
            <w:pPr>
              <w:pStyle w:val="TableContents"/>
              <w:bidi w:val="0"/>
              <w:spacing w:lineRule="auto" w:line="240" w:before="124" w:after="283"/>
              <w:jc w:val="center"/>
              <w:rPr>
                <w:rFonts w:ascii="Times New Roman;serif" w:hAnsi="Times New Roman;serif"/>
                <w:b/>
                <w:color w:val="000000"/>
                <w:sz w:val="22"/>
              </w:rPr>
            </w:pPr>
            <w:r>
              <w:rPr>
                <w:rFonts w:ascii="Times New Roman;serif" w:hAnsi="Times New Roman;serif"/>
                <w:b/>
                <w:color w:val="000000"/>
                <w:sz w:val="22"/>
              </w:rPr>
              <w:t>Against</w:t>
            </w:r>
          </w:p>
        </w:tc>
        <w:tc>
          <w:tcPr>
            <w:tcW w:w="1269" w:type="dxa"/>
            <w:gridSpan w:val="3"/>
            <w:tcBorders/>
            <w:tcMar>
              <w:top w:w="0" w:type="dxa"/>
              <w:left w:w="0" w:type="dxa"/>
              <w:bottom w:w="0" w:type="dxa"/>
              <w:right w:w="0" w:type="dxa"/>
            </w:tcMar>
            <w:vAlign w:val="center"/>
          </w:tcPr>
          <w:p>
            <w:pPr>
              <w:pStyle w:val="TableContents"/>
              <w:bidi w:val="0"/>
              <w:spacing w:lineRule="auto" w:line="240" w:before="124" w:after="283"/>
              <w:jc w:val="center"/>
              <w:rPr>
                <w:rFonts w:ascii="Times New Roman;serif" w:hAnsi="Times New Roman;serif"/>
                <w:b/>
                <w:color w:val="000000"/>
                <w:sz w:val="22"/>
              </w:rPr>
            </w:pPr>
            <w:r>
              <w:rPr>
                <w:rFonts w:ascii="Times New Roman;serif" w:hAnsi="Times New Roman;serif"/>
                <w:b/>
                <w:color w:val="000000"/>
                <w:sz w:val="22"/>
              </w:rPr>
              <w:t>Vote Withheld</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appoint George Kanelos, acting as proxy for SVF Holdco (UK) Limited, as chair of the meeting</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0</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receive the accounts of the Company for the financial year ended 31 March 2026 together with the reports of the directors and the auditors of the Company thereon</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980,982,267</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65,062</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438,506</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receive and approve the directors’ remuneration policy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939,316,303</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36,422,591</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5,746,941</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receive and approve the directors’ remuneration report (other than the directors’ remuneration policy)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957,746,308</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18,303,502</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5,436,025</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re-appoint Deloitte LLP as auditors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980,884,379</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81,201</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520,255</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authorise the audit committee of the board of directors of the Company to fix the remuneration of the auditors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980,770,912</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170,003</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544,920</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Masayoshi Son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957,709,573</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22,803,935</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972,327</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Rene Haas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962,126,190</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18,408,386</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951,259</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Ronald D. Fisher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957,253,191</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23,217,929</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1,014,715</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Jeffrey A. Sine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957,217,873</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23,248,415</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1,019,547</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Karen E. Dykstra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975,803,119</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5,217,743</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464,973</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Rosemary Schooler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975,219,835</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5,798,342</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467,658</w:t>
            </w:r>
          </w:p>
        </w:tc>
      </w:tr>
      <w:tr>
        <w:trPr/>
        <w:tc>
          <w:tcPr>
            <w:tcW w:w="6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Paul E. Jacobs as a director of the Company</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975,208,659</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5,810,259</w:t>
            </w:r>
          </w:p>
        </w:tc>
        <w:tc>
          <w:tcPr>
            <w:tcW w:w="12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466,917</w:t>
            </w:r>
          </w:p>
        </w:tc>
      </w:tr>
      <w:tr>
        <w:trPr/>
        <w:tc>
          <w:tcPr>
            <w:tcW w:w="64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5" w:before="120" w:after="120"/>
              <w:jc w:val="both"/>
              <w:rPr>
                <w:rFonts w:ascii="Times New Roman;serif" w:hAnsi="Times New Roman;serif"/>
                <w:b w:val="false"/>
                <w:i/>
                <w:color w:val="000000"/>
                <w:sz w:val="22"/>
              </w:rPr>
            </w:pPr>
            <w:r>
              <w:rPr>
                <w:rFonts w:ascii="Times New Roman;serif" w:hAnsi="Times New Roman;serif"/>
                <w:b w:val="false"/>
                <w:i/>
                <w:color w:val="000000"/>
                <w:sz w:val="22"/>
              </w:rPr>
              <w:t>To re-elect Young Sohn as a director of the Company</w:t>
            </w:r>
          </w:p>
        </w:tc>
        <w:tc>
          <w:tcPr>
            <w:tcW w:w="1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975,798,481</w:t>
            </w:r>
          </w:p>
        </w:tc>
        <w:tc>
          <w:tcPr>
            <w:tcW w:w="11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5,217,018</w:t>
            </w:r>
          </w:p>
        </w:tc>
        <w:tc>
          <w:tcPr>
            <w:tcW w:w="12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20" w:after="120"/>
              <w:jc w:val="right"/>
              <w:rPr>
                <w:rFonts w:ascii="Times New Roman;serif" w:hAnsi="Times New Roman;serif"/>
                <w:b w:val="false"/>
                <w:color w:val="000000"/>
                <w:sz w:val="22"/>
              </w:rPr>
            </w:pPr>
            <w:r>
              <w:rPr>
                <w:rFonts w:ascii="Times New Roman;serif" w:hAnsi="Times New Roman;serif"/>
                <w:b w:val="false"/>
                <w:color w:val="000000"/>
                <w:sz w:val="22"/>
              </w:rPr>
              <w:t>470,336</w:t>
            </w:r>
          </w:p>
        </w:tc>
      </w:tr>
    </w:tbl>
    <w:p>
      <w:pPr>
        <w:pStyle w:val="TextBody"/>
        <w:bidi w:val="0"/>
        <w:spacing w:before="215"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the foregoing votes, the shareholders approved all of the proposals.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3414</Characters>
  <CharactersWithSpaces>3984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