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348872e815c046309a73faef4ac7624f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6-K</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month of August, 2024 </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ans-serif" w:hAnsi="Times New Roman;sans-serif"/>
          <w:b/>
          <w:color w:val="000000"/>
          <w:sz w:val="40"/>
        </w:rPr>
      </w:pPr>
      <w:r>
        <w:rPr>
          <w:rFonts w:ascii="Times New Roman;sans-serif" w:hAnsi="Times New Roman;sans-serif"/>
          <w:b/>
          <w:color w:val="000000"/>
          <w:sz w:val="40"/>
        </w:rPr>
        <w:t>Arm Holdings plc</w:t>
      </w:r>
    </w:p>
    <w:p>
      <w:pPr>
        <w:pStyle w:val="TextBody"/>
        <w:bidi w:val="0"/>
        <w:spacing w:before="100" w:after="283"/>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rP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 Fulbourn Road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Cambridge CB1 9NJ</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268" w:before="60" w:after="283"/>
        <w:jc w:val="center"/>
        <w:rPr/>
      </w:pPr>
      <w:r>
        <w:rPr>
          <w:rFonts w:ascii="Times New Roman;sans-serif" w:hAnsi="Times New Roman;sans-serif"/>
          <w:b w:val="false"/>
          <w:color w:val="000000"/>
          <w:sz w:val="20"/>
          <w:shd w:fill="FFFFFF" w:val="clear"/>
        </w:rPr>
        <w:t xml:space="preserve">Quarterly report for the </w:t>
      </w:r>
      <w:r>
        <w:rPr>
          <w:rFonts w:ascii="Times New Roman;sans-serif" w:hAnsi="Times New Roman;sans-serif"/>
          <w:b w:val="false"/>
          <w:color w:val="000000"/>
          <w:sz w:val="20"/>
        </w:rPr>
        <w:t>three months ended June 30, 2024</w:t>
      </w:r>
      <w:r>
        <w:rPr>
          <w:rFonts w:ascii="Times New Roman;sans-serif" w:hAnsi="Times New Roman;sans-serif"/>
          <w:b w:val="false"/>
          <w:color w:val="000000"/>
          <w:sz w:val="20"/>
          <w:shd w:fill="FFFFFF" w:val="clear"/>
        </w:rPr>
        <w:t>.</w:t>
      </w:r>
    </w:p>
    <w:p>
      <w:pPr>
        <w:pStyle w:val="TextBody"/>
        <w:bidi w:val="0"/>
        <w:spacing w:before="0" w:after="0"/>
        <w:jc w:val="center"/>
        <w:rPr/>
      </w:pPr>
      <w:r>
        <w:rPr/>
      </w:r>
    </w:p>
    <w:p>
      <w:pPr>
        <w:pStyle w:val="TextBody"/>
        <w:bidi w:val="0"/>
        <w:spacing w:before="60" w:after="283"/>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Incorporation by Reference</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Report on Form 6-K shall be deemed to be incorporated by reference into the registration statement on Form S-8 of Arm Holdings plc (File No. 333-274544), including the prospectus forming a part of such registration statement, and to be a part thereof from the date on which this Report on Form 6-K is filed with the U.S. Securities and Exchange Commission (the “SEC”), to the extent not superseded by documents or reports subsequently filed or furnished.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Background and Certain Defined Terms</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In this Report, unless otherwise specified, “the Company”, “Arm”, “we,” “our” and “us” refer to Arm Holdings plc and its wholly owned subsidiaries, as the context may require. “The Company” refers (1) to </w:t>
      </w:r>
      <w:r>
        <w:rPr>
          <w:rFonts w:ascii="Times New Roman;sans-serif" w:hAnsi="Times New Roman;sans-serif"/>
          <w:b w:val="false"/>
          <w:color w:val="231F20"/>
          <w:sz w:val="20"/>
        </w:rPr>
        <w:t>Arm Limited before the corporate reorganization and (2) to Arm Holdings plc after the corporate reorganization.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The term “Annual Report” refers to Arm’s annual report on Form 20-F for the fiscal year ended March 31, 2024, filed with the SEC on May 29,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both"/>
        <w:rPr/>
      </w:pPr>
      <w:r>
        <w:rPr/>
      </w:r>
    </w:p>
    <w:tbl>
      <w:tblPr>
        <w:tblW w:w="10051" w:type="dxa"/>
        <w:jc w:val="left"/>
        <w:tblInd w:w="0" w:type="dxa"/>
        <w:tblLayout w:type="fixed"/>
        <w:tblCellMar>
          <w:top w:w="28" w:type="dxa"/>
          <w:left w:w="28" w:type="dxa"/>
          <w:bottom w:w="28" w:type="dxa"/>
          <w:right w:w="28" w:type="dxa"/>
        </w:tblCellMar>
      </w:tblPr>
      <w:tblGrid>
        <w:gridCol w:w="3431"/>
        <w:gridCol w:w="3016"/>
        <w:gridCol w:w="3033"/>
        <w:gridCol w:w="167"/>
        <w:gridCol w:w="167"/>
        <w:gridCol w:w="237"/>
      </w:tblGrid>
      <w:tr>
        <w:trPr/>
        <w:tc>
          <w:tcPr>
            <w:tcW w:w="3431"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303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872e815c046309a73faef4ac7624f_19">
              <w:r>
                <w:rPr>
                  <w:rStyle w:val="InternetLink"/>
                  <w:rFonts w:ascii="Times New Roman;sans-serif" w:hAnsi="Times New Roman;sans-serif"/>
                  <w:b w:val="false"/>
                  <w:strike w:val="false"/>
                  <w:dstrike w:val="false"/>
                  <w:color w:val="000080"/>
                  <w:sz w:val="20"/>
                  <w:u w:val="single"/>
                  <w:effect w:val="none"/>
                </w:rPr>
                <w:t>Financial Statements (</w:t>
              </w:r>
            </w:hyperlink>
            <w:hyperlink w:anchor="i348872e815c046309a73faef4ac7624f_19">
              <w:r>
                <w:rPr>
                  <w:rStyle w:val="InternetLink"/>
                  <w:rFonts w:ascii="Times New Roman;sans-serif" w:hAnsi="Times New Roman;sans-serif"/>
                  <w:b w:val="false"/>
                  <w:strike w:val="false"/>
                  <w:dstrike w:val="false"/>
                  <w:color w:val="000080"/>
                  <w:sz w:val="20"/>
                  <w:u w:val="single"/>
                  <w:effect w:val="none"/>
                </w:rPr>
                <w:t>U</w:t>
              </w:r>
            </w:hyperlink>
            <w:hyperlink w:anchor="i348872e815c046309a73faef4ac7624f_19">
              <w:r>
                <w:rPr>
                  <w:rStyle w:val="InternetLink"/>
                  <w:rFonts w:ascii="Times New Roman;sans-serif" w:hAnsi="Times New Roman;sans-serif"/>
                  <w:b w:val="false"/>
                  <w:strike w:val="false"/>
                  <w:dstrike w:val="false"/>
                  <w:color w:val="000080"/>
                  <w:sz w:val="20"/>
                  <w:u w:val="single"/>
                  <w:effect w:val="none"/>
                </w:rPr>
                <w:t>naudited)</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348872e815c046309a73faef4ac7624f_19">
              <w:r>
                <w:rPr>
                  <w:rStyle w:val="InternetLink"/>
                  <w:rFonts w:ascii="Times New Roman;sans-serif" w:hAnsi="Times New Roman;sans-serif"/>
                  <w:b w:val="false"/>
                  <w:strike w:val="false"/>
                  <w:dstrike w:val="false"/>
                  <w:color w:val="000000"/>
                  <w:sz w:val="20"/>
                  <w:u w:val="none"/>
                  <w:effect w:val="none"/>
                </w:rPr>
                <w:t>4</w:t>
              </w:r>
            </w:hyperlink>
          </w:p>
        </w:tc>
      </w:tr>
      <w:tr>
        <w:trPr/>
        <w:tc>
          <w:tcPr>
            <w:tcW w:w="9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872e815c046309a73faef4ac7624f_28">
              <w:r>
                <w:rPr>
                  <w:rStyle w:val="InternetLink"/>
                  <w:rFonts w:ascii="Times New Roman;sans-serif" w:hAnsi="Times New Roman;sans-serif"/>
                  <w:b w:val="false"/>
                  <w:strike w:val="false"/>
                  <w:dstrike w:val="false"/>
                  <w:color w:val="000000"/>
                  <w:sz w:val="20"/>
                  <w:u w:val="none"/>
                  <w:effect w:val="none"/>
                </w:rPr>
                <w:t>Condensed Consolidated Income Statements</w:t>
              </w:r>
            </w:hyperlink>
            <w:r>
              <w:rPr>
                <w:rFonts w:ascii="Times New Roman;sans-serif" w:hAnsi="Times New Roman;sans-serif"/>
                <w:b w:val="false"/>
                <w:color w:val="000000"/>
                <w:sz w:val="20"/>
              </w:rPr>
              <w:t xml:space="preserve"> for the three months ended June 30, 2024 and 2023</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8872e815c046309a73faef4ac7624f_28">
              <w:r>
                <w:rPr>
                  <w:rStyle w:val="InternetLink"/>
                  <w:rFonts w:ascii="Times New Roman;sans-serif" w:hAnsi="Times New Roman;sans-serif"/>
                  <w:b w:val="false"/>
                  <w:strike w:val="false"/>
                  <w:dstrike w:val="false"/>
                  <w:color w:val="000000"/>
                  <w:sz w:val="20"/>
                  <w:u w:val="none"/>
                  <w:effect w:val="none"/>
                </w:rPr>
                <w:t>4</w:t>
              </w:r>
            </w:hyperlink>
          </w:p>
        </w:tc>
      </w:tr>
      <w:tr>
        <w:trPr/>
        <w:tc>
          <w:tcPr>
            <w:tcW w:w="9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872e815c046309a73faef4ac7624f_31">
              <w:r>
                <w:rPr>
                  <w:rStyle w:val="InternetLink"/>
                  <w:rFonts w:ascii="Times New Roman;sans-serif" w:hAnsi="Times New Roman;sans-serif"/>
                  <w:b w:val="false"/>
                  <w:strike w:val="false"/>
                  <w:dstrike w:val="false"/>
                  <w:color w:val="000000"/>
                  <w:sz w:val="20"/>
                  <w:u w:val="none"/>
                  <w:effect w:val="none"/>
                </w:rPr>
                <w:t xml:space="preserve">Condensed Consolidated Statements of Comprehensive Income </w:t>
              </w:r>
            </w:hyperlink>
            <w:r>
              <w:rPr>
                <w:rFonts w:ascii="Times New Roman;sans-serif" w:hAnsi="Times New Roman;sans-serif"/>
                <w:b w:val="false"/>
                <w:color w:val="000000"/>
                <w:sz w:val="20"/>
              </w:rPr>
              <w:t>for the three months ended June 30, 2024 and 2023</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8872e815c046309a73faef4ac7624f_31">
              <w:r>
                <w:rPr>
                  <w:rStyle w:val="InternetLink"/>
                  <w:rFonts w:ascii="Times New Roman;sans-serif" w:hAnsi="Times New Roman;sans-serif"/>
                  <w:b w:val="false"/>
                  <w:strike w:val="false"/>
                  <w:dstrike w:val="false"/>
                  <w:color w:val="000000"/>
                  <w:sz w:val="20"/>
                  <w:u w:val="none"/>
                  <w:effect w:val="none"/>
                </w:rPr>
                <w:t>5</w:t>
              </w:r>
            </w:hyperlink>
          </w:p>
        </w:tc>
      </w:tr>
      <w:tr>
        <w:trPr/>
        <w:tc>
          <w:tcPr>
            <w:tcW w:w="9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872e815c046309a73faef4ac7624f_34">
              <w:r>
                <w:rPr>
                  <w:rStyle w:val="InternetLink"/>
                  <w:rFonts w:ascii="Times New Roman;sans-serif" w:hAnsi="Times New Roman;sans-serif"/>
                  <w:b w:val="false"/>
                  <w:strike w:val="false"/>
                  <w:dstrike w:val="false"/>
                  <w:color w:val="000000"/>
                  <w:sz w:val="20"/>
                  <w:u w:val="none"/>
                  <w:effect w:val="none"/>
                </w:rPr>
                <w:t>Condensed Consolidated Balance Sheets</w:t>
              </w:r>
            </w:hyperlink>
            <w:r>
              <w:rPr>
                <w:rFonts w:ascii="Times New Roman;sans-serif" w:hAnsi="Times New Roman;sans-serif"/>
                <w:b w:val="false"/>
                <w:color w:val="000000"/>
                <w:sz w:val="20"/>
              </w:rPr>
              <w:t xml:space="preserve"> as of June 30, 2024 and March 31, 2024</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8872e815c046309a73faef4ac7624f_34">
              <w:r>
                <w:rPr>
                  <w:rStyle w:val="InternetLink"/>
                  <w:rFonts w:ascii="Times New Roman;sans-serif" w:hAnsi="Times New Roman;sans-serif"/>
                  <w:b w:val="false"/>
                  <w:strike w:val="false"/>
                  <w:dstrike w:val="false"/>
                  <w:color w:val="000000"/>
                  <w:sz w:val="20"/>
                  <w:u w:val="none"/>
                  <w:effect w:val="none"/>
                </w:rPr>
                <w:t>6</w:t>
              </w:r>
            </w:hyperlink>
          </w:p>
        </w:tc>
      </w:tr>
      <w:tr>
        <w:trPr/>
        <w:tc>
          <w:tcPr>
            <w:tcW w:w="9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872e815c046309a73faef4ac7624f_40">
              <w:r>
                <w:rPr>
                  <w:rStyle w:val="InternetLink"/>
                  <w:rFonts w:ascii="Times New Roman;sans-serif" w:hAnsi="Times New Roman;sans-serif"/>
                  <w:b w:val="false"/>
                  <w:strike w:val="false"/>
                  <w:dstrike w:val="false"/>
                  <w:color w:val="000000"/>
                  <w:sz w:val="20"/>
                  <w:u w:val="none"/>
                  <w:effect w:val="none"/>
                </w:rPr>
                <w:t>Condensed Consolidated Statements of Shareholders’ Equity</w:t>
              </w:r>
            </w:hyperlink>
            <w:r>
              <w:rPr>
                <w:rFonts w:ascii="Times New Roman;sans-serif" w:hAnsi="Times New Roman;sans-serif"/>
                <w:b w:val="false"/>
                <w:color w:val="000000"/>
                <w:sz w:val="20"/>
              </w:rPr>
              <w:t xml:space="preserve"> for the three months ended June 30, 2024 and 2023</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8872e815c046309a73faef4ac7624f_40">
              <w:r>
                <w:rPr>
                  <w:rStyle w:val="InternetLink"/>
                  <w:rFonts w:ascii="Times New Roman;sans-serif" w:hAnsi="Times New Roman;sans-serif"/>
                  <w:b w:val="false"/>
                  <w:strike w:val="false"/>
                  <w:dstrike w:val="false"/>
                  <w:color w:val="000000"/>
                  <w:sz w:val="20"/>
                  <w:u w:val="none"/>
                  <w:effect w:val="none"/>
                </w:rPr>
                <w:t>8</w:t>
              </w:r>
            </w:hyperlink>
          </w:p>
        </w:tc>
      </w:tr>
      <w:tr>
        <w:trPr/>
        <w:tc>
          <w:tcPr>
            <w:tcW w:w="9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872e815c046309a73faef4ac7624f_43">
              <w:r>
                <w:rPr>
                  <w:rStyle w:val="InternetLink"/>
                  <w:rFonts w:ascii="Times New Roman;sans-serif" w:hAnsi="Times New Roman;sans-serif"/>
                  <w:b w:val="false"/>
                  <w:strike w:val="false"/>
                  <w:dstrike w:val="false"/>
                  <w:color w:val="000000"/>
                  <w:sz w:val="20"/>
                  <w:u w:val="none"/>
                  <w:effect w:val="none"/>
                </w:rPr>
                <w:t>Condensed Consolidated Statements of Cash Flows</w:t>
              </w:r>
            </w:hyperlink>
            <w:r>
              <w:rPr>
                <w:rFonts w:ascii="Times New Roman;sans-serif" w:hAnsi="Times New Roman;sans-serif"/>
                <w:b w:val="false"/>
                <w:color w:val="000000"/>
                <w:sz w:val="20"/>
              </w:rPr>
              <w:t xml:space="preserve"> for the three months ended June 30, 2024 and 2023</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8872e815c046309a73faef4ac7624f_43">
              <w:r>
                <w:rPr>
                  <w:rStyle w:val="InternetLink"/>
                  <w:rFonts w:ascii="Times New Roman;sans-serif" w:hAnsi="Times New Roman;sans-serif"/>
                  <w:b w:val="false"/>
                  <w:strike w:val="false"/>
                  <w:dstrike w:val="false"/>
                  <w:color w:val="000000"/>
                  <w:sz w:val="20"/>
                  <w:u w:val="none"/>
                  <w:effect w:val="none"/>
                </w:rPr>
                <w:t>9</w:t>
              </w:r>
            </w:hyperlink>
          </w:p>
        </w:tc>
      </w:tr>
      <w:tr>
        <w:trPr/>
        <w:tc>
          <w:tcPr>
            <w:tcW w:w="9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872e815c046309a73faef4ac7624f_46">
              <w:r>
                <w:rPr>
                  <w:rStyle w:val="InternetLink"/>
                  <w:rFonts w:ascii="Times New Roman;sans-serif" w:hAnsi="Times New Roman;sans-serif"/>
                  <w:b w:val="false"/>
                  <w:strike w:val="false"/>
                  <w:dstrike w:val="false"/>
                  <w:color w:val="000000"/>
                  <w:sz w:val="20"/>
                  <w:u w:val="none"/>
                  <w:effect w:val="none"/>
                </w:rPr>
                <w:t>Notes to the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8872e815c046309a73faef4ac7624f_46">
              <w:r>
                <w:rPr>
                  <w:rStyle w:val="InternetLink"/>
                  <w:rFonts w:ascii="Times New Roman;sans-serif" w:hAnsi="Times New Roman;sans-serif"/>
                  <w:b w:val="false"/>
                  <w:strike w:val="false"/>
                  <w:dstrike w:val="false"/>
                  <w:color w:val="000000"/>
                  <w:sz w:val="20"/>
                  <w:u w:val="none"/>
                  <w:effect w:val="none"/>
                </w:rPr>
                <w:t>11</w:t>
              </w:r>
            </w:hyperlink>
          </w:p>
        </w:tc>
      </w:tr>
      <w:tr>
        <w:trPr/>
        <w:tc>
          <w:tcPr>
            <w:tcW w:w="9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872e815c046309a73faef4ac7624f_121">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8872e815c046309a73faef4ac7624f_121">
              <w:r>
                <w:rPr>
                  <w:rStyle w:val="InternetLink"/>
                  <w:rFonts w:ascii="Times New Roman;sans-serif" w:hAnsi="Times New Roman;sans-serif"/>
                  <w:b w:val="false"/>
                  <w:strike w:val="false"/>
                  <w:dstrike w:val="false"/>
                  <w:color w:val="000000"/>
                  <w:sz w:val="20"/>
                  <w:u w:val="none"/>
                  <w:effect w:val="none"/>
                </w:rPr>
                <w:t>29</w:t>
              </w:r>
            </w:hyperlink>
          </w:p>
        </w:tc>
      </w:tr>
      <w:tr>
        <w:trPr/>
        <w:tc>
          <w:tcPr>
            <w:tcW w:w="94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48872e815c046309a73faef4ac7624f_367">
              <w:r>
                <w:rPr>
                  <w:rStyle w:val="InternetLink"/>
                  <w:rFonts w:ascii="Times New Roman;sans-serif" w:hAnsi="Times New Roman;sans-serif"/>
                  <w:b w:val="false"/>
                  <w:strike w:val="false"/>
                  <w:dstrike w:val="false"/>
                  <w:color w:val="000000"/>
                  <w:sz w:val="20"/>
                  <w:u w:val="none"/>
                  <w:effect w:val="none"/>
                </w:rPr>
                <w:t>Signature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48872e815c046309a73faef4ac7624f_367">
              <w:r>
                <w:rPr>
                  <w:rStyle w:val="InternetLink"/>
                  <w:rFonts w:ascii="Times New Roman;sans-serif" w:hAnsi="Times New Roman;sans-serif"/>
                  <w:b w:val="false"/>
                  <w:strike w:val="false"/>
                  <w:dstrike w:val="false"/>
                  <w:color w:val="000000"/>
                  <w:sz w:val="20"/>
                  <w:u w:val="none"/>
                  <w:effect w:val="none"/>
                </w:rPr>
                <w:t>41</w:t>
              </w:r>
            </w:hyperlink>
          </w:p>
        </w:tc>
      </w:tr>
    </w:tbl>
    <w:p>
      <w:pPr>
        <w:pStyle w:val="TextBody"/>
        <w:bidi w:val="0"/>
        <w:spacing w:before="0" w:after="0"/>
        <w:jc w:val="both"/>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4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120" w:after="240"/>
        <w:ind w:left="0" w:right="0" w:firstLine="540"/>
        <w:jc w:val="both"/>
        <w:rPr/>
      </w:pPr>
      <w:r>
        <w:rPr>
          <w:rFonts w:ascii="Times New Roman;sans-serif" w:hAnsi="Times New Roman;sans-serif"/>
          <w:b w:val="false"/>
          <w:color w:val="000000"/>
          <w:sz w:val="20"/>
        </w:rPr>
        <w:t>The following discussion and analysis of our financial condition, results of operations and notes to the unaudited condensed consolidated financial statements included herein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those identified below and those discussed in “</w:t>
      </w:r>
      <w:r>
        <w:rPr>
          <w:rFonts w:ascii="Times New Roman;sans-serif" w:hAnsi="Times New Roman;sans-serif"/>
          <w:b w:val="false"/>
          <w:i/>
          <w:color w:val="000000"/>
          <w:sz w:val="20"/>
        </w:rPr>
        <w:t>Item 3. Key Information—D. Risk Factors</w:t>
      </w:r>
      <w:r>
        <w:rPr>
          <w:color w:val="000000"/>
        </w:rPr>
        <w:t xml:space="preserve">” </w:t>
      </w:r>
      <w:r>
        <w:rPr>
          <w:rFonts w:ascii="Times New Roman;sans-serif" w:hAnsi="Times New Roman;sans-serif"/>
          <w:b w:val="false"/>
          <w:color w:val="000000"/>
          <w:sz w:val="20"/>
        </w:rPr>
        <w:t xml:space="preserve">in our Annual Report. </w:t>
      </w:r>
    </w:p>
    <w:p>
      <w:pPr>
        <w:pStyle w:val="TextBody"/>
        <w:bidi w:val="0"/>
        <w:spacing w:lineRule="auto" w:line="268" w:before="12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on Form 6-K (this “Quarterly Report”)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Quarterly Report, including in the section titled “Management’s Discussion and Analysis of Financial Condition and Results of Operations,”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Quarterly Report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Quarterly Report speaks only as of the date on which this Quarterly Report is furnished, and we do not undertake any obligation to update any forward-looking statement to reflect events or circumstances after the date on which this Quarterly Report is furnished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0" w:after="0"/>
        <w:jc w:val="left"/>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Income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pPr>
      <w:r>
        <w:rPr/>
      </w:r>
    </w:p>
    <w:tbl>
      <w:tblPr>
        <w:tblW w:w="8265" w:type="dxa"/>
        <w:jc w:val="center"/>
        <w:tblInd w:w="0" w:type="dxa"/>
        <w:tblLayout w:type="fixed"/>
        <w:tblCellMar>
          <w:top w:w="28" w:type="dxa"/>
          <w:left w:w="28" w:type="dxa"/>
          <w:bottom w:w="28" w:type="dxa"/>
          <w:right w:w="28" w:type="dxa"/>
        </w:tblCellMar>
      </w:tblPr>
      <w:tblGrid>
        <w:gridCol w:w="2021"/>
        <w:gridCol w:w="1778"/>
        <w:gridCol w:w="1796"/>
        <w:gridCol w:w="277"/>
        <w:gridCol w:w="671"/>
        <w:gridCol w:w="143"/>
        <w:gridCol w:w="143"/>
        <w:gridCol w:w="143"/>
        <w:gridCol w:w="143"/>
        <w:gridCol w:w="277"/>
        <w:gridCol w:w="671"/>
        <w:gridCol w:w="202"/>
      </w:tblGrid>
      <w:tr>
        <w:trPr/>
        <w:tc>
          <w:tcPr>
            <w:tcW w:w="202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27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Gross profit </w:t>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w:t>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w:t>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(loss) before income taxes </w:t>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attributable to ordinary shareholders</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7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outstanding</w:t>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r>
      <w:tr>
        <w:trPr/>
        <w:tc>
          <w:tcPr>
            <w:tcW w:w="55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r>
    </w:tbl>
    <w:p>
      <w:pPr>
        <w:pStyle w:val="TextBody"/>
        <w:bidi w:val="0"/>
        <w:spacing w:lineRule="auto" w:line="288" w:before="16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192" w:before="0" w:after="240"/>
        <w:jc w:val="left"/>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8823" w:type="dxa"/>
        <w:jc w:val="center"/>
        <w:tblInd w:w="0" w:type="dxa"/>
        <w:tblLayout w:type="fixed"/>
        <w:tblCellMar>
          <w:top w:w="28" w:type="dxa"/>
          <w:left w:w="28" w:type="dxa"/>
          <w:bottom w:w="28" w:type="dxa"/>
          <w:right w:w="28" w:type="dxa"/>
        </w:tblCellMar>
      </w:tblPr>
      <w:tblGrid>
        <w:gridCol w:w="1990"/>
        <w:gridCol w:w="1750"/>
        <w:gridCol w:w="1764"/>
        <w:gridCol w:w="291"/>
        <w:gridCol w:w="644"/>
        <w:gridCol w:w="150"/>
        <w:gridCol w:w="150"/>
        <w:gridCol w:w="150"/>
        <w:gridCol w:w="150"/>
        <w:gridCol w:w="291"/>
        <w:gridCol w:w="644"/>
        <w:gridCol w:w="150"/>
        <w:gridCol w:w="109"/>
        <w:gridCol w:w="109"/>
        <w:gridCol w:w="109"/>
        <w:gridCol w:w="109"/>
        <w:gridCol w:w="109"/>
        <w:gridCol w:w="154"/>
      </w:tblGrid>
      <w:tr>
        <w:trPr/>
        <w:tc>
          <w:tcPr>
            <w:tcW w:w="199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of the effective portion of designated cash flow hedges</w:t>
            </w:r>
          </w:p>
        </w:tc>
        <w:tc>
          <w:tcPr>
            <w:tcW w:w="9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comprehensive income (loss) </w:t>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0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192" w:before="0" w:after="240"/>
        <w:jc w:val="left"/>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44"/>
        <w:gridCol w:w="2489"/>
        <w:gridCol w:w="2502"/>
        <w:gridCol w:w="211"/>
        <w:gridCol w:w="616"/>
        <w:gridCol w:w="109"/>
        <w:gridCol w:w="109"/>
        <w:gridCol w:w="109"/>
        <w:gridCol w:w="109"/>
        <w:gridCol w:w="216"/>
        <w:gridCol w:w="632"/>
        <w:gridCol w:w="159"/>
      </w:tblGrid>
      <w:tr>
        <w:trPr/>
        <w:tc>
          <w:tcPr>
            <w:tcW w:w="2944"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7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(including receivables from related parties of $146 and $182 as of June 30, 2024 and March 31, 2024, respectively)</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(including contract assets from related parties of $13 and $22 as of June 30, 2024 and March 31, 2024, respectively)</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Non-current 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 (including investments held at fair value of $573 and $573 as of June 30, 2024 and March 31, 2024, respectively)</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portion of contract assets </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assets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(including contract liabilities from related parties of $114 and $107 as of June 30, 2024 and March 31, 2024, respectively)</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(including payables to related parties of $6 and $7 as of June 30, 2024 and March 31, 2024, respectively)</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accrued compensation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contract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operating lease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192" w:before="0" w:after="240"/>
        <w:jc w:val="left"/>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par value)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95"/>
        <w:gridCol w:w="2520"/>
        <w:gridCol w:w="2528"/>
        <w:gridCol w:w="211"/>
        <w:gridCol w:w="616"/>
        <w:gridCol w:w="109"/>
        <w:gridCol w:w="109"/>
        <w:gridCol w:w="109"/>
        <w:gridCol w:w="109"/>
        <w:gridCol w:w="214"/>
        <w:gridCol w:w="626"/>
        <w:gridCol w:w="159"/>
      </w:tblGrid>
      <w:tr>
        <w:trPr/>
        <w:tc>
          <w:tcPr>
            <w:tcW w:w="2895"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7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7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Ordinary shares, $0.001 par value; 1,088 shares authorized and 1,048 shares issued and outstanding as of June 30, 2024; and 1,088 shares authorized and 1,040 shares issued and outstanding as of March 31, 2024 </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shareholders’ equity</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192" w:before="0" w:after="240"/>
        <w:jc w:val="left"/>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360" w:after="283"/>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69"/>
        <w:gridCol w:w="610"/>
        <w:gridCol w:w="612"/>
        <w:gridCol w:w="276"/>
        <w:gridCol w:w="276"/>
        <w:gridCol w:w="277"/>
        <w:gridCol w:w="113"/>
        <w:gridCol w:w="113"/>
        <w:gridCol w:w="113"/>
        <w:gridCol w:w="278"/>
        <w:gridCol w:w="358"/>
        <w:gridCol w:w="145"/>
        <w:gridCol w:w="109"/>
        <w:gridCol w:w="109"/>
        <w:gridCol w:w="109"/>
        <w:gridCol w:w="241"/>
        <w:gridCol w:w="722"/>
        <w:gridCol w:w="125"/>
        <w:gridCol w:w="109"/>
        <w:gridCol w:w="109"/>
        <w:gridCol w:w="109"/>
        <w:gridCol w:w="375"/>
        <w:gridCol w:w="856"/>
        <w:gridCol w:w="195"/>
        <w:gridCol w:w="109"/>
        <w:gridCol w:w="109"/>
        <w:gridCol w:w="109"/>
        <w:gridCol w:w="211"/>
        <w:gridCol w:w="631"/>
        <w:gridCol w:w="109"/>
        <w:gridCol w:w="109"/>
        <w:gridCol w:w="109"/>
        <w:gridCol w:w="109"/>
        <w:gridCol w:w="250"/>
        <w:gridCol w:w="751"/>
        <w:gridCol w:w="191"/>
      </w:tblGrid>
      <w:tr>
        <w:trPr/>
        <w:tc>
          <w:tcPr>
            <w:tcW w:w="106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Total </w:t>
              <w:br/>
              <w:t>Shareholders’</w:t>
              <w:br/>
              <w:t>Equity</w:t>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1,040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2,171</w:t>
            </w: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371</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2,751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5,295</w:t>
            </w: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9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fair value of the effective portion of designated cash flow hedges, net of tax</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9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9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9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vested shares from share-based payment arrangements</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 on vested shares from share-based payment arrangements</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2291"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2024</w:t>
            </w:r>
          </w:p>
        </w:tc>
        <w:tc>
          <w:tcPr>
            <w:tcW w:w="82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1,048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2,316</w:t>
            </w: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371</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2,974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5,663</w:t>
            </w:r>
            <w:r>
              <w:rPr>
                <w:color w:val="000000"/>
              </w:rPr>
              <w:t>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240" w:after="283"/>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86"/>
        <w:gridCol w:w="589"/>
        <w:gridCol w:w="591"/>
        <w:gridCol w:w="285"/>
        <w:gridCol w:w="285"/>
        <w:gridCol w:w="286"/>
        <w:gridCol w:w="116"/>
        <w:gridCol w:w="116"/>
        <w:gridCol w:w="116"/>
        <w:gridCol w:w="278"/>
        <w:gridCol w:w="358"/>
        <w:gridCol w:w="145"/>
        <w:gridCol w:w="109"/>
        <w:gridCol w:w="109"/>
        <w:gridCol w:w="109"/>
        <w:gridCol w:w="255"/>
        <w:gridCol w:w="765"/>
        <w:gridCol w:w="133"/>
        <w:gridCol w:w="109"/>
        <w:gridCol w:w="109"/>
        <w:gridCol w:w="109"/>
        <w:gridCol w:w="375"/>
        <w:gridCol w:w="856"/>
        <w:gridCol w:w="195"/>
        <w:gridCol w:w="109"/>
        <w:gridCol w:w="109"/>
        <w:gridCol w:w="109"/>
        <w:gridCol w:w="211"/>
        <w:gridCol w:w="631"/>
        <w:gridCol w:w="109"/>
        <w:gridCol w:w="109"/>
        <w:gridCol w:w="109"/>
        <w:gridCol w:w="109"/>
        <w:gridCol w:w="255"/>
        <w:gridCol w:w="765"/>
        <w:gridCol w:w="196"/>
      </w:tblGrid>
      <w:tr>
        <w:trPr/>
        <w:tc>
          <w:tcPr>
            <w:tcW w:w="9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xml:space="preserve">Total </w:t>
              <w:br/>
              <w:t>Shareholders’</w:t>
              <w:br/>
              <w:t>Equity</w:t>
            </w:r>
          </w:p>
        </w:tc>
      </w:tr>
      <w:tr>
        <w:trPr/>
        <w:tc>
          <w:tcPr>
            <w:tcW w:w="2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1,216</w:t>
            </w: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376</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2,457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4,051</w:t>
            </w:r>
            <w:r>
              <w:rPr>
                <w:color w:val="000000"/>
              </w:rPr>
              <w:t>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 of tax</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9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85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1,025</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1,275</w:t>
            </w:r>
            <w:r>
              <w:rPr>
                <w:color w:val="000000"/>
              </w:rPr>
              <w:t>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382</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2,562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4,221</w:t>
            </w:r>
            <w:r>
              <w:rPr>
                <w:color w:val="000000"/>
              </w:rPr>
              <w:t>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0"/>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pStyle w:val="TextBody"/>
        <w:bidi w:val="0"/>
        <w:spacing w:before="0" w:after="0"/>
        <w:jc w:val="center"/>
        <w:rPr/>
      </w:pPr>
      <w:r>
        <w:rPr/>
      </w:r>
    </w:p>
    <w:p>
      <w:pPr>
        <w:pStyle w:val="TextBody"/>
        <w:bidi w:val="0"/>
        <w:spacing w:before="0" w:after="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192" w:before="0" w:after="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81"/>
        <w:gridCol w:w="2335"/>
        <w:gridCol w:w="2342"/>
        <w:gridCol w:w="247"/>
        <w:gridCol w:w="723"/>
        <w:gridCol w:w="128"/>
        <w:gridCol w:w="128"/>
        <w:gridCol w:w="128"/>
        <w:gridCol w:w="128"/>
        <w:gridCol w:w="247"/>
        <w:gridCol w:w="723"/>
        <w:gridCol w:w="128"/>
        <w:gridCol w:w="109"/>
        <w:gridCol w:w="158"/>
      </w:tblGrid>
      <w:tr>
        <w:trPr/>
        <w:tc>
          <w:tcPr>
            <w:tcW w:w="2681"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267" w:type="dxa"/>
            <w:gridSpan w:val="2"/>
            <w:tcBorders/>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for) operating activities:</w:t>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for) operating activities: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income taxes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from equity investments, net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cost</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expense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non-cash operating activities, net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(including receivables from related parties)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net (including contract assets from related parties)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assets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(including contract liabilities from related parties)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liabilities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(including payables to related parties)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Net cash provided by (used for) operating activities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Cash flows provided by (used for) investing activities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short-term investments</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maturity of short-term investments</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equity investments</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 cash provided by (used for) investing activities</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(used for) financing activities</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intangible asset obligations</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financing activities, net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withholding tax on vested shares</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Net cash provided by (used for) financing activities </w:t>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foreign exchange rate changes on cash and cash equivalents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and cash equivalents </w:t>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the beginning of the period </w:t>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192" w:before="0" w:after="24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Table of Contents</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7361" w:type="dxa"/>
        <w:jc w:val="center"/>
        <w:tblInd w:w="0" w:type="dxa"/>
        <w:tblLayout w:type="fixed"/>
        <w:tblCellMar>
          <w:top w:w="28" w:type="dxa"/>
          <w:left w:w="28" w:type="dxa"/>
          <w:bottom w:w="28" w:type="dxa"/>
          <w:right w:w="28" w:type="dxa"/>
        </w:tblCellMar>
      </w:tblPr>
      <w:tblGrid>
        <w:gridCol w:w="1701"/>
        <w:gridCol w:w="1492"/>
        <w:gridCol w:w="1502"/>
        <w:gridCol w:w="316"/>
        <w:gridCol w:w="542"/>
        <w:gridCol w:w="163"/>
        <w:gridCol w:w="163"/>
        <w:gridCol w:w="163"/>
        <w:gridCol w:w="163"/>
        <w:gridCol w:w="316"/>
        <w:gridCol w:w="609"/>
        <w:gridCol w:w="231"/>
      </w:tblGrid>
      <w:tr>
        <w:trPr/>
        <w:tc>
          <w:tcPr>
            <w:tcW w:w="170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operating, investing and financing activities:</w:t>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additions in property and equipment </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 in intangible assets</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3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additions in operating lease right-of-use assets</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additions of operating lease liabilities </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withholding tax on vested shares</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1 - Description of Business and Summary of Significant Accounting Policies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40"/>
        <w:jc w:val="both"/>
        <w:rPr/>
      </w:pPr>
      <w:r>
        <w:rPr>
          <w:rFonts w:ascii="Times New Roman;sans-serif" w:hAnsi="Times New Roman;sans-serif"/>
          <w:b w:val="false"/>
          <w:color w:val="000000"/>
          <w:sz w:val="20"/>
        </w:rPr>
        <w:t>Arm Holdings plc and its wholly owned subsidiaries (the “Company” and also referred to as “we,” “our” or “us”)</w:t>
      </w:r>
      <w:r>
        <w:rPr>
          <w:color w:val="231F20"/>
        </w:rPr>
        <w:t xml:space="preserve"> </w:t>
      </w:r>
      <w:r>
        <w:rPr>
          <w:rFonts w:ascii="Times New Roman;sans-serif" w:hAnsi="Times New Roman;sans-serif"/>
          <w:b w:val="false"/>
          <w:color w:val="231F20"/>
          <w:sz w:val="20"/>
        </w:rPr>
        <w:t>is a global leader in the semiconductor industry. The Company’s principal operations are the licensing, marketing, research and development of microprocessors, systems intellectual property (“IP”), graphics processing units, physical IP and associated systems IP, software, tools and other related services.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Corporate Reorganization </w:t>
      </w:r>
    </w:p>
    <w:p>
      <w:pPr>
        <w:pStyle w:val="TextBody"/>
        <w:bidi w:val="0"/>
        <w:spacing w:lineRule="auto" w:line="288" w:before="120" w:after="240"/>
        <w:jc w:val="both"/>
        <w:rPr/>
      </w:pPr>
      <w:r>
        <w:rPr>
          <w:rFonts w:ascii="Times New Roman;sans-serif" w:hAnsi="Times New Roman;sans-serif"/>
          <w:b w:val="false"/>
          <w:color w:val="231F20"/>
          <w:sz w:val="20"/>
        </w:rPr>
        <w:t xml:space="preserve">In September 2023, the Company completed a board approved corporate reorganization which involved (1) </w:t>
      </w:r>
      <w:r>
        <w:rPr>
          <w:rFonts w:ascii="Times New Roman;sans-serif" w:hAnsi="Times New Roman;sans-serif"/>
          <w:b w:val="false"/>
          <w:color w:val="000000"/>
          <w:sz w:val="20"/>
        </w:rPr>
        <w:t xml:space="preserve">the shareholders of Arm Limited exchanging each of the ordinary shares held by them in Arm Limited for newly issued ordinary shares of Arm Holdings Limited; and (2) the re-registration of Arm Holdings Limited as a public limited company under the laws of England and Wales at which time its name was changed to Arm Holdings plc. This </w:t>
      </w:r>
      <w:r>
        <w:rPr>
          <w:rFonts w:ascii="Times New Roman;sans-serif" w:hAnsi="Times New Roman;sans-serif"/>
          <w:b w:val="false"/>
          <w:color w:val="231F20"/>
          <w:sz w:val="20"/>
        </w:rPr>
        <w:t>corporate reorganization was solely for the purpose of reorganizing the Company’s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the historical consolidated financial statements of the Company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pStyle w:val="TextBody"/>
        <w:bidi w:val="0"/>
        <w:spacing w:lineRule="auto" w:line="288" w:before="0" w:after="24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conformity with accounting principles generally accepted in the U.S. (“GAAP”) and pursuant to the rules and regulations of the Securities and Exchange Commission (“SEC”) regarding interim financial information. Certain information and note disclosures normally included in the consolidated financial statements prepared in accordance with GAAP have been condensed or omitted pursuant to such rules and regulations. As such, the information included in the accompanying unaudited condensed consolidated financial statements should be read in conjunction with the audited consolidated financial statements and the related notes thereto as of and for the fiscal year ended March 31, 2024, in our Annual Report.</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accompanying unaudited condensed consolidated financial statements reflect all adjustments, consisting of only normal recurring adjustments, which are necessary for the fair statement of the unaudited condensed consolidated balance sheets, income statements, statements of comprehensive income, shareholders’ equity and cash flows for these interim periods. The results for the interim periods are not necessarily indicative of results for the full fiscal year.</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include the accounts of the Company, its wholly owned subsidiaries and the Arm Employee Benefit Trust (the “EBT”). All intercompany balances and transactions have been eliminated in consolidation.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 and expenses during the reporting periods. Significant items subject to such estimates include, but are not limited to, revenue recognition, allowance for expected credit losses,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Actual results could differ materially from the Company’s estimates.</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pronouncements not yet adopted</w:t>
      </w:r>
    </w:p>
    <w:p>
      <w:pPr>
        <w:pStyle w:val="TextBody"/>
        <w:bidi w:val="0"/>
        <w:spacing w:lineRule="auto" w:line="288" w:before="120" w:after="240"/>
        <w:jc w:val="both"/>
        <w:rPr/>
      </w:pP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In November 2023, the Financial Accounting Standards Board (“FASB”) issued Accounting Standards Update (“ASU”) 2023-07, which requires incremental reportable segment disclosures. The new standard requires that a public entity disclose significant segment expenses, the title and position of the chief operating decision maker (“CODM”), and how the CODM uses the reported measures in assessing performance and deciding how to allocate resources. ASU 2023-07 is effective for annual periods beginning after December 15, 2023, and interim periods within fiscal years beginning after December 15, 2024. Early adoption is permitted. Adoption of the ASU should be applied retrospectively to all prior periods presented in the financial statements. This ASU will result in additional required disclosures being included in our consolidated financial statements when adopted. The Company will adopt this standard for the fiscal year beginning April 1, 2024.</w:t>
      </w:r>
    </w:p>
    <w:p>
      <w:pPr>
        <w:pStyle w:val="TextBody"/>
        <w:bidi w:val="0"/>
        <w:spacing w:lineRule="auto" w:line="288" w:before="120" w:after="240"/>
        <w:jc w:val="both"/>
        <w:rPr/>
      </w:pP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In December 2023, the FASB issued ASU 2023-09, which requires disaggregated information about a reporting entity’s effective tax rate reconciliation as well as additional information on income taxes paid. The ASU is effective on a prospective basis for annual periods beginning after December 15, 2024. Early adoption is permitted for annual financial statements that have not yet been issued or made available for issuance. This ASU will likely result in additional required disclosures being included in our consolidated financial statements when adopted. The Company will adopt this standard for the fiscal year beginning April 1, 2025.</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SEC final rules not yet adopted</w:t>
      </w:r>
    </w:p>
    <w:p>
      <w:pPr>
        <w:pStyle w:val="TextBody"/>
        <w:bidi w:val="0"/>
        <w:spacing w:lineRule="auto" w:line="288" w:before="120" w:after="240"/>
        <w:jc w:val="both"/>
        <w:rPr/>
      </w:pPr>
      <w:r>
        <w:rPr>
          <w:rFonts w:ascii="Times New Roman;sans-serif" w:hAnsi="Times New Roman;sans-serif"/>
          <w:b w:val="false"/>
          <w:color w:val="000000"/>
          <w:sz w:val="20"/>
        </w:rPr>
        <w:t>In March 2024, the SEC adopted final rules under SEC Release No. 33-11275, </w:t>
      </w:r>
      <w:r>
        <w:rPr>
          <w:rFonts w:ascii="Times New Roman;sans-serif" w:hAnsi="Times New Roman;sans-serif"/>
          <w:b w:val="false"/>
          <w:i/>
          <w:color w:val="000000"/>
          <w:sz w:val="20"/>
        </w:rPr>
        <w:t>The Enhancement and Standardization of Climate-Related Disclosures for Investors</w:t>
      </w:r>
      <w:r>
        <w:rPr>
          <w:rFonts w:ascii="Times New Roman;sans-serif" w:hAnsi="Times New Roman;sans-serif"/>
          <w:b w:val="false"/>
          <w:color w:val="000000"/>
          <w:sz w:val="20"/>
        </w:rPr>
        <w:t>, which requires a registrant to disclose climate-related risks that are reasonably likely to have a material impact on its business strategy, results of operations and financial condition. The rules include disclosures relating to climate-related risks and risk management, a registrant's governance of such risks, the financial impact on the audited financial statements, and greenhouse gas emissions. The disclosures will be required prospectively, with information for prior periods required only to the extent it was previously disclosed in an SEC filing. The earliest adoption date starts from the registrant's fiscal year beginning calendar 2025, which is the Company's fiscal year ending March 31, 2026. On April 4, 2024, the SEC determined to voluntarily stay the final rules pending certain legal challenges. The Company is currently evaluating the impact of the adoption of these final rules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2 - Balance Sheet Components</w:t>
      </w:r>
    </w:p>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Certain balance sheet components are as follows:</w:t>
      </w:r>
    </w:p>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of:</w:t>
      </w:r>
    </w:p>
    <w:tbl>
      <w:tblPr>
        <w:tblW w:w="7283" w:type="dxa"/>
        <w:jc w:val="left"/>
        <w:tblInd w:w="0" w:type="dxa"/>
        <w:tblLayout w:type="fixed"/>
        <w:tblCellMar>
          <w:top w:w="28" w:type="dxa"/>
          <w:left w:w="28" w:type="dxa"/>
          <w:bottom w:w="28" w:type="dxa"/>
          <w:right w:w="28" w:type="dxa"/>
        </w:tblCellMar>
      </w:tblPr>
      <w:tblGrid>
        <w:gridCol w:w="1401"/>
        <w:gridCol w:w="1229"/>
        <w:gridCol w:w="1239"/>
        <w:gridCol w:w="109"/>
        <w:gridCol w:w="109"/>
        <w:gridCol w:w="109"/>
        <w:gridCol w:w="395"/>
        <w:gridCol w:w="676"/>
        <w:gridCol w:w="204"/>
        <w:gridCol w:w="109"/>
        <w:gridCol w:w="109"/>
        <w:gridCol w:w="109"/>
        <w:gridCol w:w="377"/>
        <w:gridCol w:w="833"/>
        <w:gridCol w:w="275"/>
      </w:tblGrid>
      <w:tr>
        <w:trPr/>
        <w:tc>
          <w:tcPr>
            <w:tcW w:w="140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 commissions, and cash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 and sabbatical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fringe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accrued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 of:</w:t>
      </w:r>
    </w:p>
    <w:tbl>
      <w:tblPr>
        <w:tblW w:w="10205" w:type="dxa"/>
        <w:jc w:val="left"/>
        <w:tblInd w:w="0" w:type="dxa"/>
        <w:tblLayout w:type="fixed"/>
        <w:tblCellMar>
          <w:top w:w="28" w:type="dxa"/>
          <w:left w:w="28" w:type="dxa"/>
          <w:bottom w:w="28" w:type="dxa"/>
          <w:right w:w="28" w:type="dxa"/>
        </w:tblCellMar>
      </w:tblPr>
      <w:tblGrid>
        <w:gridCol w:w="2624"/>
        <w:gridCol w:w="2252"/>
        <w:gridCol w:w="2260"/>
        <w:gridCol w:w="109"/>
        <w:gridCol w:w="109"/>
        <w:gridCol w:w="109"/>
        <w:gridCol w:w="302"/>
        <w:gridCol w:w="668"/>
        <w:gridCol w:w="155"/>
        <w:gridCol w:w="109"/>
        <w:gridCol w:w="109"/>
        <w:gridCol w:w="109"/>
        <w:gridCol w:w="326"/>
        <w:gridCol w:w="721"/>
        <w:gridCol w:w="243"/>
      </w:tblGrid>
      <w:tr>
        <w:trPr/>
        <w:tc>
          <w:tcPr>
            <w:tcW w:w="262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tc>
      </w:tr>
      <w:tr>
        <w:trPr/>
        <w:tc>
          <w:tcPr>
            <w:tcW w:w="7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7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Employee related payroll taxes and payables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design automation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including payables to related parties of $6 and $7 as of June 30, 2024 and March 31, 2024,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Employee related payroll taxes and payables are primarily related to vested restricted share units (“RSUs”) during the quarter and paid in the subsequent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3 - Revenue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Company’s major product offerings consists of the following:</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Other Revenue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val="false"/>
          <w:i/>
          <w:color w:val="000000"/>
          <w:sz w:val="20"/>
        </w:rPr>
        <w:t>Intellectual property license</w:t>
      </w:r>
      <w:r>
        <w:rPr>
          <w:color w:val="000000"/>
        </w:rPr>
        <w:t xml:space="preserve"> — </w:t>
      </w:r>
      <w:r>
        <w:rPr>
          <w:rFonts w:ascii="Times New Roman;sans-serif" w:hAnsi="Times New Roman;sans-serif"/>
          <w:b w:val="false"/>
          <w:color w:val="000000"/>
          <w:sz w:val="20"/>
        </w:rPr>
        <w:t>The Company generally licenses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 </w:t>
      </w:r>
    </w:p>
    <w:p>
      <w:pPr>
        <w:pStyle w:val="TextBody"/>
        <w:bidi w:val="0"/>
        <w:spacing w:lineRule="auto" w:line="288" w:before="120" w:after="240"/>
        <w:ind w:left="0" w:right="0" w:hanging="360"/>
        <w:jc w:val="both"/>
        <w:rPr/>
      </w:pPr>
      <w:r>
        <w:rPr>
          <w:color w:val="000000"/>
        </w:rPr>
        <w:t>•</w:t>
      </w:r>
      <w:r>
        <w:rPr>
          <w:rFonts w:ascii="Times New Roman;sans-serif" w:hAnsi="Times New Roman;sans-serif"/>
          <w:b w:val="false"/>
          <w:i/>
          <w:color w:val="000000"/>
          <w:sz w:val="20"/>
        </w:rPr>
        <w:t>Software sales, including development systems</w:t>
      </w:r>
      <w:r>
        <w:rPr>
          <w:color w:val="000000"/>
        </w:rPr>
        <w:t xml:space="preserve"> — </w:t>
      </w:r>
      <w:r>
        <w:rPr>
          <w:rFonts w:ascii="Times New Roman;sans-serif" w:hAnsi="Times New Roman;sans-serif"/>
          <w:b w:val="false"/>
          <w:color w:val="000000"/>
          <w:sz w:val="20"/>
        </w:rPr>
        <w:t>Sales of software, including development systems, which are not specifically designed for a given license (such as off-the-shelf software), are recognized upon delivery when control has been transferred and customer can begin to use and benefit from the license.</w:t>
      </w:r>
    </w:p>
    <w:p>
      <w:pPr>
        <w:pStyle w:val="TextBody"/>
        <w:bidi w:val="0"/>
        <w:spacing w:lineRule="auto" w:line="288" w:before="60" w:after="120"/>
        <w:ind w:left="0" w:right="0" w:hanging="360"/>
        <w:jc w:val="both"/>
        <w:rPr/>
      </w:pPr>
      <w:r>
        <w:rPr>
          <w:color w:val="000000"/>
        </w:rPr>
        <w:t>•</w:t>
      </w:r>
      <w:r>
        <w:rPr>
          <w:rFonts w:ascii="Times New Roman;sans-serif" w:hAnsi="Times New Roman;sans-serif"/>
          <w:b w:val="false"/>
          <w:i/>
          <w:color w:val="000000"/>
          <w:sz w:val="20"/>
        </w:rPr>
        <w:t>Professional services</w:t>
      </w:r>
      <w:r>
        <w:rPr>
          <w:color w:val="000000"/>
        </w:rPr>
        <w:t xml:space="preserve"> — </w:t>
      </w:r>
      <w:r>
        <w:rPr>
          <w:rFonts w:ascii="Times New Roman;sans-serif" w:hAnsi="Times New Roman;sans-serif"/>
          <w:b w:val="false"/>
          <w:color w:val="000000"/>
          <w:sz w:val="20"/>
        </w:rPr>
        <w:t>Services (such as training and professional and design services) that the Company provides, which are not essential to the functionality of the IP, are separately stated and priced in the contract and accounted for separately. Training revenue is recognized as services are performed. Revenue from professional and design services are recognized over time using the input method based on engineering labor hours expended to date relative to the estimated total effort required. For such professional and design services, the Company has an enforceable right to payment for performance completed to date, which includes a reasonable profit margin and the performance of such services do not create an asset with an alternative use.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val="false"/>
          <w:i/>
          <w:color w:val="000000"/>
          <w:sz w:val="20"/>
        </w:rPr>
        <w:t>Support and maintenance</w:t>
      </w:r>
      <w:r>
        <w:rPr>
          <w:color w:val="000000"/>
        </w:rPr>
        <w:t xml:space="preserve"> — </w:t>
      </w:r>
      <w:r>
        <w:rPr>
          <w:rFonts w:ascii="Times New Roman;sans-serif" w:hAnsi="Times New Roman;sans-serif"/>
          <w:b w:val="false"/>
          <w:color w:val="00000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Revenue</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certain IP license agreements, royalties are collected on products that incorporate the Company’s IP. Royalties are recognized on an accrual basis in the quarter in which the customer ships their products, based on the Company’s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 summary of the Company’s disaggregated revenue is as follows: </w:t>
      </w:r>
    </w:p>
    <w:tbl>
      <w:tblPr>
        <w:tblW w:w="10113" w:type="dxa"/>
        <w:jc w:val="left"/>
        <w:tblInd w:w="0" w:type="dxa"/>
        <w:tblLayout w:type="fixed"/>
        <w:tblCellMar>
          <w:top w:w="28" w:type="dxa"/>
          <w:left w:w="28" w:type="dxa"/>
          <w:bottom w:w="28" w:type="dxa"/>
          <w:right w:w="28" w:type="dxa"/>
        </w:tblCellMar>
      </w:tblPr>
      <w:tblGrid>
        <w:gridCol w:w="929"/>
        <w:gridCol w:w="815"/>
        <w:gridCol w:w="821"/>
        <w:gridCol w:w="109"/>
        <w:gridCol w:w="109"/>
        <w:gridCol w:w="109"/>
        <w:gridCol w:w="211"/>
        <w:gridCol w:w="466"/>
        <w:gridCol w:w="109"/>
        <w:gridCol w:w="109"/>
        <w:gridCol w:w="109"/>
        <w:gridCol w:w="109"/>
        <w:gridCol w:w="211"/>
        <w:gridCol w:w="466"/>
        <w:gridCol w:w="109"/>
        <w:gridCol w:w="109"/>
        <w:gridCol w:w="124"/>
        <w:gridCol w:w="124"/>
        <w:gridCol w:w="124"/>
        <w:gridCol w:w="124"/>
        <w:gridCol w:w="241"/>
        <w:gridCol w:w="532"/>
        <w:gridCol w:w="124"/>
        <w:gridCol w:w="109"/>
        <w:gridCol w:w="109"/>
        <w:gridCol w:w="109"/>
        <w:gridCol w:w="211"/>
        <w:gridCol w:w="466"/>
        <w:gridCol w:w="109"/>
        <w:gridCol w:w="109"/>
        <w:gridCol w:w="109"/>
        <w:gridCol w:w="109"/>
        <w:gridCol w:w="109"/>
        <w:gridCol w:w="109"/>
        <w:gridCol w:w="211"/>
        <w:gridCol w:w="466"/>
        <w:gridCol w:w="109"/>
        <w:gridCol w:w="109"/>
        <w:gridCol w:w="109"/>
        <w:gridCol w:w="109"/>
        <w:gridCol w:w="211"/>
        <w:gridCol w:w="466"/>
        <w:gridCol w:w="109"/>
        <w:gridCol w:w="109"/>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2" w:type="dxa"/>
            <w:gridSpan w:val="2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376" w:type="dxa"/>
            <w:gridSpan w:val="8"/>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489" w:type="dxa"/>
            <w:gridSpan w:val="14"/>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License and Other Revenue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231F20"/>
          <w:sz w:val="13"/>
        </w:rPr>
        <w:t>(1)</w:t>
      </w:r>
      <w:r>
        <w:rPr>
          <w:color w:val="231F20"/>
        </w:rPr>
        <w:t>    </w:t>
      </w:r>
      <w:r>
        <w:rPr>
          <w:rFonts w:ascii="Times New Roman;sans-serif" w:hAnsi="Times New Roman;sans-serif"/>
          <w:b w:val="false"/>
          <w:color w:val="231F20"/>
          <w:sz w:val="20"/>
        </w:rPr>
        <w:t xml:space="preserve">Includes over-time revenue of </w:t>
      </w:r>
      <w:r>
        <w:rPr>
          <w:rFonts w:ascii="Times New Roman;sans-serif" w:hAnsi="Times New Roman;sans-serif"/>
          <w:b w:val="false"/>
          <w:color w:val="000000"/>
          <w:sz w:val="20"/>
        </w:rPr>
        <w:t>$76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$17 million</w:t>
      </w:r>
      <w:r>
        <w:rPr>
          <w:rFonts w:ascii="Times New Roman;sans-serif" w:hAnsi="Times New Roman;sans-serif"/>
          <w:b w:val="false"/>
          <w:color w:val="231F20"/>
          <w:sz w:val="20"/>
        </w:rPr>
        <w:t xml:space="preserve">, and point-in-time revenue of </w:t>
      </w:r>
      <w:r>
        <w:rPr>
          <w:rFonts w:ascii="Times New Roman;sans-serif" w:hAnsi="Times New Roman;sans-serif"/>
          <w:b w:val="false"/>
          <w:color w:val="000000"/>
          <w:sz w:val="20"/>
        </w:rPr>
        <w:t>$396 million and $258 million</w:t>
      </w:r>
      <w:r>
        <w:rPr>
          <w:rFonts w:ascii="Times New Roman;sans-serif" w:hAnsi="Times New Roman;sans-serif"/>
          <w:b w:val="false"/>
          <w:color w:val="231F20"/>
          <w:sz w:val="20"/>
        </w:rPr>
        <w:t>, for the three months ended June 30, 2024 and 2023, respectively.</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Revenue by geographic region is allocated to individual countries based on the principal headquarters of the customers. The geographical locations are not necessarily indicative of the country in which the customer sells products containing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Company’s technology IP. The following table summarizes information pertaining to revenue from customers based on the principal headquarters address by geographic regions:</w:t>
      </w:r>
    </w:p>
    <w:tbl>
      <w:tblPr>
        <w:tblW w:w="6150" w:type="dxa"/>
        <w:jc w:val="left"/>
        <w:tblInd w:w="0" w:type="dxa"/>
        <w:tblLayout w:type="fixed"/>
        <w:tblCellMar>
          <w:top w:w="28" w:type="dxa"/>
          <w:left w:w="28" w:type="dxa"/>
          <w:bottom w:w="28" w:type="dxa"/>
          <w:right w:w="28" w:type="dxa"/>
        </w:tblCellMar>
      </w:tblPr>
      <w:tblGrid>
        <w:gridCol w:w="581"/>
        <w:gridCol w:w="510"/>
        <w:gridCol w:w="514"/>
        <w:gridCol w:w="109"/>
        <w:gridCol w:w="109"/>
        <w:gridCol w:w="109"/>
        <w:gridCol w:w="109"/>
        <w:gridCol w:w="109"/>
        <w:gridCol w:w="285"/>
        <w:gridCol w:w="285"/>
        <w:gridCol w:w="551"/>
        <w:gridCol w:w="1218"/>
        <w:gridCol w:w="285"/>
        <w:gridCol w:w="109"/>
        <w:gridCol w:w="109"/>
        <w:gridCol w:w="109"/>
        <w:gridCol w:w="211"/>
        <w:gridCol w:w="466"/>
        <w:gridCol w:w="109"/>
        <w:gridCol w:w="109"/>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376" w:type="dxa"/>
            <w:gridSpan w:val="8"/>
            <w:tcBorders/>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PRC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7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Taiwan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7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7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countries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7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    </w:t>
      </w:r>
      <w:r>
        <w:rPr>
          <w:color w:val="000000"/>
        </w:rPr>
        <w:t>“</w:t>
      </w:r>
      <w:r>
        <w:rPr>
          <w:rFonts w:ascii="Times New Roman;sans-serif" w:hAnsi="Times New Roman;sans-serif"/>
          <w:b w:val="false"/>
          <w:color w:val="000000"/>
          <w:sz w:val="20"/>
        </w:rPr>
        <w:t>PRC” means the People’s Republic of China, including the Hong Kong Special Administrative Region and the Macau Special Administrative Region, but excluding Taiwan.</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Receivables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A summary of the components of accounts receivable, net is as follows:</w:t>
      </w:r>
    </w:p>
    <w:tbl>
      <w:tblPr>
        <w:tblW w:w="7103" w:type="dxa"/>
        <w:jc w:val="left"/>
        <w:tblInd w:w="0" w:type="dxa"/>
        <w:tblLayout w:type="fixed"/>
        <w:tblCellMar>
          <w:top w:w="28" w:type="dxa"/>
          <w:left w:w="28" w:type="dxa"/>
          <w:bottom w:w="28" w:type="dxa"/>
          <w:right w:w="28" w:type="dxa"/>
        </w:tblCellMar>
      </w:tblPr>
      <w:tblGrid>
        <w:gridCol w:w="1335"/>
        <w:gridCol w:w="1173"/>
        <w:gridCol w:w="1182"/>
        <w:gridCol w:w="109"/>
        <w:gridCol w:w="109"/>
        <w:gridCol w:w="109"/>
        <w:gridCol w:w="342"/>
        <w:gridCol w:w="756"/>
        <w:gridCol w:w="176"/>
        <w:gridCol w:w="109"/>
        <w:gridCol w:w="109"/>
        <w:gridCol w:w="109"/>
        <w:gridCol w:w="377"/>
        <w:gridCol w:w="833"/>
        <w:gridCol w:w="275"/>
      </w:tblGrid>
      <w:tr>
        <w:trPr/>
        <w:tc>
          <w:tcPr>
            <w:tcW w:w="133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accounts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231F20"/>
          <w:sz w:val="20"/>
        </w:rPr>
      </w:pPr>
      <w:r>
        <w:rPr>
          <w:rFonts w:ascii="Times New Roman;sans-serif" w:hAnsi="Times New Roman;sans-serif"/>
          <w:b w:val="false"/>
          <w:color w:val="231F20"/>
          <w:sz w:val="20"/>
        </w:rPr>
        <w:t>A summary of the movement in the allowance for current expected credit losses is as follows:</w:t>
      </w:r>
    </w:p>
    <w:tbl>
      <w:tblPr>
        <w:tblW w:w="3678" w:type="dxa"/>
        <w:jc w:val="left"/>
        <w:tblInd w:w="0" w:type="dxa"/>
        <w:tblLayout w:type="fixed"/>
        <w:tblCellMar>
          <w:top w:w="28" w:type="dxa"/>
          <w:left w:w="28" w:type="dxa"/>
          <w:bottom w:w="28" w:type="dxa"/>
          <w:right w:w="28" w:type="dxa"/>
        </w:tblCellMar>
      </w:tblPr>
      <w:tblGrid>
        <w:gridCol w:w="950"/>
        <w:gridCol w:w="834"/>
        <w:gridCol w:w="841"/>
        <w:gridCol w:w="109"/>
        <w:gridCol w:w="109"/>
        <w:gridCol w:w="109"/>
        <w:gridCol w:w="211"/>
        <w:gridCol w:w="36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ans-serif" w:hAnsi="Times New Roman;sans-serif"/>
          <w:b/>
          <w:i/>
          <w:color w:val="000000"/>
          <w:sz w:val="20"/>
        </w:rPr>
        <w:t>Contract</w:t>
      </w:r>
      <w:r>
        <w:rPr>
          <w:color w:val="231F20"/>
        </w:rPr>
        <w:t xml:space="preserve"> </w:t>
      </w:r>
      <w:r>
        <w:rPr>
          <w:rFonts w:ascii="Times New Roman;sans-serif" w:hAnsi="Times New Roman;sans-serif"/>
          <w:b/>
          <w:i/>
          <w:color w:val="231F20"/>
          <w:sz w:val="20"/>
        </w:rPr>
        <w:t>Assets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timing of revenue recognition may differ from the timing of invoicing to customers. Contract assets are created when invoicing occurs subsequent to revenue recognition. Contract assets are transferred to accounts receivable when the right to invoice becomes unconditional. Contract assets increased by $383.8 million and $663.9 million due to the timing of billings to customers, which fell into subsequent periods, as of June 30, 2024 and March 31, 2024, respectively, offset by $141.4 million and $357.4 million of contract assets transferred to accounts receivable, as of June 30, 2024 and March 31, 2024, respectively. The balance and activity for loss allowances related to contract assets was immaterial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A reconciliation of the movement in contract liabilities is as follows:</w:t>
      </w:r>
    </w:p>
    <w:tbl>
      <w:tblPr>
        <w:tblW w:w="10205" w:type="dxa"/>
        <w:jc w:val="left"/>
        <w:tblInd w:w="0" w:type="dxa"/>
        <w:tblLayout w:type="fixed"/>
        <w:tblCellMar>
          <w:top w:w="28" w:type="dxa"/>
          <w:left w:w="28" w:type="dxa"/>
          <w:bottom w:w="28" w:type="dxa"/>
          <w:right w:w="28" w:type="dxa"/>
        </w:tblCellMar>
      </w:tblPr>
      <w:tblGrid>
        <w:gridCol w:w="3282"/>
        <w:gridCol w:w="2869"/>
        <w:gridCol w:w="2894"/>
        <w:gridCol w:w="109"/>
        <w:gridCol w:w="109"/>
        <w:gridCol w:w="109"/>
        <w:gridCol w:w="211"/>
        <w:gridCol w:w="466"/>
        <w:gridCol w:w="156"/>
      </w:tblGrid>
      <w:tr>
        <w:trPr/>
        <w:tc>
          <w:tcPr>
            <w:tcW w:w="3282"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9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prepayment and billing in advance of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that was included in the contract liability balance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the period that was included in the contract liability balance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Balance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Satisfied Performance Obligations</w:t>
      </w:r>
    </w:p>
    <w:p>
      <w:pPr>
        <w:pStyle w:val="TextBody"/>
        <w:bidi w:val="0"/>
        <w:spacing w:lineRule="auto" w:line="288" w:before="120" w:after="240"/>
        <w:jc w:val="both"/>
        <w:rPr/>
      </w:pPr>
      <w:r>
        <w:rPr>
          <w:rFonts w:ascii="Times New Roman;sans-serif" w:hAnsi="Times New Roman;sans-serif"/>
          <w:b w:val="false"/>
          <w:color w:val="231F20"/>
          <w:sz w:val="20"/>
        </w:rPr>
        <w:t xml:space="preserve">For the three months ended June 30, 2024 and 2023, revenue recognized from previously satisfied performance obligations in prior reporting periods was </w:t>
      </w:r>
      <w:r>
        <w:rPr>
          <w:rFonts w:ascii="Times New Roman;sans-serif" w:hAnsi="Times New Roman;sans-serif"/>
          <w:b w:val="false"/>
          <w:color w:val="000000"/>
          <w:sz w:val="20"/>
        </w:rPr>
        <w:t>$471.1 million</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$400.5 million</w:t>
      </w:r>
      <w:r>
        <w:rPr>
          <w:rFonts w:ascii="Times New Roman;sans-serif" w:hAnsi="Times New Roman;sans-serif"/>
          <w:b w:val="false"/>
          <w:color w:val="231F20"/>
          <w:sz w:val="20"/>
        </w:rPr>
        <w:t>, respectively. These amounts primarily represent royalties earned during the period.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has elected to exclude potential future royalty receipts from the disclosure of remaining performance obligations. In certain arrangements, the Company’s right to consideration may not correspond directly with the performance of obligations. Revenue recognition for specified IP occurs upon delivery or beginning of license term, whichever is later. For certain subscription offerings, revenue allocated to unspecified future IP is recognized over-time, on a straight-line basis over the delivery period, commencing upon the later of the effective date of the arrangement and the transfer of the initial available IP license.</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As of June 30, 2024, the aggregate transaction price allocated to remaining performance obligations was $2,167.8 million, which includes $1.1 million of non-cancellable and non-refundable committed funds received from certain customers, where the parties are in negotiations regarding the enforceable rights and obligations of the arrangement.</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The Company expects to recognize approximately 22% of remaining performance obligations as revenue over the next 12 months, 14% over the subsequent 13-to 24-month period,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color w:val="000000"/>
          <w:sz w:val="20"/>
        </w:rPr>
      </w:pPr>
      <w:r>
        <w:rPr>
          <w:rFonts w:ascii="Times New Roman;sans-serif" w:hAnsi="Times New Roman;sans-serif"/>
          <w:b/>
          <w:color w:val="000000"/>
          <w:sz w:val="20"/>
        </w:rPr>
        <w:t>4 - Equity Investments</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A summary of the components of equity investments is as follows:</w:t>
      </w:r>
    </w:p>
    <w:tbl>
      <w:tblPr>
        <w:tblW w:w="7672" w:type="dxa"/>
        <w:jc w:val="left"/>
        <w:tblInd w:w="0" w:type="dxa"/>
        <w:tblLayout w:type="fixed"/>
        <w:tblCellMar>
          <w:top w:w="28" w:type="dxa"/>
          <w:left w:w="28" w:type="dxa"/>
          <w:bottom w:w="28" w:type="dxa"/>
          <w:right w:w="28" w:type="dxa"/>
        </w:tblCellMar>
      </w:tblPr>
      <w:tblGrid>
        <w:gridCol w:w="1542"/>
        <w:gridCol w:w="1353"/>
        <w:gridCol w:w="1364"/>
        <w:gridCol w:w="109"/>
        <w:gridCol w:w="109"/>
        <w:gridCol w:w="109"/>
        <w:gridCol w:w="342"/>
        <w:gridCol w:w="756"/>
        <w:gridCol w:w="176"/>
        <w:gridCol w:w="109"/>
        <w:gridCol w:w="109"/>
        <w:gridCol w:w="109"/>
        <w:gridCol w:w="377"/>
        <w:gridCol w:w="833"/>
        <w:gridCol w:w="275"/>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under fair value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publicly listed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 under equity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Income (loss) from equity investments, net is as follows:</w:t>
      </w:r>
    </w:p>
    <w:tbl>
      <w:tblPr>
        <w:tblW w:w="7132"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316"/>
        <w:gridCol w:w="542"/>
        <w:gridCol w:w="163"/>
        <w:gridCol w:w="163"/>
        <w:gridCol w:w="163"/>
        <w:gridCol w:w="163"/>
        <w:gridCol w:w="316"/>
        <w:gridCol w:w="609"/>
        <w:gridCol w:w="231"/>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Three Months Ended June 30,</w:t>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2024</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2023</w:t>
            </w:r>
          </w:p>
        </w:tc>
      </w:tr>
      <w:tr>
        <w:trPr/>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Equity investment in publicly listed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6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shd w:fill="FFFFFF" w:val="clear"/>
              </w:rPr>
              <w:t xml:space="preserve">Equity method investments </w:t>
            </w:r>
            <w:r>
              <w:rPr>
                <w:rFonts w:ascii="Times New Roman;sans-serif" w:hAnsi="Times New Roman;sans-serif"/>
                <w:b w:val="false"/>
                <w:color w:val="000000"/>
                <w:sz w:val="13"/>
                <w:shd w:fill="FFFFFF" w:val="clear"/>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Total 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(7)</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shd w:fill="FFFFFF" w:val="clear"/>
        </w:rPr>
        <w:t>(1)</w:t>
      </w:r>
      <w:r>
        <w:rPr>
          <w:rFonts w:ascii="Times New Roman;sans-serif" w:hAnsi="Times New Roman;sans-serif"/>
          <w:b w:val="false"/>
          <w:color w:val="231F20"/>
          <w:sz w:val="20"/>
          <w:shd w:fill="FFFFFF" w:val="clear"/>
        </w:rPr>
        <w:t>Includes equity method investments where the Company elected the fair value option, including those under the net asset value (“NAV”) practical expedient, along with investments accounted for under the equity method.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Equity method investments under fair value option</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The Company elected the fair value option to account for certain equity method investments in Acetone Limited and Ampere Computing Holdings LLC (“Ampere”). See discussion below, along with </w:t>
      </w:r>
      <w:r>
        <w:rPr>
          <w:rFonts w:ascii="Times New Roman;sans-serif" w:hAnsi="Times New Roman;sans-serif"/>
          <w:b w:val="false"/>
          <w:i/>
          <w:color w:val="000000"/>
          <w:sz w:val="20"/>
          <w:shd w:fill="FFFFFF" w:val="clear"/>
        </w:rPr>
        <w:t>Note 7 - Fair Value</w:t>
      </w:r>
      <w:r>
        <w:rPr>
          <w:rFonts w:ascii="Times New Roman;sans-serif" w:hAnsi="Times New Roman;sans-serif"/>
          <w:b w:val="false"/>
          <w:color w:val="000000"/>
          <w:sz w:val="20"/>
          <w:shd w:fill="FFFFFF" w:val="clear"/>
        </w:rPr>
        <w:t>, for further information.</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For the three months ended June 30, 2024 and </w:t>
      </w:r>
      <w:r>
        <w:rPr>
          <w:rFonts w:ascii="Times New Roman;sans-serif" w:hAnsi="Times New Roman;sans-serif"/>
          <w:b w:val="false"/>
          <w:color w:val="231F20"/>
          <w:sz w:val="20"/>
          <w:shd w:fill="FFFFFF" w:val="clear"/>
        </w:rPr>
        <w:t>2023</w:t>
      </w:r>
      <w:r>
        <w:rPr>
          <w:rFonts w:ascii="Times New Roman;sans-serif" w:hAnsi="Times New Roman;sans-serif"/>
          <w:b w:val="false"/>
          <w:color w:val="000000"/>
          <w:sz w:val="20"/>
          <w:shd w:fill="FFFFFF" w:val="clear"/>
        </w:rPr>
        <w:t>, income (loss) from equity method investments not accounted under the fair value option or the NAV practical expedient was immaterial.</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holds equity method investments in funds accounted for under the fair value option that apply the NAV practical expedient. The estimated fair values of the Company’s equity securities at fair value that qualify for the NAV practical expedient were provided by the funds based on the indicated market values of the underlying assets or investment portfolios. As of June 30, 2024 and March 31, 2024, the carrying value of equity method investments under the fair value option measured at NAV was $106.0 million and $106.2 million, respectively. </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For the three months ended June 30, 2024 and 2023</w:t>
      </w:r>
      <w:r>
        <w:rPr>
          <w:rFonts w:ascii="Times New Roman;sans-serif" w:hAnsi="Times New Roman;sans-serif"/>
          <w:b w:val="false"/>
          <w:color w:val="231F2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the Company recognized losses from changes in fair value of $0.4 million in both periods for equity method investments accounted for under the NAV practical expedient. Changes in fair value are recorded through income (loss) from equity investments, net in the Condensed Consolidated Income Statements.</w:t>
      </w:r>
    </w:p>
    <w:p>
      <w:pPr>
        <w:pStyle w:val="TextBody"/>
        <w:bidi w:val="0"/>
        <w:spacing w:lineRule="auto" w:line="288" w:before="120" w:after="2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Acetone Limited</w:t>
      </w:r>
    </w:p>
    <w:p>
      <w:pPr>
        <w:pStyle w:val="TextBody"/>
        <w:bidi w:val="0"/>
        <w:spacing w:lineRule="auto" w:line="288" w:before="120" w:after="240"/>
        <w:jc w:val="both"/>
        <w:rPr/>
      </w:pPr>
      <w:r>
        <w:rPr>
          <w:rFonts w:ascii="Times New Roman;sans-serif" w:hAnsi="Times New Roman;sans-serif"/>
          <w:b w:val="false"/>
          <w:color w:val="231F20"/>
          <w:sz w:val="20"/>
        </w:rPr>
        <w:t xml:space="preserve">As </w:t>
      </w:r>
      <w:r>
        <w:rPr>
          <w:rFonts w:ascii="Times New Roman;sans-serif" w:hAnsi="Times New Roman;sans-serif"/>
          <w:b w:val="false"/>
          <w:color w:val="000000"/>
          <w:sz w:val="20"/>
        </w:rPr>
        <w:t>of June 30, 2024 and March 31, 2024</w:t>
      </w:r>
      <w:r>
        <w:rPr>
          <w:rFonts w:ascii="Times New Roman;sans-serif" w:hAnsi="Times New Roman;sans-serif"/>
          <w:b w:val="false"/>
          <w:color w:val="231F20"/>
          <w:sz w:val="20"/>
        </w:rPr>
        <w:t xml:space="preserve">, the carrying value of </w:t>
      </w:r>
      <w:r>
        <w:rPr>
          <w:rFonts w:ascii="Times New Roman;sans-serif" w:hAnsi="Times New Roman;sans-serif"/>
          <w:b w:val="false"/>
          <w:color w:val="000000"/>
          <w:sz w:val="20"/>
        </w:rPr>
        <w:t>the Company’s</w:t>
      </w:r>
      <w:r>
        <w:rPr>
          <w:color w:val="231F20"/>
        </w:rPr>
        <w:t xml:space="preserve"> </w:t>
      </w:r>
      <w:r>
        <w:rPr>
          <w:rFonts w:ascii="Times New Roman;sans-serif" w:hAnsi="Times New Roman;sans-serif"/>
          <w:b w:val="false"/>
          <w:color w:val="231F20"/>
          <w:sz w:val="20"/>
        </w:rPr>
        <w:t xml:space="preserve">equity </w:t>
      </w:r>
      <w:r>
        <w:rPr>
          <w:rFonts w:ascii="Times New Roman;sans-serif" w:hAnsi="Times New Roman;sans-serif"/>
          <w:b w:val="false"/>
          <w:color w:val="000000"/>
          <w:sz w:val="20"/>
        </w:rPr>
        <w:t>method investment in Acetone Limited was</w:t>
      </w:r>
      <w:r>
        <w:rPr>
          <w:color w:val="231F20"/>
        </w:rPr>
        <w:t xml:space="preserve"> </w:t>
      </w:r>
      <w:r>
        <w:rPr>
          <w:rFonts w:ascii="Times New Roman;sans-serif" w:hAnsi="Times New Roman;sans-serif"/>
          <w:b w:val="false"/>
          <w:color w:val="231F20"/>
          <w:sz w:val="20"/>
        </w:rPr>
        <w:t xml:space="preserve">$76.5 million. For the three months ended June 30, 2024, the Company did </w:t>
      </w:r>
      <w:r>
        <w:rPr>
          <w:rFonts w:ascii="Times New Roman;sans-serif" w:hAnsi="Times New Roman;sans-serif"/>
          <w:b w:val="false"/>
          <w:color w:val="000000"/>
          <w:sz w:val="20"/>
        </w:rPr>
        <w:t>not</w:t>
      </w:r>
      <w:r>
        <w:rPr>
          <w:color w:val="231F20"/>
        </w:rPr>
        <w:t xml:space="preserve"> </w:t>
      </w:r>
      <w:r>
        <w:rPr>
          <w:rFonts w:ascii="Times New Roman;sans-serif" w:hAnsi="Times New Roman;sans-serif"/>
          <w:b w:val="false"/>
          <w:color w:val="231F20"/>
          <w:sz w:val="20"/>
        </w:rPr>
        <w:t xml:space="preserve">recognize fair value gains or losses for its investment in Acetone Limited. For the </w:t>
      </w:r>
      <w:r>
        <w:rPr>
          <w:rFonts w:ascii="Times New Roman;sans-serif" w:hAnsi="Times New Roman;sans-serif"/>
          <w:b w:val="false"/>
          <w:color w:val="000000"/>
          <w:sz w:val="20"/>
        </w:rPr>
        <w:t>three months ended June 30, 2023,</w:t>
      </w:r>
      <w:r>
        <w:rPr>
          <w:color w:val="231F20"/>
        </w:rPr>
        <w:t xml:space="preserve"> </w:t>
      </w:r>
      <w:r>
        <w:rPr>
          <w:rFonts w:ascii="Times New Roman;sans-serif" w:hAnsi="Times New Roman;sans-serif"/>
          <w:b w:val="false"/>
          <w:color w:val="231F20"/>
          <w:sz w:val="20"/>
        </w:rPr>
        <w:t xml:space="preserve">the Company recognized fair value losses of </w:t>
      </w:r>
      <w:r>
        <w:rPr>
          <w:rFonts w:ascii="Times New Roman;sans-serif" w:hAnsi="Times New Roman;sans-serif"/>
          <w:b w:val="false"/>
          <w:color w:val="000000"/>
          <w:sz w:val="20"/>
        </w:rPr>
        <w:t>$9.6 million</w:t>
      </w:r>
      <w:r>
        <w:rPr>
          <w:color w:val="231F20"/>
        </w:rPr>
        <w:t xml:space="preserve"> </w:t>
      </w:r>
      <w:r>
        <w:rPr>
          <w:rFonts w:ascii="Times New Roman;sans-serif" w:hAnsi="Times New Roman;sans-serif"/>
          <w:b w:val="false"/>
          <w:color w:val="231F20"/>
          <w:sz w:val="20"/>
        </w:rPr>
        <w:t xml:space="preserve">for its investment in Acetone Limited in </w:t>
      </w:r>
      <w:r>
        <w:rPr>
          <w:rFonts w:ascii="Times New Roman;sans-serif" w:hAnsi="Times New Roman;sans-serif"/>
          <w:b w:val="false"/>
          <w:color w:val="000000"/>
          <w:sz w:val="20"/>
        </w:rPr>
        <w:t>income (loss) from equity investments, net in the Condensed Consolidated Income Statements</w:t>
      </w:r>
      <w:r>
        <w:rPr>
          <w:rFonts w:ascii="Times New Roman;sans-serif" w:hAnsi="Times New Roman;sans-serif"/>
          <w:b w:val="false"/>
          <w:color w:val="231F2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Ampere</w:t>
      </w:r>
    </w:p>
    <w:p>
      <w:pPr>
        <w:pStyle w:val="TextBody"/>
        <w:bidi w:val="0"/>
        <w:spacing w:lineRule="auto" w:line="288" w:before="120" w:after="240"/>
        <w:jc w:val="both"/>
        <w:rPr/>
      </w:pPr>
      <w:r>
        <w:rPr>
          <w:rFonts w:ascii="Times New Roman;sans-serif" w:hAnsi="Times New Roman;sans-serif"/>
          <w:b w:val="false"/>
          <w:color w:val="000000"/>
          <w:sz w:val="20"/>
        </w:rPr>
        <w:t xml:space="preserve">As of June 30, 2024 and March 31, 2024, the carrying value of the Company’s equity method investment in Ampere was $389.8 million. For the </w:t>
      </w:r>
      <w:r>
        <w:rPr>
          <w:rFonts w:ascii="Times New Roman;sans-serif" w:hAnsi="Times New Roman;sans-serif"/>
          <w:b w:val="false"/>
          <w:color w:val="231F20"/>
          <w:sz w:val="20"/>
        </w:rPr>
        <w:t xml:space="preserve">three months ended June 30, 2024 and </w:t>
      </w:r>
      <w:r>
        <w:rPr>
          <w:rFonts w:ascii="Times New Roman;sans-serif" w:hAnsi="Times New Roman;sans-serif"/>
          <w:b w:val="false"/>
          <w:color w:val="000000"/>
          <w:sz w:val="20"/>
        </w:rPr>
        <w:t>2023</w:t>
      </w:r>
      <w:r>
        <w:rPr>
          <w:rFonts w:ascii="Times New Roman;sans-serif" w:hAnsi="Times New Roman;sans-serif"/>
          <w:b w:val="false"/>
          <w:color w:val="231F20"/>
          <w:sz w:val="20"/>
        </w:rPr>
        <w:t>, the Company did not recognize any fair value gains or losses for its investment in Ampere.</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March 31, 2024, the outstanding balance of the convertible promissory note with Ampere was $32.7 million and $32.4 million, respectively, which is included in other non-current assets on the Condensed Consolidated Balance Sheets. The Company’s maximum exposure to loss is the amounts invested in, and advanced to, Ampere as of June 30, 2024.</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Equity investment in publicly listed company</w:t>
      </w:r>
    </w:p>
    <w:p>
      <w:pPr>
        <w:pStyle w:val="TextBody"/>
        <w:bidi w:val="0"/>
        <w:spacing w:lineRule="auto" w:line="288" w:before="120" w:after="240"/>
        <w:jc w:val="both"/>
        <w:rPr/>
      </w:pPr>
      <w:r>
        <w:rPr>
          <w:rFonts w:ascii="Times New Roman;sans-serif" w:hAnsi="Times New Roman;sans-serif"/>
          <w:b w:val="false"/>
          <w:color w:val="000000"/>
          <w:sz w:val="20"/>
        </w:rPr>
        <w:t xml:space="preserve">In June 2024, the Company purchased $35.3 million of Raspberry Pi Holdings plc’s (“Raspberry Pi”) ordinary shares in the initial public offering of Raspberry Pi. As of June 30, 2024, the carrying value for this equity investment in a publicly listed company was $82.3 million, which included $20.0 million of existing investment carrying value classified as non-marketable equity securities as of March 31, 2024 and $27.0 million </w:t>
      </w:r>
      <w:r>
        <w:rPr>
          <w:rFonts w:ascii="Times New Roman;sans-serif" w:hAnsi="Times New Roman;sans-serif"/>
          <w:b w:val="false"/>
          <w:color w:val="231F20"/>
          <w:sz w:val="20"/>
        </w:rPr>
        <w:t xml:space="preserve">recognized </w:t>
      </w:r>
      <w:r>
        <w:rPr>
          <w:rFonts w:ascii="Times New Roman;sans-serif" w:hAnsi="Times New Roman;sans-serif"/>
          <w:b w:val="false"/>
          <w:color w:val="000000"/>
          <w:sz w:val="20"/>
        </w:rPr>
        <w:t xml:space="preserve">gains from changes in fair value for equity investment in a publicly listed company for the </w:t>
      </w:r>
      <w:r>
        <w:rPr>
          <w:rFonts w:ascii="Times New Roman;sans-serif" w:hAnsi="Times New Roman;sans-serif"/>
          <w:b w:val="false"/>
          <w:color w:val="231F20"/>
          <w:sz w:val="20"/>
        </w:rPr>
        <w:t>three months ended June 30, 2024</w:t>
      </w:r>
      <w:r>
        <w:rPr>
          <w:rFonts w:ascii="Times New Roman;sans-serif" w:hAnsi="Times New Roman;sans-serif"/>
          <w:b w:val="false"/>
          <w:color w:val="000000"/>
          <w:sz w:val="20"/>
        </w:rPr>
        <w:t>.</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Non-marketable Equity Securities</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June 30, 2024 and March 31, 2024, the carrying value of assets measured at NAV was $16.1 million and $17.8 million, respectively. For the three months ended June 30, 2024 and 2023, the Company recognized losses of $1.7 million and gains of $2.5 million, respectively, from changes in fair value for non-marketable securities accounted for under the NAV practical expedient. </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Company elected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components of gains and (losses), which primarily include unrealized gains and losses on non-marketable securities inclusive of those measured under the NAV practical expedient, are as follows:</w:t>
      </w:r>
    </w:p>
    <w:tbl>
      <w:tblPr>
        <w:tblW w:w="10205" w:type="dxa"/>
        <w:jc w:val="left"/>
        <w:tblInd w:w="0" w:type="dxa"/>
        <w:tblLayout w:type="fixed"/>
        <w:tblCellMar>
          <w:top w:w="28" w:type="dxa"/>
          <w:left w:w="28" w:type="dxa"/>
          <w:bottom w:w="28" w:type="dxa"/>
          <w:right w:w="28" w:type="dxa"/>
        </w:tblCellMar>
      </w:tblPr>
      <w:tblGrid>
        <w:gridCol w:w="2418"/>
        <w:gridCol w:w="2120"/>
        <w:gridCol w:w="2144"/>
        <w:gridCol w:w="109"/>
        <w:gridCol w:w="109"/>
        <w:gridCol w:w="109"/>
        <w:gridCol w:w="109"/>
        <w:gridCol w:w="109"/>
        <w:gridCol w:w="109"/>
        <w:gridCol w:w="350"/>
        <w:gridCol w:w="548"/>
        <w:gridCol w:w="180"/>
        <w:gridCol w:w="180"/>
        <w:gridCol w:w="180"/>
        <w:gridCol w:w="180"/>
        <w:gridCol w:w="350"/>
        <w:gridCol w:w="450"/>
        <w:gridCol w:w="180"/>
        <w:gridCol w:w="109"/>
        <w:gridCol w:w="162"/>
      </w:tblGrid>
      <w:tr>
        <w:trPr/>
        <w:tc>
          <w:tcPr>
            <w:tcW w:w="2418"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271" w:type="dxa"/>
            <w:gridSpan w:val="2"/>
            <w:tcBorders/>
          </w:tcPr>
          <w:p>
            <w:pPr>
              <w:pStyle w:val="TableContents"/>
              <w:bidi w:val="0"/>
              <w:spacing w:before="0" w:after="283"/>
              <w:jc w:val="left"/>
              <w:rPr>
                <w:sz w:val="4"/>
                <w:szCs w:val="4"/>
              </w:rPr>
            </w:pPr>
            <w:r>
              <w:rPr>
                <w:sz w:val="4"/>
                <w:szCs w:val="4"/>
              </w:rPr>
            </w:r>
          </w:p>
        </w:tc>
      </w:tr>
      <w:tr>
        <w:trPr/>
        <w:tc>
          <w:tcPr>
            <w:tcW w:w="6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price adjustments on 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of non-marketable 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income (loss) from equity investments in non-marketable securities,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(3)</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3</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pPr>
      <w:r>
        <w:rPr>
          <w:rFonts w:ascii="Times New Roman;sans-serif" w:hAnsi="Times New Roman;sans-serif"/>
          <w:b w:val="false"/>
          <w:color w:val="000000"/>
          <w:sz w:val="20"/>
          <w:shd w:fill="FFFFFF" w:val="clear"/>
        </w:rPr>
        <w:t>All equity method investments held by the Company are considered long-term to enable ecosystem growth and are non-current assets. For the three months ended June 30, 2024 and 2023, the Company recognized $0.1 million and $0.3 million, respectively, in dividends from equity investments measured using the NAV practical expedient. The total amount of financial commitments to existing investees of the Company not provided for in the condensed consolidated financial statements was</w:t>
      </w:r>
      <w:r>
        <w:rPr>
          <w:color w:val="231F20"/>
          <w:shd w:fill="FFFFFF" w:val="clear"/>
        </w:rPr>
        <w:t xml:space="preserve"> </w:t>
      </w:r>
      <w:r>
        <w:rPr>
          <w:rFonts w:ascii="Times New Roman;sans-serif" w:hAnsi="Times New Roman;sans-serif"/>
          <w:b w:val="false"/>
          <w:color w:val="231F20"/>
          <w:sz w:val="20"/>
          <w:shd w:fill="FFFFFF" w:val="clear"/>
        </w:rPr>
        <w:t xml:space="preserve">$19.6 million and $19.9 million,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231F20"/>
          <w:sz w:val="20"/>
          <w:shd w:fill="FFFFFF" w:val="clear"/>
        </w:rPr>
        <w:t>June 30, 2024 and</w:t>
      </w:r>
      <w:r>
        <w:rPr>
          <w:color w:val="000000"/>
          <w:shd w:fill="FFFFFF" w:val="clear"/>
        </w:rPr>
        <w:t xml:space="preserve"> </w:t>
      </w:r>
      <w:r>
        <w:rPr>
          <w:rFonts w:ascii="Times New Roman;sans-serif" w:hAnsi="Times New Roman;sans-serif"/>
          <w:b w:val="false"/>
          <w:color w:val="000000"/>
          <w:sz w:val="20"/>
          <w:shd w:fill="FFFFFF" w:val="clear"/>
        </w:rPr>
        <w:t>March 31, 2024, respectively</w:t>
      </w:r>
      <w:r>
        <w:rPr>
          <w:rFonts w:ascii="Times New Roman;sans-serif" w:hAnsi="Times New Roman;sans-serif"/>
          <w:b w:val="false"/>
          <w:color w:val="231F2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5 - Financial Instruments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Loans and Other Receivables</w:t>
      </w:r>
    </w:p>
    <w:p>
      <w:pPr>
        <w:pStyle w:val="TextBody"/>
        <w:bidi w:val="0"/>
        <w:spacing w:lineRule="auto" w:line="288" w:before="120" w:after="24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Loans and other receivables carried at amortized cost is as follows:</w:t>
      </w:r>
    </w:p>
    <w:tbl>
      <w:tblPr>
        <w:tblW w:w="8438" w:type="dxa"/>
        <w:jc w:val="left"/>
        <w:tblInd w:w="0" w:type="dxa"/>
        <w:tblLayout w:type="fixed"/>
        <w:tblCellMar>
          <w:top w:w="28" w:type="dxa"/>
          <w:left w:w="28" w:type="dxa"/>
          <w:bottom w:w="28" w:type="dxa"/>
          <w:right w:w="28" w:type="dxa"/>
        </w:tblCellMar>
      </w:tblPr>
      <w:tblGrid>
        <w:gridCol w:w="1819"/>
        <w:gridCol w:w="1596"/>
        <w:gridCol w:w="1610"/>
        <w:gridCol w:w="109"/>
        <w:gridCol w:w="109"/>
        <w:gridCol w:w="109"/>
        <w:gridCol w:w="395"/>
        <w:gridCol w:w="676"/>
        <w:gridCol w:w="204"/>
        <w:gridCol w:w="109"/>
        <w:gridCol w:w="109"/>
        <w:gridCol w:w="109"/>
        <w:gridCol w:w="431"/>
        <w:gridCol w:w="738"/>
        <w:gridCol w:w="315"/>
      </w:tblGrid>
      <w:tr>
        <w:trPr/>
        <w:tc>
          <w:tcPr>
            <w:tcW w:w="18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and other receivables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Loans and other receivables carried at 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allowance for current expected credit losses reflects the Company’s best estimate of expected credit losses of the receivables portfolio determined on the basis of historical experience, current information, and forecasts of future economic conditions.</w:t>
      </w:r>
    </w:p>
    <w:p>
      <w:pPr>
        <w:pStyle w:val="TextBody"/>
        <w:bidi w:val="0"/>
        <w:spacing w:lineRule="auto" w:line="288" w:before="120" w:after="24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Loans receivable</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231F20"/>
          <w:sz w:val="20"/>
          <w:shd w:fill="FFFFFF" w:val="clear"/>
        </w:rPr>
        <w:t xml:space="preserve">June 30, 2024 and March 31, 2024, the Company had a loan receivable of $16.3 million and </w:t>
      </w:r>
      <w:r>
        <w:rPr>
          <w:rFonts w:ascii="Times New Roman;sans-serif" w:hAnsi="Times New Roman;sans-serif"/>
          <w:b w:val="false"/>
          <w:color w:val="000000"/>
          <w:sz w:val="20"/>
          <w:shd w:fill="FFFFFF" w:val="clear"/>
        </w:rPr>
        <w:t>$16.2 million, respectively, from</w:t>
      </w:r>
      <w:r>
        <w:rPr>
          <w:color w:val="231F20"/>
          <w:shd w:fill="FFFFFF" w:val="clear"/>
        </w:rPr>
        <w:t xml:space="preserve"> </w:t>
      </w:r>
      <w:r>
        <w:rPr>
          <w:rFonts w:ascii="Times New Roman;sans-serif" w:hAnsi="Times New Roman;sans-serif"/>
          <w:b w:val="false"/>
          <w:color w:val="231F20"/>
          <w:sz w:val="20"/>
          <w:shd w:fill="FFFFFF" w:val="clear"/>
        </w:rPr>
        <w:t>Arduino SA (“Arduino”), a related party, that remained fully impaired for the periods presented.</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231F20"/>
          <w:sz w:val="20"/>
          <w:shd w:fill="FFFFFF" w:val="clear"/>
        </w:rPr>
        <w:t>June 30, 2024 and March 31, 2024, the Company had a four-year loan of $3.2 million and $3.1 million, respectively, issued to Cerfe Labs, Inc, a related party, that remained fully impaired for the periods presented.</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remaining balance of loans receivables as of June 30, 2024 and March 31, 2024 comprised two five-year loans totaling $7.0 million and $6.9 million, respectively, issued to Allia Limited.</w:t>
      </w:r>
    </w:p>
    <w:p>
      <w:pPr>
        <w:pStyle w:val="TextBody"/>
        <w:bidi w:val="0"/>
        <w:spacing w:lineRule="auto" w:line="288" w:before="120" w:after="2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Other receivables</w:t>
      </w:r>
    </w:p>
    <w:p>
      <w:pPr>
        <w:pStyle w:val="TextBody"/>
        <w:bidi w:val="0"/>
        <w:spacing w:lineRule="auto" w:line="288" w:before="120" w:after="24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As of June 30, 2024 and March 31, 2024, balances included in other receivables pertain to lease deposits and other receivables. </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Convertible Loans Receivable</w:t>
      </w:r>
    </w:p>
    <w:p>
      <w:pPr>
        <w:pStyle w:val="TextBody"/>
        <w:bidi w:val="0"/>
        <w:spacing w:lineRule="auto" w:line="288" w:before="120" w:after="240"/>
        <w:jc w:val="both"/>
        <w:rPr/>
      </w:pPr>
      <w:r>
        <w:rPr>
          <w:rFonts w:ascii="Times New Roman;sans-serif" w:hAnsi="Times New Roman;sans-serif"/>
          <w:b w:val="false"/>
          <w:color w:val="231F20"/>
          <w:sz w:val="20"/>
          <w:shd w:fill="FFFFFF" w:val="clear"/>
        </w:rPr>
        <w:t>In December 2021, the Company acquired a $29.0 million principal balance convertible loan in Ampere. The Company elected the fair value option to measure this convertible loan receivable for which changes in fair value are recorded in other non-operating income (loss), net in the Condensed Consolidated Income Statements.</w:t>
      </w:r>
      <w:r>
        <w:rPr>
          <w:color w:val="231F20"/>
        </w:rPr>
        <w:t xml:space="preserve"> </w:t>
      </w:r>
      <w:r>
        <w:rPr>
          <w:rFonts w:ascii="Times New Roman;sans-serif" w:hAnsi="Times New Roman;sans-serif"/>
          <w:b w:val="false"/>
          <w:color w:val="000000"/>
          <w:sz w:val="20"/>
        </w:rPr>
        <w:t>For the three months ended June 30, 2024 and 2023</w:t>
      </w:r>
      <w:r>
        <w:rPr>
          <w:rFonts w:ascii="Times New Roman;sans-serif" w:hAnsi="Times New Roman;sans-serif"/>
          <w:b w:val="false"/>
          <w:color w:val="231F20"/>
          <w:sz w:val="20"/>
        </w:rPr>
        <w:t>, the Company recognized gains on this convertible loan receivable of $1.0 million and $0.4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6 - Derivatives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uses derivative financial instruments, specifically foreign currency forward contracts, to mitigate exposure from certain foreign currency risk. Certain forecasted transactions, specifically GBP denominated cash flows in the form of payroll and selling, general and administrative expenses are exposed to foreign currency risk. </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231F20"/>
          <w:sz w:val="20"/>
          <w:shd w:fill="FFFFFF" w:val="clear"/>
        </w:rPr>
        <w:t>June 30, 2024</w:t>
      </w:r>
      <w:r>
        <w:rPr>
          <w:rFonts w:ascii="Times New Roman;sans-serif" w:hAnsi="Times New Roman;sans-serif"/>
          <w:b w:val="false"/>
          <w:color w:val="000000"/>
          <w:sz w:val="20"/>
          <w:shd w:fill="FFFFFF" w:val="clear"/>
        </w:rPr>
        <w:t xml:space="preserve">, the notional value of outstanding foreign currency forward contracts was £457.0 million and the fair value was $1.7 million. As of March 31, 2024, the notional value of outstanding foreign currency forward contracts was £728.0 million and the fair value was $0.1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notional amounts of the Company’s outstanding derivative instruments:</w:t>
      </w:r>
    </w:p>
    <w:tbl>
      <w:tblPr>
        <w:tblW w:w="6353"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342"/>
        <w:gridCol w:w="756"/>
        <w:gridCol w:w="176"/>
        <w:gridCol w:w="109"/>
        <w:gridCol w:w="109"/>
        <w:gridCol w:w="109"/>
        <w:gridCol w:w="377"/>
        <w:gridCol w:w="833"/>
        <w:gridCol w:w="27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of</w:t>
            </w:r>
          </w:p>
        </w:tc>
      </w:tr>
      <w:tr>
        <w:trPr/>
        <w:tc>
          <w:tcPr>
            <w:tcW w:w="29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March 31, 2024</w:t>
            </w:r>
          </w:p>
        </w:tc>
      </w:tr>
      <w:tr>
        <w:trP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919 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presents the fair value of the Company’s outstanding derivative instruments: </w:t>
      </w:r>
    </w:p>
    <w:tbl>
      <w:tblPr>
        <w:tblW w:w="9829" w:type="dxa"/>
        <w:jc w:val="left"/>
        <w:tblInd w:w="0" w:type="dxa"/>
        <w:tblLayout w:type="fixed"/>
        <w:tblCellMar>
          <w:top w:w="28" w:type="dxa"/>
          <w:left w:w="28" w:type="dxa"/>
          <w:bottom w:w="28" w:type="dxa"/>
          <w:right w:w="28" w:type="dxa"/>
        </w:tblCellMar>
      </w:tblPr>
      <w:tblGrid>
        <w:gridCol w:w="1064"/>
        <w:gridCol w:w="933"/>
        <w:gridCol w:w="942"/>
        <w:gridCol w:w="109"/>
        <w:gridCol w:w="109"/>
        <w:gridCol w:w="109"/>
        <w:gridCol w:w="466"/>
        <w:gridCol w:w="567"/>
        <w:gridCol w:w="241"/>
        <w:gridCol w:w="115"/>
        <w:gridCol w:w="115"/>
        <w:gridCol w:w="115"/>
        <w:gridCol w:w="526"/>
        <w:gridCol w:w="639"/>
        <w:gridCol w:w="274"/>
        <w:gridCol w:w="109"/>
        <w:gridCol w:w="109"/>
        <w:gridCol w:w="109"/>
        <w:gridCol w:w="467"/>
        <w:gridCol w:w="567"/>
        <w:gridCol w:w="240"/>
        <w:gridCol w:w="140"/>
        <w:gridCol w:w="140"/>
        <w:gridCol w:w="140"/>
        <w:gridCol w:w="505"/>
        <w:gridCol w:w="612"/>
        <w:gridCol w:w="367"/>
      </w:tblGrid>
      <w:tr>
        <w:trPr/>
        <w:tc>
          <w:tcPr>
            <w:tcW w:w="10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Derivative Liabilities</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As of</w:t>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June 30, 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June 30, 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March 31, 2024</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Designated as cash flow hedges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27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Cash Flow Hedge Gains (Losses)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presents net gains (losses) on foreign currency forward contracts designated as cash flow hedges: </w:t>
      </w:r>
    </w:p>
    <w:tbl>
      <w:tblPr>
        <w:tblW w:w="10205" w:type="dxa"/>
        <w:jc w:val="left"/>
        <w:tblInd w:w="0" w:type="dxa"/>
        <w:tblLayout w:type="fixed"/>
        <w:tblCellMar>
          <w:top w:w="28" w:type="dxa"/>
          <w:left w:w="28" w:type="dxa"/>
          <w:bottom w:w="28" w:type="dxa"/>
          <w:right w:w="28" w:type="dxa"/>
        </w:tblCellMar>
      </w:tblPr>
      <w:tblGrid>
        <w:gridCol w:w="2663"/>
        <w:gridCol w:w="2335"/>
        <w:gridCol w:w="2362"/>
        <w:gridCol w:w="109"/>
        <w:gridCol w:w="109"/>
        <w:gridCol w:w="109"/>
        <w:gridCol w:w="304"/>
        <w:gridCol w:w="468"/>
        <w:gridCol w:w="157"/>
        <w:gridCol w:w="157"/>
        <w:gridCol w:w="157"/>
        <w:gridCol w:w="157"/>
        <w:gridCol w:w="304"/>
        <w:gridCol w:w="586"/>
        <w:gridCol w:w="228"/>
      </w:tblGrid>
      <w:tr>
        <w:trPr/>
        <w:tc>
          <w:tcPr>
            <w:tcW w:w="2663"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736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reclassified in Accumulated other comprehensive income on cash flow hedge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 losses reclassified from Accumulated other comprehensive income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ans-serif" w:hAnsi="Times New Roman;sans-serif"/>
                <w:b w:val="false"/>
                <w:color w:val="000000"/>
                <w:sz w:val="20"/>
              </w:rPr>
              <w:t xml:space="preserve">Net change in fair value of the effective portion of designated cash flow hedges, net of tax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Income Statements,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20"/>
          <w:shd w:fill="FFFFFF" w:val="clear"/>
        </w:rPr>
        <w:t>All amounts reported in accumulated other comprehensive income at the reporting date are expected to be reclassified into earnings within the next 12 months.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three months ended June 30, 2024 and 2023, the Company’s cash flow hedges were highly effective with immaterial amounts of ineffectiveness recorded in the Condensed Consolidated Income Statements for these designated cash flow hedges, and all components of each derivative instrument’s gain or loss were included in the assessment of hedge effectiveness.</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The Company classifies foreign currency forward contracts as Level 2 fair value measurements pursuant to the fair value hierarchy. See</w:t>
      </w:r>
      <w:r>
        <w:rPr>
          <w:color w:val="000000"/>
          <w:shd w:fill="FFFFFF" w:val="clear"/>
        </w:rPr>
        <w:t xml:space="preserve"> </w:t>
      </w:r>
      <w:r>
        <w:rPr>
          <w:rFonts w:ascii="Times New Roman;sans-serif" w:hAnsi="Times New Roman;sans-serif"/>
          <w:b w:val="false"/>
          <w:i/>
          <w:color w:val="000000"/>
          <w:sz w:val="20"/>
          <w:shd w:fill="FFFFFF" w:val="clear"/>
        </w:rPr>
        <w:t>Note 7 - Fair Value</w:t>
      </w:r>
      <w:r>
        <w:rPr>
          <w:rFonts w:ascii="Times New Roman;sans-serif" w:hAnsi="Times New Roman;sans-serif"/>
          <w:b w:val="false"/>
          <w:color w:val="000000"/>
          <w:sz w:val="20"/>
          <w:shd w:fill="FFFFFF" w:val="clear"/>
        </w:rPr>
        <w:t xml:space="preserv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7 - Fair Value</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To provide an indication about the reliability of the inputs used in determining fair value, the Company classifies its fair value financial instruments into the three levels prescribed under GAAP. An explanation of each level follows the tables and qualitative disclosures below.</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table presents the Company’s fair value hierarchy for assets and liabilities measured and recognized at fair value, excluding investments where the NAV practical expedient has been elected, on a recurring basis:</w:t>
      </w:r>
    </w:p>
    <w:tbl>
      <w:tblPr>
        <w:tblW w:w="10525" w:type="dxa"/>
        <w:jc w:val="left"/>
        <w:tblInd w:w="0" w:type="dxa"/>
        <w:tblLayout w:type="fixed"/>
        <w:tblCellMar>
          <w:top w:w="28" w:type="dxa"/>
          <w:left w:w="28" w:type="dxa"/>
          <w:bottom w:w="28" w:type="dxa"/>
          <w:right w:w="28" w:type="dxa"/>
        </w:tblCellMar>
      </w:tblPr>
      <w:tblGrid>
        <w:gridCol w:w="572"/>
        <w:gridCol w:w="269"/>
        <w:gridCol w:w="255"/>
        <w:gridCol w:w="109"/>
        <w:gridCol w:w="109"/>
        <w:gridCol w:w="109"/>
        <w:gridCol w:w="211"/>
        <w:gridCol w:w="616"/>
        <w:gridCol w:w="109"/>
        <w:gridCol w:w="109"/>
        <w:gridCol w:w="109"/>
        <w:gridCol w:w="109"/>
        <w:gridCol w:w="211"/>
        <w:gridCol w:w="40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66"/>
        <w:gridCol w:w="109"/>
        <w:gridCol w:w="109"/>
        <w:gridCol w:w="109"/>
        <w:gridCol w:w="109"/>
        <w:gridCol w:w="211"/>
        <w:gridCol w:w="616"/>
        <w:gridCol w:w="154"/>
      </w:tblGrid>
      <w:tr>
        <w:trPr/>
        <w:tc>
          <w:tcPr>
            <w:tcW w:w="57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Short-term investments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Equity investments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(1)</w:t>
      </w:r>
      <w:r>
        <w:rPr>
          <w:rFonts w:ascii="Times New Roman;sans-serif" w:hAnsi="Times New Roman;sans-serif"/>
          <w:b w:val="false"/>
          <w:color w:val="000000"/>
          <w:sz w:val="20"/>
          <w:shd w:fill="FFFFFF" w:val="clear"/>
        </w:rPr>
        <w:t>Short-term investments represent term deposits with banks with a maturity between 3 and 12 months.</w:t>
      </w:r>
    </w:p>
    <w:p>
      <w:pPr>
        <w:pStyle w:val="TextBody"/>
        <w:bidi w:val="0"/>
        <w:spacing w:lineRule="auto" w:line="288" w:before="60" w:after="240"/>
        <w:ind w:left="0" w:right="0" w:hanging="360"/>
        <w:jc w:val="both"/>
        <w:rPr/>
      </w:pPr>
      <w:r>
        <w:rPr>
          <w:rFonts w:ascii="Times New Roman;sans-serif" w:hAnsi="Times New Roman;sans-serif"/>
          <w:b w:val="false"/>
          <w:color w:val="000000"/>
          <w:sz w:val="13"/>
          <w:shd w:fill="FFFFFF" w:val="clear"/>
        </w:rPr>
        <w:t>(2)</w:t>
      </w:r>
      <w:r>
        <w:rPr>
          <w:rFonts w:ascii="Times New Roman;sans-serif" w:hAnsi="Times New Roman;sans-serif"/>
          <w:b w:val="false"/>
          <w:color w:val="000000"/>
          <w:sz w:val="20"/>
          <w:shd w:fill="FFFFFF" w:val="clear"/>
        </w:rPr>
        <w:t xml:space="preserve">In accordance with Accounting Standards Codification (“ASC”) Subtopic 820-10, </w:t>
      </w:r>
      <w:r>
        <w:rPr>
          <w:rFonts w:ascii="Times New Roman;sans-serif" w:hAnsi="Times New Roman;sans-serif"/>
          <w:b w:val="false"/>
          <w:i/>
          <w:color w:val="000000"/>
          <w:sz w:val="20"/>
          <w:shd w:fill="FFFFFF" w:val="clear"/>
        </w:rPr>
        <w:t>Fair Value Measurements,</w:t>
      </w:r>
      <w:r>
        <w:rPr>
          <w:color w:val="000000"/>
          <w:shd w:fill="FFFFFF" w:val="clear"/>
        </w:rPr>
        <w:t xml:space="preserve"> </w:t>
      </w:r>
      <w:r>
        <w:rPr>
          <w:rFonts w:ascii="Times New Roman;sans-serif" w:hAnsi="Times New Roman;sans-serif"/>
          <w:b w:val="false"/>
          <w:color w:val="000000"/>
          <w:sz w:val="20"/>
          <w:shd w:fill="FFFFFF" w:val="clear"/>
        </w:rPr>
        <w:t>investments that are measured at fair value using the NAV practical expedient are not classified in the fair value hierarchy.</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In June 2024, Raspberry Pi, a company in which the Company has an equity investment, listed its shares publicly and became actively traded in the market. Given the investment now has a published price quotation in an active market, the investment no longer qualifies for the measurement alternative and the equity investment is now measured at fair value (Level 1) prospectively in accordance with ASC 820, </w:t>
      </w:r>
      <w:r>
        <w:rPr>
          <w:rFonts w:ascii="Times New Roman;sans-serif" w:hAnsi="Times New Roman;sans-serif"/>
          <w:b w:val="false"/>
          <w:i/>
          <w:color w:val="000000"/>
          <w:sz w:val="20"/>
          <w:shd w:fill="FFFFFF" w:val="clear"/>
        </w:rPr>
        <w:t>Fair Value Measurements</w:t>
      </w:r>
      <w:r>
        <w:rPr>
          <w:rFonts w:ascii="Times New Roman;sans-serif" w:hAnsi="Times New Roman;sans-serif"/>
          <w:b w:val="false"/>
          <w:color w:val="000000"/>
          <w:sz w:val="20"/>
          <w:shd w:fill="FFFFFF" w:val="clear"/>
        </w:rPr>
        <w:t>, as of the date of the remeasurement event, the initial public offering of Raspberry Pi.</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tables summarize changes in the fair value, along with other activity associated with the Company’s Level 3 financial assets and liabilities: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Equity Method Investments</w:t>
      </w:r>
    </w:p>
    <w:tbl>
      <w:tblPr>
        <w:tblW w:w="10013" w:type="dxa"/>
        <w:jc w:val="left"/>
        <w:tblInd w:w="0" w:type="dxa"/>
        <w:tblLayout w:type="fixed"/>
        <w:tblCellMar>
          <w:top w:w="28" w:type="dxa"/>
          <w:left w:w="28" w:type="dxa"/>
          <w:bottom w:w="28" w:type="dxa"/>
          <w:right w:w="28" w:type="dxa"/>
        </w:tblCellMar>
      </w:tblPr>
      <w:tblGrid>
        <w:gridCol w:w="2384"/>
        <w:gridCol w:w="2092"/>
        <w:gridCol w:w="2109"/>
        <w:gridCol w:w="109"/>
        <w:gridCol w:w="109"/>
        <w:gridCol w:w="109"/>
        <w:gridCol w:w="291"/>
        <w:gridCol w:w="644"/>
        <w:gridCol w:w="150"/>
        <w:gridCol w:w="150"/>
        <w:gridCol w:w="150"/>
        <w:gridCol w:w="150"/>
        <w:gridCol w:w="291"/>
        <w:gridCol w:w="644"/>
        <w:gridCol w:w="150"/>
        <w:gridCol w:w="109"/>
        <w:gridCol w:w="109"/>
        <w:gridCol w:w="109"/>
        <w:gridCol w:w="154"/>
      </w:tblGrid>
      <w:tr>
        <w:trPr/>
        <w:tc>
          <w:tcPr>
            <w:tcW w:w="2384"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assets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losses recognized in the Condensed Consolidated Income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Convertible Loans Receivable</w:t>
      </w:r>
    </w:p>
    <w:tbl>
      <w:tblPr>
        <w:tblW w:w="9970" w:type="dxa"/>
        <w:jc w:val="left"/>
        <w:tblInd w:w="0" w:type="dxa"/>
        <w:tblLayout w:type="fixed"/>
        <w:tblCellMar>
          <w:top w:w="28" w:type="dxa"/>
          <w:left w:w="28" w:type="dxa"/>
          <w:bottom w:w="28" w:type="dxa"/>
          <w:right w:w="28" w:type="dxa"/>
        </w:tblCellMar>
      </w:tblPr>
      <w:tblGrid>
        <w:gridCol w:w="2368"/>
        <w:gridCol w:w="2077"/>
        <w:gridCol w:w="2094"/>
        <w:gridCol w:w="109"/>
        <w:gridCol w:w="109"/>
        <w:gridCol w:w="109"/>
        <w:gridCol w:w="328"/>
        <w:gridCol w:w="561"/>
        <w:gridCol w:w="169"/>
        <w:gridCol w:w="169"/>
        <w:gridCol w:w="169"/>
        <w:gridCol w:w="169"/>
        <w:gridCol w:w="328"/>
        <w:gridCol w:w="561"/>
        <w:gridCol w:w="169"/>
        <w:gridCol w:w="109"/>
        <w:gridCol w:w="109"/>
        <w:gridCol w:w="109"/>
        <w:gridCol w:w="154"/>
      </w:tblGrid>
      <w:tr>
        <w:trPr/>
        <w:tc>
          <w:tcPr>
            <w:tcW w:w="2368"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assets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recognized in the Condensed Consolidated Income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Fair value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See below for a description of the valuation techniques and inputs used in the fair value measurement of Level 3 investments including equity method investments, convertible loans receivable, and currency exchange contracts.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Equity Method Investments</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The Company elected the fair value option in accordance with the guidance in ASC 825, </w:t>
      </w:r>
      <w:r>
        <w:rPr>
          <w:rFonts w:ascii="Times New Roman;sans-serif" w:hAnsi="Times New Roman;sans-serif"/>
          <w:b w:val="false"/>
          <w:i/>
          <w:color w:val="000000"/>
          <w:sz w:val="20"/>
          <w:shd w:fill="FFFFFF" w:val="clear"/>
        </w:rPr>
        <w:t>Financial Instruments</w:t>
      </w:r>
      <w:r>
        <w:rPr>
          <w:color w:val="000000"/>
          <w:shd w:fill="FFFFFF" w:val="clear"/>
        </w:rPr>
        <w:t xml:space="preserve"> </w:t>
      </w:r>
      <w:r>
        <w:rPr>
          <w:rFonts w:ascii="Times New Roman;sans-serif" w:hAnsi="Times New Roman;sans-serif"/>
          <w:b w:val="false"/>
          <w:color w:val="000000"/>
          <w:sz w:val="20"/>
          <w:shd w:fill="FFFFFF" w:val="clear"/>
        </w:rPr>
        <w:t>(“ASC 825”) for its investments in Acetone Limited and Ampere.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the (i) the market-calibration approach based on the guideline public company method, (ii) subject to availability of sufficient information, the income approach based on the discounted cash flow method, or (iii) the probability-weighted, expected return (“PWER”) approach.</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market-calibration approach considers valuation multiples that are calibrated to the valuation as of the prior valuation date (i.e., quarterly) based on: (a) changes in the broader market or industry; (b) changes in the guideline public companies; and (c) changes in the investee’s operating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PWER approach is based on discrete future exit scenarios to determine the value of various equity securities. Under the PWER approach, the share value today is based on the probability-weighted, present value of expected future distributions, taking into account the rights and preferences of each debt and equity class. The Company considers an initial public offering scenario, a sale scenario, and a scenario assuming continued operation as a private entity for future exit scenarios. The fair value computation under this approach includes key assumptions for time to liquidity outcomes, discounted rate, and present value factors.</w:t>
      </w:r>
    </w:p>
    <w:p>
      <w:pPr>
        <w:pStyle w:val="TextBody"/>
        <w:bidi w:val="0"/>
        <w:spacing w:lineRule="auto" w:line="288" w:before="120" w:after="240"/>
        <w:jc w:val="both"/>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tables provide quantitative information related to certain key assumptions utilized in the valuation of equity method investments accounted for under the fair value option:</w:t>
      </w:r>
    </w:p>
    <w:tbl>
      <w:tblPr>
        <w:tblW w:w="10205" w:type="dxa"/>
        <w:jc w:val="left"/>
        <w:tblInd w:w="0" w:type="dxa"/>
        <w:tblLayout w:type="fixed"/>
        <w:tblCellMar>
          <w:top w:w="28" w:type="dxa"/>
          <w:left w:w="28" w:type="dxa"/>
          <w:bottom w:w="28" w:type="dxa"/>
          <w:right w:w="28" w:type="dxa"/>
        </w:tblCellMar>
      </w:tblPr>
      <w:tblGrid>
        <w:gridCol w:w="499"/>
        <w:gridCol w:w="438"/>
        <w:gridCol w:w="444"/>
        <w:gridCol w:w="109"/>
        <w:gridCol w:w="109"/>
        <w:gridCol w:w="109"/>
        <w:gridCol w:w="325"/>
        <w:gridCol w:w="325"/>
        <w:gridCol w:w="327"/>
        <w:gridCol w:w="109"/>
        <w:gridCol w:w="109"/>
        <w:gridCol w:w="109"/>
        <w:gridCol w:w="364"/>
        <w:gridCol w:w="364"/>
        <w:gridCol w:w="366"/>
        <w:gridCol w:w="109"/>
        <w:gridCol w:w="109"/>
        <w:gridCol w:w="109"/>
        <w:gridCol w:w="842"/>
        <w:gridCol w:w="842"/>
        <w:gridCol w:w="810"/>
        <w:gridCol w:w="109"/>
        <w:gridCol w:w="109"/>
        <w:gridCol w:w="109"/>
        <w:gridCol w:w="494"/>
        <w:gridCol w:w="494"/>
        <w:gridCol w:w="495"/>
        <w:gridCol w:w="109"/>
        <w:gridCol w:w="109"/>
        <w:gridCol w:w="109"/>
        <w:gridCol w:w="330"/>
        <w:gridCol w:w="330"/>
        <w:gridCol w:w="481"/>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As of June 30, 2024 and March 31, 2024</w:t>
            </w:r>
          </w:p>
        </w:tc>
      </w:tr>
      <w:tr>
        <w:trPr/>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Range of Estimates</w:t>
            </w:r>
          </w:p>
        </w:tc>
      </w:tr>
      <w:tr>
        <w:trPr/>
        <w:tc>
          <w:tcPr>
            <w:tcW w:w="13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Acetone Limited – Market-Calibration or 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LTM Revenue Multiple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1.3x - 1.5x</w:t>
            </w:r>
          </w:p>
        </w:tc>
      </w:tr>
      <w:tr>
        <w:trPr/>
        <w:tc>
          <w:tcPr>
            <w:tcW w:w="13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Ampere – PWER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IPO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13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Time to future exit scenario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 years</w:t>
            </w:r>
          </w:p>
        </w:tc>
      </w:tr>
      <w:tr>
        <w:trPr/>
        <w:tc>
          <w:tcPr>
            <w:tcW w:w="13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Convertible Loans Receivable—Ampere</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2021, the Company acquired a $29.0 million convertible promissory note in Ampere, which is included in other non-current assets on the Condensed Consolidated Balance Sheets. As of June 30, 2024 and March 31, 2024, the Company’s maximum exposure to loss is the amounts invested in, and advanced to, Ampere. As of June 30, 2024 and March 31, 2024, the Company has not converted any of its convertible promissory note into equity.</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the Ampere convertible loan is based upon significant unobservable inputs, including the use of a probability weighted discounted cash flows model, requiring the Company to develop its own assumptions. Therefore, the Company has categorized this asset as a Level 3 financial asset.</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Some of the more significant unobservable inputs used in the fair value measurement of the convertible loan include applicable discount rates, the likelihood and projected timing of repayment or conversion, and projected cash flows in support of the estimated enterprise value of Ampere. Changes in these assumptions, while holding other inputs constant, could result in a significant change in the fair value of the convertible loan.</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the amortized cost of the convertible loan exceeds its estimated fair value, the security is deemed to be impaired, and must be evaluated for the recognition of credit losses. Impairment resulting from credit losses is recognized within earnings, while impairment resulting from other factors is recognized in other comprehensive income (loss). As of June 30, 2024 and March 31, 2024, the Company has not recognized any credit losses related to this convertible loan.</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calculated using significant unobservable inputs did not differ materially from the amortized cost basis as of June 30, 2024 and March 31, 2024.</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Currency Exchange Contracts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currency exchange contracts, these contracts are valued at the present value of future cash flows based on forward exchange rates at the balance sheet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8 - Shareholders’ Equity</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Employee Benefit Trust</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In September 2023, the Company established the EBT, constituted by a trust deed entered into by the Company and a professional trustee, with the principal purpose to facilitate the efficient and flexible settlement of share-based compensation arrangements with employees. The Company has the power to appoint and remove the trustee and therefore, consolidates the trust. The EBT may acquire newly issued ordinary shares or American Depositary Shares (“ADSs”), each representing one ordinary share of the Company, at a nominal value or the trustee of the EBT has the power to acquire ordinary shares or ADSs of the Company in the open market, which purchases may be funded by one or more loans from the Company to the EBT or non-repayable gifts made by the Company to the EBT. As of June 30, 2024 and March 31, 2024, the EBT held a </w:t>
      </w:r>
      <w:r>
        <w:rPr>
          <w:rFonts w:ascii="Times New Roman;sans-serif" w:hAnsi="Times New Roman;sans-serif"/>
          <w:b w:val="false"/>
          <w:color w:val="000000"/>
          <w:sz w:val="20"/>
        </w:rPr>
        <w:t>nominal</w:t>
      </w:r>
      <w:r>
        <w:rPr>
          <w:color w:val="000000"/>
          <w:shd w:fill="FFFFFF" w:val="clear"/>
        </w:rPr>
        <w:t xml:space="preserve"> </w:t>
      </w:r>
      <w:r>
        <w:rPr>
          <w:rFonts w:ascii="Times New Roman;sans-serif" w:hAnsi="Times New Roman;sans-serif"/>
          <w:b w:val="false"/>
          <w:color w:val="000000"/>
          <w:sz w:val="20"/>
          <w:shd w:fill="FFFFFF" w:val="clear"/>
        </w:rPr>
        <w:t>number and 1 million, respectively, of ADSs purchased from the Company at par value. The market value of ADSs held by the EBT on June 30, 2024 and March 31, 2024 was $5.5 million and $75.4 million, respectively. These ADSs were expected to be transferred out of the EBT, in order to settle future vesting of share-based compensation for employees. As the EBT is consolidated by the Company, ordinary shares or ADSs held by the EBT are considered authorized and issued but not outstanding for the computation of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9 - Share-based Compensation</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Compensation</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RSUs and performance share units (“PSUs”) were granted to employees, certain executive officers, and non-executive directors of the Company and require continuous service through the vesting date.</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expenses share-based compensation over the requisite service period of the awards, which is generally equivalent to the vesting term. Compensation cost is recorded only for those awards expected to vest.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fair value of RSUs is determined on the date of grant for equity-classified awards.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estimates forfeitures based on employee level, economic conditions, time remaining to vest and historical forfeiture experience.</w:t>
      </w:r>
    </w:p>
    <w:p>
      <w:pPr>
        <w:pStyle w:val="TextBody"/>
        <w:bidi w:val="0"/>
        <w:spacing w:lineRule="auto" w:line="288" w:before="120" w:after="240"/>
        <w:jc w:val="both"/>
        <w:rPr/>
      </w:pPr>
      <w:r>
        <w:rPr>
          <w:rFonts w:ascii="Times New Roman;sans-serif" w:hAnsi="Times New Roman;sans-serif"/>
          <w:b w:val="false"/>
          <w:color w:val="000000"/>
          <w:sz w:val="20"/>
        </w:rPr>
        <w:t xml:space="preserve">During the three months ended June 30, 2024, </w:t>
      </w:r>
      <w:r>
        <w:rPr>
          <w:rFonts w:ascii="Times New Roman;sans-serif" w:hAnsi="Times New Roman;sans-serif"/>
          <w:b w:val="false"/>
          <w:color w:val="000000"/>
          <w:sz w:val="20"/>
          <w:shd w:fill="FFFFFF" w:val="clear"/>
        </w:rPr>
        <w:t>for the first time, the Company has granted PSUs with Total Shareholder Return (“TSR”) as the performance measure under the Omnibus Incentive Plan. PSUs granted with a TSR as the performance measure are measured over the full three-year performance period relative to the S&amp;P 500 IT Sector Index and have the potential to vest between 0% and 200% of the original award amount depending on the relative TSR achievement. To determine the grant date fair value of the awards with TSR-based performance measures, a Monte Carlo simulation model is used. We recognize compensation expense for the market performance-based awards over the requisite service period based on the grant date fair value.</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Restricted Share Units – 2022 Arm Limited RSU Award Plan (“2022 RSU Plan”)</w:t>
      </w:r>
    </w:p>
    <w:p>
      <w:pPr>
        <w:pStyle w:val="TextBody"/>
        <w:bidi w:val="0"/>
        <w:spacing w:lineRule="auto" w:line="288" w:before="12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identifies the award activity under the 2022 RSU Plan:</w:t>
      </w:r>
    </w:p>
    <w:tbl>
      <w:tblPr>
        <w:tblW w:w="10205" w:type="dxa"/>
        <w:jc w:val="left"/>
        <w:tblInd w:w="0" w:type="dxa"/>
        <w:tblLayout w:type="fixed"/>
        <w:tblCellMar>
          <w:top w:w="28" w:type="dxa"/>
          <w:left w:w="28" w:type="dxa"/>
          <w:bottom w:w="28" w:type="dxa"/>
          <w:right w:w="28" w:type="dxa"/>
        </w:tblCellMar>
      </w:tblPr>
      <w:tblGrid>
        <w:gridCol w:w="1509"/>
        <w:gridCol w:w="1307"/>
        <w:gridCol w:w="1312"/>
        <w:gridCol w:w="109"/>
        <w:gridCol w:w="109"/>
        <w:gridCol w:w="109"/>
        <w:gridCol w:w="312"/>
        <w:gridCol w:w="312"/>
        <w:gridCol w:w="314"/>
        <w:gridCol w:w="109"/>
        <w:gridCol w:w="109"/>
        <w:gridCol w:w="109"/>
        <w:gridCol w:w="964"/>
        <w:gridCol w:w="2814"/>
        <w:gridCol w:w="707"/>
      </w:tblGrid>
      <w:tr>
        <w:trPr/>
        <w:tc>
          <w:tcPr>
            <w:tcW w:w="150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color w:val="000000"/>
                <w:sz w:val="20"/>
                <w:shd w:fill="FFFFFF" w:val="clear"/>
              </w:rPr>
              <w:t xml:space="preserve">Awards </w:t>
            </w:r>
            <w:r>
              <w:rPr>
                <w:rFonts w:ascii="Times New Roman;sans-serif" w:hAnsi="Times New Roman;sans-serif"/>
                <w:b/>
                <w:color w:val="000000"/>
                <w:sz w:val="13"/>
                <w:shd w:fill="FFFFFF" w:val="clear"/>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color w:val="000000"/>
                <w:sz w:val="20"/>
                <w:shd w:fill="FFFFFF" w:val="clear"/>
              </w:rPr>
              <w:t xml:space="preserve">Weighted Average Grant Date Fair Value Per Award </w:t>
            </w:r>
            <w:r>
              <w:rPr>
                <w:rFonts w:ascii="Times New Roman;sans-serif" w:hAnsi="Times New Roman;sans-serif"/>
                <w:b/>
                <w:color w:val="000000"/>
                <w:sz w:val="13"/>
                <w:shd w:fill="FFFFFF" w:val="clear"/>
              </w:rPr>
              <w:t>(1)</w:t>
            </w:r>
          </w:p>
        </w:tc>
      </w:tr>
      <w:tr>
        <w:trPr/>
        <w:tc>
          <w:tcPr>
            <w:tcW w:w="4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Outstanding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2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42.30 </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28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91.43 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28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43.25 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Cancelled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28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41.07 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Outstanding and expected to vest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tc>
        <w:tc>
          <w:tcPr>
            <w:tcW w:w="28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43.53 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(1)    </w:t>
      </w:r>
      <w:r>
        <w:rPr>
          <w:rFonts w:ascii="Times New Roman;sans-serif" w:hAnsi="Times New Roman;sans-serif"/>
          <w:b w:val="false"/>
          <w:color w:val="000000"/>
          <w:sz w:val="20"/>
          <w:shd w:fill="FFFFFF" w:val="clear"/>
        </w:rPr>
        <w:t xml:space="preserve">Awards and weighted average grant date per share exclude shares related to certain executive awards that currently have no grant date as the future performance objectives have not yet been defined and/or communicated to participants of the plan.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there was $600.6 million total unrecognized compensation cost related to awards issued under the 2022 RSU Plan which are expected to be recognized over a weighted-average period of 0.8 years.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Omnibus Incentive Plan</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In August 2023, the Company’s Board of Directors adopted the Omnibus Incentive Plan (the “Omnibus Incentive Plan”) which became effective in September 2023. The maximum number of ordinary shares that may be issued under the Omnibus Incentive Plan is equal to the sum of (i) </w:t>
      </w:r>
      <w:r>
        <w:rPr>
          <w:rFonts w:ascii="Times New Roman;sans-serif" w:hAnsi="Times New Roman;sans-serif"/>
          <w:b w:val="false"/>
          <w:color w:val="000000"/>
          <w:sz w:val="20"/>
        </w:rPr>
        <w:t>21 million</w:t>
      </w:r>
      <w:r>
        <w:rPr>
          <w:color w:val="000000"/>
          <w:shd w:fill="FFFFFF" w:val="clear"/>
        </w:rPr>
        <w:t xml:space="preserve"> </w:t>
      </w:r>
      <w:r>
        <w:rPr>
          <w:rFonts w:ascii="Times New Roman;sans-serif" w:hAnsi="Times New Roman;sans-serif"/>
          <w:b w:val="false"/>
          <w:color w:val="000000"/>
          <w:sz w:val="20"/>
          <w:shd w:fill="FFFFFF" w:val="clear"/>
        </w:rPr>
        <w:t xml:space="preserve">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our Board of Directors or our Remuneration Committee. No more than </w:t>
      </w:r>
      <w:r>
        <w:rPr>
          <w:rFonts w:ascii="Times New Roman;sans-serif" w:hAnsi="Times New Roman;sans-serif"/>
          <w:b w:val="false"/>
          <w:color w:val="000000"/>
          <w:sz w:val="20"/>
        </w:rPr>
        <w:t>21 million</w:t>
      </w:r>
      <w:r>
        <w:rPr>
          <w:color w:val="000000"/>
          <w:shd w:fill="FFFFFF" w:val="clear"/>
        </w:rPr>
        <w:t xml:space="preserve"> </w:t>
      </w:r>
      <w:r>
        <w:rPr>
          <w:rFonts w:ascii="Times New Roman;sans-serif" w:hAnsi="Times New Roman;sans-serif"/>
          <w:b w:val="false"/>
          <w:color w:val="000000"/>
          <w:sz w:val="20"/>
          <w:shd w:fill="FFFFFF" w:val="clear"/>
        </w:rPr>
        <w:t>ordinary shares may be issued under the Omnibus Incentive Plan upon the exercise of incentive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October 2023, the Company started to grant RSUs and PSUs under the Omnibus Incentive Plan to employees, including executives of the Company. The RSUs and PSUs granted neither carry rights to dividends nor voting rights until the shares are issued or transferred to the recipient. The Omnibus Incentive Plan allows for either cash or share settlement of the awards by tranche, if applicable, at the discretion of the Remuneration Committee. At the time of issuance, the Company intended to settle the RSUs and PSUs in shares at the vesting date and such awards are accounted for as equity-classified awards. The RSUs were granted to existing employees and new hires of the Company and its subsidiaries, Arm Israel and Arm France SAS and vest in tranches, require continuous service through the vesting date and are subject to graded vesting over a period of three to four years. RSUs granted to employees and new hires of subsidiaries in Israel and France substantially share the same terms as the existing RSUs under the 2022 RSU Plan with differences limited to the vesting schedules, and holding period for France. Awards were granted to executives of the Company and include a portion that vests over a three-year continuous service period, a portion that is subject to continuous service and satisfaction of certain Company performance conditions, and another portion that is subject to continuous service and to TSR measured over the full three-year performance period relative to the S&amp;P 500 IT Sector Index. The time-based portion of the RSUs vest over a three-year period. The portion of the PSUs that are subject to continuous service and satisfaction of certain Company performance conditions vest upon the satisfaction of performance metrics as established for each one-year performance period and have the potential to vest between 0% and up to 200% of the original award amount depending on the achievement of annual performance metrics. The portion of the PSUs that are subject to continuous service and are measured over the full three-year performance period to relative TSR have the potential to vest between 0% and up to 200% of the original award amount depending on the relative TSR achievement.</w:t>
      </w:r>
    </w:p>
    <w:p>
      <w:pPr>
        <w:pStyle w:val="TextBody"/>
        <w:bidi w:val="0"/>
        <w:spacing w:lineRule="auto" w:line="288" w:before="12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table below identifies all award activity under the Omnibus Incentive Plan:</w:t>
      </w:r>
    </w:p>
    <w:tbl>
      <w:tblPr>
        <w:tblW w:w="10205" w:type="dxa"/>
        <w:jc w:val="left"/>
        <w:tblInd w:w="0" w:type="dxa"/>
        <w:tblLayout w:type="fixed"/>
        <w:tblCellMar>
          <w:top w:w="28" w:type="dxa"/>
          <w:left w:w="28" w:type="dxa"/>
          <w:bottom w:w="28" w:type="dxa"/>
          <w:right w:w="28" w:type="dxa"/>
        </w:tblCellMar>
      </w:tblPr>
      <w:tblGrid>
        <w:gridCol w:w="1507"/>
        <w:gridCol w:w="1305"/>
        <w:gridCol w:w="1310"/>
        <w:gridCol w:w="109"/>
        <w:gridCol w:w="109"/>
        <w:gridCol w:w="109"/>
        <w:gridCol w:w="312"/>
        <w:gridCol w:w="312"/>
        <w:gridCol w:w="314"/>
        <w:gridCol w:w="109"/>
        <w:gridCol w:w="109"/>
        <w:gridCol w:w="109"/>
        <w:gridCol w:w="871"/>
        <w:gridCol w:w="2979"/>
        <w:gridCol w:w="641"/>
      </w:tblGrid>
      <w:tr>
        <w:trPr/>
        <w:tc>
          <w:tcPr>
            <w:tcW w:w="150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Awards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3"/>
            <w:tcBorders/>
            <w:tcMar>
              <w:top w:w="0" w:type="dxa"/>
              <w:left w:w="0" w:type="dxa"/>
              <w:bottom w:w="0" w:type="dxa"/>
              <w:right w:w="0" w:type="dxa"/>
            </w:tcMar>
            <w:vAlign w:val="center"/>
          </w:tcPr>
          <w:p>
            <w:pPr>
              <w:pStyle w:val="TableContents"/>
              <w:bidi w:val="0"/>
              <w:spacing w:lineRule="auto" w:line="288" w:before="0" w:after="240"/>
              <w:jc w:val="center"/>
              <w:rPr/>
            </w:pPr>
            <w:r>
              <w:rPr>
                <w:rFonts w:ascii="Times New Roman;sans-serif" w:hAnsi="Times New Roman;sans-serif"/>
                <w:b/>
                <w:color w:val="000000"/>
                <w:sz w:val="20"/>
              </w:rPr>
              <w:t xml:space="preserve">Weighted Average Grant Date Fair Value Per Award </w:t>
            </w:r>
            <w:r>
              <w:rPr>
                <w:rFonts w:ascii="Times New Roman;sans-serif" w:hAnsi="Times New Roman;sans-serif"/>
                <w:b/>
                <w:color w:val="000000"/>
                <w:sz w:val="13"/>
              </w:rPr>
              <w:t>(1)</w:t>
            </w:r>
          </w:p>
        </w:tc>
      </w:tr>
      <w:tr>
        <w:trPr/>
        <w:tc>
          <w:tcPr>
            <w:tcW w:w="4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117.48 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91" w:type="dxa"/>
            <w:gridSpan w:val="3"/>
            <w:tcBorders/>
            <w:vAlign w:val="center"/>
          </w:tcPr>
          <w:p>
            <w:pPr>
              <w:pStyle w:val="TableContents"/>
              <w:bidi w:val="0"/>
              <w:spacing w:before="0" w:after="283"/>
              <w:jc w:val="left"/>
              <w:rPr>
                <w:sz w:val="4"/>
                <w:szCs w:val="4"/>
              </w:rPr>
            </w:pPr>
            <w:r>
              <w:rPr>
                <w:sz w:val="4"/>
                <w:szCs w:val="4"/>
              </w:rPr>
            </w:r>
          </w:p>
        </w:tc>
      </w:tr>
      <w:tr>
        <w:trPr/>
        <w:tc>
          <w:tcPr>
            <w:tcW w:w="4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91" w:type="dxa"/>
            <w:gridSpan w:val="3"/>
            <w:tcBorders/>
            <w:vAlign w:val="center"/>
          </w:tcPr>
          <w:p>
            <w:pPr>
              <w:pStyle w:val="TableContents"/>
              <w:bidi w:val="0"/>
              <w:spacing w:before="0" w:after="283"/>
              <w:jc w:val="left"/>
              <w:rPr>
                <w:sz w:val="4"/>
                <w:szCs w:val="4"/>
              </w:rPr>
            </w:pPr>
            <w:r>
              <w:rPr>
                <w:sz w:val="4"/>
                <w:szCs w:val="4"/>
              </w:rPr>
            </w:r>
          </w:p>
        </w:tc>
      </w:tr>
      <w:tr>
        <w:trPr/>
        <w:tc>
          <w:tcPr>
            <w:tcW w:w="412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expected to vest 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108.58 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(1)    </w:t>
      </w:r>
      <w:r>
        <w:rPr>
          <w:rFonts w:ascii="Times New Roman;sans-serif" w:hAnsi="Times New Roman;sans-serif"/>
          <w:b w:val="false"/>
          <w:color w:val="000000"/>
          <w:sz w:val="20"/>
          <w:shd w:fill="FFFFFF" w:val="clear"/>
        </w:rPr>
        <w:t>Awards and weighted average grant date per share exclude shares related to PSUs that currently have no grant date as the future performance objectives have not yet been defined and/or communicated to participants of the plan.</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there was $1,127.7 million total unrecognized compensation cost related to awards issued under the Omnibus Incentive Plan, which is expected to be recognized over a weighted-average period of 1.7 years.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Share-based Compensation Cost</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share-based compensation cost recognized in the Condensed Consolidated Income Statements is as follows:</w:t>
      </w:r>
    </w:p>
    <w:tbl>
      <w:tblPr>
        <w:tblW w:w="6668" w:type="dxa"/>
        <w:jc w:val="left"/>
        <w:tblInd w:w="0" w:type="dxa"/>
        <w:tblLayout w:type="fixed"/>
        <w:tblCellMar>
          <w:top w:w="28" w:type="dxa"/>
          <w:left w:w="28" w:type="dxa"/>
          <w:bottom w:w="28" w:type="dxa"/>
          <w:right w:w="28" w:type="dxa"/>
        </w:tblCellMar>
      </w:tblPr>
      <w:tblGrid>
        <w:gridCol w:w="1171"/>
        <w:gridCol w:w="1028"/>
        <w:gridCol w:w="1041"/>
        <w:gridCol w:w="109"/>
        <w:gridCol w:w="109"/>
        <w:gridCol w:w="109"/>
        <w:gridCol w:w="291"/>
        <w:gridCol w:w="644"/>
        <w:gridCol w:w="150"/>
        <w:gridCol w:w="150"/>
        <w:gridCol w:w="150"/>
        <w:gridCol w:w="150"/>
        <w:gridCol w:w="291"/>
        <w:gridCol w:w="644"/>
        <w:gridCol w:w="150"/>
        <w:gridCol w:w="109"/>
        <w:gridCol w:w="109"/>
        <w:gridCol w:w="109"/>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share-based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share-based compensation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 share-based compensation cost was capitalized for the three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rFonts w:ascii="Times New Roman;sans-serif" w:hAnsi="Times New Roman;sans-serif"/>
          <w:b/>
          <w:color w:val="000000"/>
          <w:sz w:val="20"/>
        </w:rPr>
      </w:pPr>
      <w:r>
        <w:rPr>
          <w:rFonts w:ascii="Times New Roman;sans-serif" w:hAnsi="Times New Roman;sans-serif"/>
          <w:b/>
          <w:color w:val="000000"/>
          <w:sz w:val="20"/>
        </w:rPr>
        <w:t>10 - Income Taxes</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income tax expense was $21.0 million and $22.0 million, respectively. For the three months ended June 30, 2024 and 2023, the income tax expense as a percentage of income before taxes was 8.6% and 17.3%, respectively.</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rate decreased compared to the same period last year primarily due to windfall tax benefits associated with share-based compensation arising in the three months ended June 30, 2024.</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the effective rate differed from the U.K. statutory rate of 25% in both periods, primarily due to patent box, research and development tax credits and the tax impact of share-based compensation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11 - Net Income (Loss) Per Share</w:t>
      </w:r>
    </w:p>
    <w:p>
      <w:pPr>
        <w:pStyle w:val="TextBody"/>
        <w:bidi w:val="0"/>
        <w:spacing w:lineRule="auto" w:line="288" w:before="120" w:after="24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table presents a reconciliation of basic and diluted earnings per share computations for all periods presented:</w:t>
      </w:r>
    </w:p>
    <w:tbl>
      <w:tblPr>
        <w:tblW w:w="10205" w:type="dxa"/>
        <w:jc w:val="left"/>
        <w:tblInd w:w="0" w:type="dxa"/>
        <w:tblLayout w:type="fixed"/>
        <w:tblCellMar>
          <w:top w:w="28" w:type="dxa"/>
          <w:left w:w="28" w:type="dxa"/>
          <w:bottom w:w="28" w:type="dxa"/>
          <w:right w:w="28" w:type="dxa"/>
        </w:tblCellMar>
      </w:tblPr>
      <w:tblGrid>
        <w:gridCol w:w="2811"/>
        <w:gridCol w:w="2295"/>
        <w:gridCol w:w="2302"/>
        <w:gridCol w:w="109"/>
        <w:gridCol w:w="109"/>
        <w:gridCol w:w="109"/>
        <w:gridCol w:w="256"/>
        <w:gridCol w:w="620"/>
        <w:gridCol w:w="132"/>
        <w:gridCol w:w="132"/>
        <w:gridCol w:w="132"/>
        <w:gridCol w:w="132"/>
        <w:gridCol w:w="256"/>
        <w:gridCol w:w="620"/>
        <w:gridCol w:w="190"/>
      </w:tblGrid>
      <w:tr>
        <w:trPr/>
        <w:tc>
          <w:tcPr>
            <w:tcW w:w="2811"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attributable to ordinary shareholders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pPr>
            <w:r>
              <w:rPr>
                <w:rFonts w:ascii="Times New Roman;sans-serif" w:hAnsi="Times New Roman;sans-serif"/>
                <w:b/>
                <w:color w:val="000000"/>
                <w:sz w:val="20"/>
              </w:rPr>
              <w:t xml:space="preserve">Weighted average ordinary shares used to calculate income (loss) per share — basic </w:t>
            </w:r>
            <w:r>
              <w:rPr>
                <w:rFonts w:ascii="Times New Roman;sans-serif" w:hAnsi="Times New Roman;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Equity-classified shared-based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ordinary shares used to calculate income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w:t>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per share attributable to ordinary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ordinary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(loss) per share attributable to ordinary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ordinary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Securities excluded from diluted net income (loss) per ordinary share because their effect would have been anti-dilutive: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64" w:before="33" w:after="283"/>
              <w:jc w:val="left"/>
              <w:rPr/>
            </w:pPr>
            <w:r>
              <w:rPr>
                <w:rFonts w:ascii="Times New Roman;sans-serif" w:hAnsi="Times New Roman;sans-serif"/>
                <w:b w:val="false"/>
                <w:color w:val="231F20"/>
                <w:sz w:val="20"/>
              </w:rPr>
              <w:t xml:space="preserve">Restricted share units </w:t>
            </w:r>
            <w:r>
              <w:rPr>
                <w:rFonts w:ascii="Times New Roman;sans-serif" w:hAnsi="Times New Roman;sans-serif"/>
                <w:b w:val="false"/>
                <w:color w:val="231F2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Performance share units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(1)    </w:t>
      </w:r>
      <w:r>
        <w:rPr>
          <w:rFonts w:ascii="Times New Roman;sans-serif" w:hAnsi="Times New Roman;sans-serif"/>
          <w:b w:val="false"/>
          <w:color w:val="000000"/>
          <w:sz w:val="20"/>
          <w:shd w:fill="FFFFFF" w:val="clear"/>
        </w:rPr>
        <w:t>For the three months ended June 30, 2024, includes weighted average ordinary shares for vested securities without restrictions that were not issued and outstanding as of the end of the reporting period.</w:t>
      </w:r>
    </w:p>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(2)    </w:t>
      </w:r>
      <w:r>
        <w:rPr>
          <w:rFonts w:ascii="Times New Roman;sans-serif" w:hAnsi="Times New Roman;sans-serif"/>
          <w:b w:val="false"/>
          <w:color w:val="231F20"/>
          <w:sz w:val="20"/>
          <w:shd w:fill="FFFFFF" w:val="clear"/>
        </w:rPr>
        <w:t xml:space="preserve">RSUs exclude certain awards which require cash settlement and do not allow for share settlement; however, for reporting periods prior to the Company’s initial public offering of ADSs (the “IPO”), </w:t>
      </w:r>
      <w:r>
        <w:rPr>
          <w:rFonts w:ascii="Times New Roman;sans-serif" w:hAnsi="Times New Roman;sans-serif"/>
          <w:b w:val="false"/>
          <w:color w:val="000000"/>
          <w:sz w:val="20"/>
          <w:shd w:fill="FFFFFF" w:val="clear"/>
        </w:rPr>
        <w:t xml:space="preserve">RSUs include securities where </w:t>
      </w:r>
      <w:r>
        <w:rPr>
          <w:rFonts w:ascii="Times New Roman;sans-serif" w:hAnsi="Times New Roman;sans-serif"/>
          <w:b w:val="false"/>
          <w:color w:val="231F20"/>
          <w:sz w:val="20"/>
          <w:shd w:fill="FFFFFF" w:val="clear"/>
        </w:rPr>
        <w:t>change in control or an initial public offering was not probable to occur, and settlement was expected in cash upon the passage of time.</w:t>
      </w:r>
    </w:p>
    <w:p>
      <w:pPr>
        <w:pStyle w:val="TextBody"/>
        <w:bidi w:val="0"/>
        <w:spacing w:lineRule="auto" w:line="288" w:before="60" w:after="120"/>
        <w:ind w:left="0" w:right="0" w:hanging="360"/>
        <w:jc w:val="both"/>
        <w:rPr/>
      </w:pPr>
      <w:r>
        <w:rPr>
          <w:rFonts w:ascii="Times New Roman;sans-serif" w:hAnsi="Times New Roman;sans-serif"/>
          <w:b w:val="false"/>
          <w:color w:val="000000"/>
          <w:sz w:val="13"/>
          <w:shd w:fill="FFFFFF" w:val="clear"/>
        </w:rPr>
        <w:t>(3)</w:t>
      </w:r>
      <w:r>
        <w:rPr>
          <w:color w:val="000000"/>
          <w:shd w:fill="FFFFFF" w:val="clear"/>
        </w:rPr>
        <w:t>    </w:t>
      </w:r>
      <w:r>
        <w:rPr>
          <w:rFonts w:ascii="Times New Roman;sans-serif" w:hAnsi="Times New Roman;sans-serif"/>
          <w:b w:val="false"/>
          <w:color w:val="000000"/>
          <w:sz w:val="20"/>
          <w:shd w:fill="FFFFFF" w:val="clear"/>
        </w:rPr>
        <w:t>Prior to the IPO, certain executive awards entitled participants to fixed monetary amounts where the quantity of securities was calculated based on the total fixed monetary amount divided by the closing average market price of ordinary shares. Upon the IPO, these awards entitle participants to a fixed number of ordinary shares calculated based on the total fixed monetary amount divided by the IPO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12 - Commitments and Contingencies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party to litigation and other legal proceedings in the ordinary course of business. Because the results of any litigation or other legal proceedings are uncertain, our financial position, results of operations or cash flows could be materially affected by an unfavorable resolution of one or more of these proceedings, claims, or demands. However, management does not currently believe the ultimate resolution of any pending legal matters is reasonably possible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 material amounts related to litigation settlements were recognized in the three months ended June 30, 2024 and 2023.</w:t>
      </w:r>
    </w:p>
    <w:p>
      <w:pPr>
        <w:pStyle w:val="TextBody"/>
        <w:bidi w:val="0"/>
        <w:spacing w:lineRule="auto" w:line="288" w:before="120" w:after="240"/>
        <w:jc w:val="left"/>
        <w:rPr>
          <w:rFonts w:ascii="Times New Roman;sans-serif" w:hAnsi="Times New Roman;sans-serif"/>
          <w:b/>
          <w:i/>
          <w:color w:val="000000"/>
          <w:sz w:val="20"/>
        </w:rPr>
      </w:pPr>
      <w:r>
        <w:rPr>
          <w:rFonts w:ascii="Times New Roman;sans-serif" w:hAnsi="Times New Roman;sans-serif"/>
          <w:b/>
          <w:i/>
          <w:color w:val="000000"/>
          <w:sz w:val="20"/>
        </w:rPr>
        <w:t>Arduino Guarantee</w:t>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guarantor for a $5.4 million credit facility available to Arduino. As of June 30, 2024 and March 31, 2024, no claims have been made against the guaranty. The guaranty expires in January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13 - Related Party Transactions</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Arm China and Acetone Limited</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Following the restructuring of its direct investment in Arm Technology (China) Co. Limited (“Arm China”) in the fiscal year ended March 31, 2022, the Company has a 10% non-voting ownership interest in Acetone Limited, whose primary asset is a 48.2% interest in Arm China. The Company has no direct material transactions with Acetone Limited.</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For the three months ended June 30, 2024, and 2023, the Company recognized revenue of $122.6 million and $138.9 million, respectively, generated pursuant to arrangements under the terms of the </w:t>
      </w:r>
      <w:r>
        <w:rPr>
          <w:rFonts w:ascii="Times New Roman;sans-serif" w:hAnsi="Times New Roman;sans-serif"/>
          <w:b w:val="false"/>
          <w:color w:val="000000"/>
          <w:sz w:val="20"/>
        </w:rPr>
        <w:t>intellectual property license agreement (“</w:t>
      </w:r>
      <w:r>
        <w:rPr>
          <w:rFonts w:ascii="Times New Roman;sans-serif" w:hAnsi="Times New Roman;sans-serif"/>
          <w:b w:val="false"/>
          <w:color w:val="000000"/>
          <w:sz w:val="20"/>
          <w:shd w:fill="FFFFFF" w:val="clear"/>
        </w:rPr>
        <w:t>IPLA”), and recognized expenses of $16.2 million and $16.1 million, respectively, under a service share arrangement with Arm China. The Company leases certain assets to Arm China. For the three months ended June 30, 2024, and 2023, rental income from the assets leased to Arm China was $0.4 million and $0.5 million, respectively, which is included within the recognized revenue.</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As of June 30, 2024, the Company had a net receivable of $149.4 million ($155.3 million receivable less $5.9 million payable) from Arm China. As of March 31, 2024, the Company had a net receivable of $175.8 million ($181.1 million receivable less $5.3 million payable) from Arm China. As of June 30, 2024 and March 31, 2024, the Company had contract liabiliti</w:t>
      </w:r>
      <w:r>
        <w:rPr>
          <w:rFonts w:ascii="Times New Roman;sans-serif" w:hAnsi="Times New Roman;sans-serif"/>
          <w:b w:val="false"/>
          <w:color w:val="000000"/>
          <w:sz w:val="20"/>
        </w:rPr>
        <w:t>es of $113.7 million and $105.7 million, respectively, relating to Arm China.</w:t>
      </w:r>
    </w:p>
    <w:p>
      <w:pPr>
        <w:pStyle w:val="TextBody"/>
        <w:bidi w:val="0"/>
        <w:spacing w:lineRule="auto" w:line="288" w:before="120" w:after="240"/>
        <w:jc w:val="both"/>
        <w:rPr/>
      </w:pPr>
      <w:r>
        <w:rPr>
          <w:rFonts w:ascii="Times New Roman;sans-serif" w:hAnsi="Times New Roman;sans-serif"/>
          <w:b w:val="false"/>
          <w:color w:val="000000"/>
          <w:sz w:val="20"/>
        </w:rPr>
        <w:t xml:space="preserve">For the three months ended June 30, 2024, and 2023, the Company recognized $16.0 million and $0.0 million, respectively, for the </w:t>
      </w:r>
      <w:r>
        <w:rPr>
          <w:rFonts w:ascii="Times New Roman;sans-serif" w:hAnsi="Times New Roman;sans-serif"/>
          <w:b w:val="false"/>
          <w:color w:val="231F20"/>
          <w:sz w:val="20"/>
        </w:rPr>
        <w:t xml:space="preserve">allowance for current expected credit losses </w:t>
      </w:r>
      <w:r>
        <w:rPr>
          <w:rFonts w:ascii="Times New Roman;sans-serif" w:hAnsi="Times New Roman;sans-serif"/>
          <w:b w:val="false"/>
          <w:color w:val="000000"/>
          <w:sz w:val="20"/>
        </w:rPr>
        <w:t xml:space="preserve">against earnings relating to Arm China. As of June 30, 2024 and March 31, 2024, the Company’s </w:t>
      </w:r>
      <w:r>
        <w:rPr>
          <w:rFonts w:ascii="Times New Roman;sans-serif" w:hAnsi="Times New Roman;sans-serif"/>
          <w:b w:val="false"/>
          <w:color w:val="231F20"/>
          <w:sz w:val="20"/>
        </w:rPr>
        <w:t>allowance for current expected credit losses</w:t>
      </w:r>
      <w:r>
        <w:rPr>
          <w:color w:val="000000"/>
        </w:rPr>
        <w:t xml:space="preserve"> </w:t>
      </w:r>
      <w:r>
        <w:rPr>
          <w:rFonts w:ascii="Times New Roman;sans-serif" w:hAnsi="Times New Roman;sans-serif"/>
          <w:b w:val="false"/>
          <w:color w:val="000000"/>
          <w:sz w:val="20"/>
        </w:rPr>
        <w:t xml:space="preserve">related to Arm China was $16.0 million and $0.0 million, respectively, which is reflected </w:t>
      </w:r>
      <w:r>
        <w:rPr>
          <w:rFonts w:ascii="Times New Roman;sans-serif" w:hAnsi="Times New Roman;sans-serif"/>
          <w:b w:val="false"/>
          <w:color w:val="231F20"/>
          <w:sz w:val="20"/>
        </w:rPr>
        <w:t xml:space="preserve">in accounts receivable, net </w:t>
      </w:r>
      <w:r>
        <w:rPr>
          <w:rFonts w:ascii="Times New Roman;sans-serif" w:hAnsi="Times New Roman;sans-serif"/>
          <w:b w:val="false"/>
          <w:color w:val="000000"/>
          <w:sz w:val="20"/>
        </w:rPr>
        <w:t xml:space="preserve">on the Condensed Consolidated Balance Sheets. </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See </w:t>
      </w:r>
      <w:r>
        <w:rPr>
          <w:rFonts w:ascii="Times New Roman;sans-serif" w:hAnsi="Times New Roman;sans-serif"/>
          <w:b w:val="false"/>
          <w:i/>
          <w:color w:val="000000"/>
          <w:sz w:val="20"/>
          <w:shd w:fill="FFFFFF" w:val="clear"/>
        </w:rPr>
        <w:t>Note 4 - Equity Investments</w:t>
      </w:r>
      <w:r>
        <w:rPr>
          <w:rFonts w:ascii="Times New Roman;sans-serif" w:hAnsi="Times New Roman;sans-serif"/>
          <w:b w:val="false"/>
          <w:color w:val="000000"/>
          <w:sz w:val="20"/>
          <w:shd w:fill="FFFFFF" w:val="clear"/>
        </w:rPr>
        <w:t xml:space="preserve">, for further details of the impact of Acetone Limited on the Company’s results. </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Entities Related by Virtue of Common Control by SoftBank Group</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The Company had revenue transactions, along with accounts receivable and contract liabilities balances, with other entities under common control by SoftBank Group Corp. (“SoftBank Group”). For the three months ended June 30, 2024 and 2023, the Company recognized revenue of $0.0 million and $0.2 million, respectively, from other entities controlled by SoftBank Group. As of June 30, 2024, the Company had accounts receivable of $0.5 million, contract assets of $2.6 million, and contract liabilities of $0.0 million related to other entities controlled by SoftBank Group. </w:t>
      </w:r>
      <w:r>
        <w:rPr>
          <w:rFonts w:ascii="Times New Roman;sans-serif" w:hAnsi="Times New Roman;sans-serif"/>
          <w:b w:val="false"/>
          <w:color w:val="000000"/>
          <w:sz w:val="20"/>
        </w:rPr>
        <w:t xml:space="preserve">In August 2023, the Company distributed its </w:t>
      </w:r>
      <w:r>
        <w:rPr>
          <w:rFonts w:ascii="Times New Roman;sans-serif" w:hAnsi="Times New Roman;sans-serif"/>
          <w:b w:val="false"/>
          <w:color w:val="231F20"/>
          <w:sz w:val="20"/>
        </w:rPr>
        <w:t xml:space="preserve">receivable related to the Company’s sale of Pelion IOT Limited and its subsidiaries (“IoTP”)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Arm Holdings plc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40"/>
        <w:jc w:val="both"/>
        <w:rPr/>
      </w:pPr>
      <w:r>
        <w:rPr>
          <w:rFonts w:ascii="Times New Roman;sans-serif" w:hAnsi="Times New Roman;sans-serif"/>
          <w:b w:val="false"/>
          <w:color w:val="231F20"/>
          <w:sz w:val="20"/>
        </w:rPr>
        <w:t xml:space="preserve">the majority shareholder of the Company, which represented a non-cash distribution of </w:t>
      </w:r>
      <w:r>
        <w:rPr>
          <w:rFonts w:ascii="Times New Roman;sans-serif" w:hAnsi="Times New Roman;sans-serif"/>
          <w:b w:val="false"/>
          <w:color w:val="000000"/>
          <w:sz w:val="20"/>
        </w:rPr>
        <w:t>$12.0 million</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As of March 31, 2024, the Company had accounts receivable of $0.8 million, contract assets of $3.1 million, and contract liabilities of $1.6 million related to other entities controlled by SoftBank Group. The Company also had an immaterial lease with an entity under common control by SoftBank Group, which ended as of December 31, 2023.</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Other Equity Investments</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The Company has revenue transactions, along with receivable, contract asset and contract liability balances for certain other equity investees, for which the Company has significant influence or, for investments in limited partnerships or certain limited liability companies that maintain a specific ownership account for each investor, for which the Company has more than virtually no influence (i.e., at least 3% to 5% ownership) (such investees, “Significant Influence Investees”). For the three months ended June 30, 2024 and 2023, the Company recognized revenue of $1.4 million and $1.0 million, respectively, from Significant Influence I</w:t>
      </w:r>
      <w:r>
        <w:rPr>
          <w:rFonts w:ascii="Times New Roman;sans-serif" w:hAnsi="Times New Roman;sans-serif"/>
          <w:b w:val="false"/>
          <w:color w:val="000000"/>
          <w:sz w:val="20"/>
        </w:rPr>
        <w:t xml:space="preserve">nvestees.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June 30, 2024, the Company had accounts receivable, contract assets and contract liabilities of $6.0 million, $10.8 million and $0.4 million, respectively, related to contracts with Significant Influence Investees. As of March 31, 2024, the Company had accounts receivable and contract assets of $0.2 million and $18.7 million, respectively, related to contracts with Significant Influence Investees. As of March 31, 2024, the Company did not have contract liabilities related to contracts with Significant Influence Investees.</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For the three months ended June 30, 2024 and 2023, the Company recognized aggregate distributions, dividends and returns of capital from certain equity investments of $0.3 million and $0.3 million, respectively. </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Linaro Limited</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Linaro Limited (“Linaro”) is a not-for-profit entity for which the Company is a member and has significant influence. For the three months ended June 30, 2024 and 2023, the Company incurred subscription and other costs of $2.4 million in both periods from Linaro. As of June 30, 2024 and March 31, 2024, $0.2 million and $1.3 million, respectively, was </w:t>
      </w:r>
      <w:r>
        <w:rPr>
          <w:rFonts w:ascii="Times New Roman;sans-serif" w:hAnsi="Times New Roman;sans-serif"/>
          <w:b w:val="false"/>
          <w:color w:val="231F20"/>
          <w:sz w:val="20"/>
          <w:shd w:fill="FFFFFF" w:val="clear"/>
        </w:rPr>
        <w:t>recorded in o</w:t>
      </w:r>
      <w:r>
        <w:rPr>
          <w:rFonts w:ascii="Times New Roman;sans-serif" w:hAnsi="Times New Roman;sans-serif"/>
          <w:b w:val="false"/>
          <w:color w:val="000000"/>
          <w:sz w:val="20"/>
          <w:shd w:fill="FFFFFF" w:val="clear"/>
        </w:rPr>
        <w:t xml:space="preserve">ther current liabilities on the Condensed Consolidated Balance Sheets. </w:t>
      </w:r>
    </w:p>
    <w:p>
      <w:pPr>
        <w:pStyle w:val="TextBody"/>
        <w:bidi w:val="0"/>
        <w:spacing w:lineRule="auto" w:line="288" w:before="120" w:after="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February 2023, the Company entered into an agreement with Linaro to sell certain net assets of the Company that meets the definition of a business in exchange for cash consideration of $4.0 million to be paid in equal annual installments over five years. As of June 30, 2024 and March 31, 2024, the total unpaid purchase consideration was $3.2 million, which is recorded in prepaid expenses and other current assets and other non-current assets on the Condensed Consolidated Balance Sheets. </w:t>
      </w:r>
    </w:p>
    <w:p>
      <w:pPr>
        <w:pStyle w:val="TextBody"/>
        <w:bidi w:val="0"/>
        <w:spacing w:lineRule="auto" w:line="288" w:before="120" w:after="24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Loans to Related Parties</w:t>
      </w:r>
    </w:p>
    <w:p>
      <w:pPr>
        <w:pStyle w:val="TextBody"/>
        <w:bidi w:val="0"/>
        <w:spacing w:lineRule="auto" w:line="288" w:before="120" w:after="240"/>
        <w:jc w:val="both"/>
        <w:rPr/>
      </w:pPr>
      <w:r>
        <w:rPr>
          <w:rFonts w:ascii="Times New Roman;sans-serif" w:hAnsi="Times New Roman;sans-serif"/>
          <w:b w:val="false"/>
          <w:color w:val="231F20"/>
          <w:sz w:val="20"/>
          <w:shd w:fill="FFFFFF" w:val="clear"/>
        </w:rPr>
        <w:t xml:space="preserve">As of June 30, 2024 and March 31, 2024, the Company had a loan receivable of </w:t>
      </w:r>
      <w:r>
        <w:rPr>
          <w:rFonts w:ascii="Times New Roman;sans-serif" w:hAnsi="Times New Roman;sans-serif"/>
          <w:b w:val="false"/>
          <w:color w:val="000000"/>
          <w:sz w:val="20"/>
          <w:shd w:fill="FFFFFF" w:val="clear"/>
        </w:rPr>
        <w:t>$16.3 million</w:t>
      </w:r>
      <w:r>
        <w:rPr>
          <w:color w:val="231F20"/>
          <w:shd w:fill="FFFFFF" w:val="clear"/>
        </w:rPr>
        <w:t xml:space="preserve"> </w:t>
      </w:r>
      <w:r>
        <w:rPr>
          <w:rFonts w:ascii="Times New Roman;sans-serif" w:hAnsi="Times New Roman;sans-serif"/>
          <w:b w:val="false"/>
          <w:color w:val="000000"/>
          <w:sz w:val="20"/>
          <w:shd w:fill="FFFFFF" w:val="clear"/>
        </w:rPr>
        <w:t>and $16.2 million, respectively,</w:t>
      </w:r>
      <w:r>
        <w:rPr>
          <w:color w:val="231F20"/>
          <w:shd w:fill="FFFFFF" w:val="clear"/>
        </w:rPr>
        <w:t xml:space="preserve"> </w:t>
      </w:r>
      <w:r>
        <w:rPr>
          <w:rFonts w:ascii="Times New Roman;sans-serif" w:hAnsi="Times New Roman;sans-serif"/>
          <w:b w:val="false"/>
          <w:color w:val="231F20"/>
          <w:sz w:val="20"/>
          <w:shd w:fill="FFFFFF" w:val="clear"/>
        </w:rPr>
        <w:t xml:space="preserve">with Arduino, a related party and </w:t>
      </w:r>
      <w:r>
        <w:rPr>
          <w:rFonts w:ascii="Times New Roman;sans-serif" w:hAnsi="Times New Roman;sans-serif"/>
          <w:b w:val="false"/>
          <w:color w:val="000000"/>
          <w:sz w:val="20"/>
          <w:shd w:fill="FFFFFF" w:val="clear"/>
        </w:rPr>
        <w:t>a loan receivable of $3.2 million</w:t>
      </w:r>
      <w:r>
        <w:rPr>
          <w:color w:val="231F20"/>
          <w:shd w:fill="FFFFFF" w:val="clear"/>
        </w:rPr>
        <w:t xml:space="preserve"> </w:t>
      </w:r>
      <w:r>
        <w:rPr>
          <w:rFonts w:ascii="Times New Roman;sans-serif" w:hAnsi="Times New Roman;sans-serif"/>
          <w:b w:val="false"/>
          <w:color w:val="231F20"/>
          <w:sz w:val="20"/>
          <w:shd w:fill="FFFFFF" w:val="clear"/>
        </w:rPr>
        <w:t xml:space="preserve">and </w:t>
      </w:r>
      <w:r>
        <w:rPr>
          <w:rFonts w:ascii="Times New Roman;sans-serif" w:hAnsi="Times New Roman;sans-serif"/>
          <w:b w:val="false"/>
          <w:color w:val="000000"/>
          <w:sz w:val="20"/>
          <w:shd w:fill="FFFFFF" w:val="clear"/>
        </w:rPr>
        <w:t>$3.1 million</w:t>
      </w:r>
      <w:r>
        <w:rPr>
          <w:rFonts w:ascii="Times New Roman;sans-serif" w:hAnsi="Times New Roman;sans-serif"/>
          <w:b w:val="false"/>
          <w:color w:val="231F20"/>
          <w:sz w:val="20"/>
          <w:shd w:fill="FFFFFF" w:val="clear"/>
        </w:rPr>
        <w:t xml:space="preserve">, respectively, with Cerfe Labs, Inc, a related party, both of </w:t>
      </w:r>
      <w:r>
        <w:rPr>
          <w:rFonts w:ascii="Times New Roman;sans-serif" w:hAnsi="Times New Roman;sans-serif"/>
          <w:b w:val="false"/>
          <w:color w:val="000000"/>
          <w:sz w:val="20"/>
          <w:shd w:fill="FFFFFF" w:val="clear"/>
        </w:rPr>
        <w:t xml:space="preserve">which remain fully impaired. See </w:t>
      </w:r>
      <w:r>
        <w:rPr>
          <w:rFonts w:ascii="Times New Roman;sans-serif" w:hAnsi="Times New Roman;sans-serif"/>
          <w:b w:val="false"/>
          <w:i/>
          <w:color w:val="000000"/>
          <w:sz w:val="20"/>
          <w:shd w:fill="FFFFFF" w:val="clear"/>
        </w:rPr>
        <w:t>Note 5 - Financial Instruments</w:t>
      </w:r>
      <w:r>
        <w:rPr>
          <w:rFonts w:ascii="Times New Roman;sans-serif" w:hAnsi="Times New Roman;sans-serif"/>
          <w:b w:val="false"/>
          <w:color w:val="000000"/>
          <w:sz w:val="20"/>
          <w:shd w:fill="FFFFFF" w:val="clear"/>
        </w:rPr>
        <w:t>, for further information regarding these loans.</w:t>
      </w:r>
      <w:r>
        <w:rPr>
          <w:color w:val="000000"/>
          <w:shd w:fill="FFFFFF" w:val="clear"/>
        </w:rPr>
        <w:t xml:space="preserve"> </w:t>
      </w:r>
    </w:p>
    <w:p>
      <w:pPr>
        <w:pStyle w:val="TextBody"/>
        <w:bidi w:val="0"/>
        <w:spacing w:lineRule="auto" w:line="288" w:before="120" w:after="240"/>
        <w:jc w:val="both"/>
        <w:rPr/>
      </w:pPr>
      <w:r>
        <w:rPr>
          <w:rFonts w:ascii="Times New Roman;sans-serif" w:hAnsi="Times New Roman;sans-serif"/>
          <w:b w:val="false"/>
          <w:color w:val="000000"/>
          <w:sz w:val="20"/>
          <w:shd w:fill="FFFFFF" w:val="clear"/>
        </w:rPr>
        <w:t xml:space="preserve">As of June 30, 2024 and March 31, 2024, the outstanding balance of the convertible promissory note with Ampere, a related party, was $32.7 million and $32.4 million, respectively. The Company’s maximum exposure to loss are the amounts invested in, and advanced to, Ampere as of June 30, 2024. See </w:t>
      </w:r>
      <w:r>
        <w:rPr>
          <w:rFonts w:ascii="Times New Roman;sans-serif" w:hAnsi="Times New Roman;sans-serif"/>
          <w:b w:val="false"/>
          <w:i/>
          <w:color w:val="000000"/>
          <w:sz w:val="20"/>
          <w:shd w:fill="FFFFFF" w:val="clear"/>
        </w:rPr>
        <w:t>Note 4 - Equity Investments</w:t>
      </w:r>
      <w:r>
        <w:rPr>
          <w:rFonts w:ascii="Times New Roman;sans-serif" w:hAnsi="Times New Roman;sans-serif"/>
          <w:b w:val="false"/>
          <w:color w:val="000000"/>
          <w:sz w:val="20"/>
          <w:shd w:fill="FFFFFF" w:val="clear"/>
        </w:rPr>
        <w:t>, for further details on Ampere.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Management’s Discussion and Analysis of Financial Condition and Results of Operations</w:t>
      </w:r>
    </w:p>
    <w:p>
      <w:pPr>
        <w:pStyle w:val="TextBody"/>
        <w:bidi w:val="0"/>
        <w:spacing w:lineRule="auto" w:line="288" w:before="120" w:after="240"/>
        <w:ind w:left="0" w:right="0" w:firstLine="360"/>
        <w:jc w:val="both"/>
        <w:rPr/>
      </w:pPr>
      <w:r>
        <w:rPr>
          <w:rFonts w:ascii="Times New Roman;sans-serif" w:hAnsi="Times New Roman;sans-serif"/>
          <w:b w:val="false"/>
          <w:i/>
          <w:color w:val="000000"/>
          <w:sz w:val="20"/>
        </w:rPr>
        <w:t xml:space="preserve">You should read the following discussion and analysis of our financial condition and results of operations together with our unaudited condensed consolidated financial statements and related notes included in this Quarterly Report on Form 6-K (this “Quarterly Report”) and in conjunction with our audited consolidated financial statements and related notes for the fiscal year ended March 31, 2024, which are included in our Annual Report on Form 20-F, filed with the SEC on May 29, 2024 (the “Annual Report”).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w:t>
      </w:r>
      <w:r>
        <w:rPr>
          <w:color w:val="000000"/>
        </w:rPr>
        <w:t>“</w:t>
      </w:r>
      <w:r>
        <w:rPr>
          <w:rFonts w:ascii="Times New Roman;sans-serif" w:hAnsi="Times New Roman;sans-serif"/>
          <w:b w:val="false"/>
          <w:i/>
          <w:color w:val="000000"/>
          <w:sz w:val="20"/>
        </w:rPr>
        <w:t>Item 3. Key Information—D. Risk Factors” and “Special Note Regarding Forward-Looking Statements” sections in our Annual Report. Our actual results could differ materially from the results described in or implied by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Arm architects, develops, and licenses high-performance, low-cost, and energy-efficient central processing unit (“CPU”) products and related technology, on which many of the world’s leading semiconductor companies and original equipment manufacturers rely to develop their products. We enable any company to make a modern computer chip through the unique combination of our energy-efficient CPU IP and related technologies and our unmatched ecosystem of technology partners. Our primary product offerings are leading CPU products that address diverse performance, power, and cost requirements. Complementary products such as graphics processing units (“GPUs”), System IP (including memory controller IP, interconnect IP, and other on-chip peripheral components), and compute platforms are also available and enable high-performance, efficient, reliable, system-level creation for a wide range of increasingly sophisticated devices and applications. Our development tools and robust software ecosystem have further solidified our position as the world’s most widely adopted processor architecture. Our partners include leading semiconductor technology suppliers (including foundries and electronic design automation vendors), firmware and operating system vendors, game engine vendors, software tool providers and application software developers. Our solution, combined with the breadth of our software ecosystem and the millions of chip design engineers and software developers that utilize it, has created a virtuous cycle of adoption, which means that software developers write software for Arm-based devices because it offers the biggest market for their products, and chip designers choose Arm processors because they have the broadest support of software applications.</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Corporate Reorganization </w:t>
      </w:r>
    </w:p>
    <w:p>
      <w:pPr>
        <w:pStyle w:val="TextBody"/>
        <w:bidi w:val="0"/>
        <w:spacing w:lineRule="auto" w:line="288" w:before="120" w:after="240"/>
        <w:ind w:left="0" w:right="0" w:firstLine="360"/>
        <w:jc w:val="both"/>
        <w:rPr/>
      </w:pPr>
      <w:r>
        <w:rPr>
          <w:rFonts w:ascii="Times New Roman;sans-serif" w:hAnsi="Times New Roman;sans-serif"/>
          <w:b w:val="false"/>
          <w:color w:val="231F20"/>
          <w:sz w:val="20"/>
        </w:rPr>
        <w:t xml:space="preserve">In September 2023, we completed a board approved corporate reorganization which involved (1) </w:t>
      </w:r>
      <w:r>
        <w:rPr>
          <w:rFonts w:ascii="Times New Roman;sans-serif" w:hAnsi="Times New Roman;sans-serif"/>
          <w:b w:val="false"/>
          <w:color w:val="000000"/>
          <w:sz w:val="20"/>
        </w:rPr>
        <w:t xml:space="preserve">the shareholders of Arm Limited exchanging each of the ordinary shares held by them in Arm Limited for newly issued ordinary </w:t>
      </w:r>
      <w:r>
        <w:rPr>
          <w:rFonts w:ascii="Times New Roman;sans-serif" w:hAnsi="Times New Roman;sans-serif"/>
          <w:b w:val="false"/>
          <w:color w:val="231F20"/>
          <w:sz w:val="20"/>
        </w:rPr>
        <w:t>shares of Arm Holdings Limited; and (2) the re-registration of Arm Holdings Limited as a public limited company under the laws of England and Wales at which time its name was changed to Arm Holdings plc. This corporate reorganization was solely for the purpose of reorganizing our corporate structure, in which Arm Limited became a wholly owned subsidiary of the holding company, Arm Holdings plc. This transfer of equity resulted in the issuance of ordinary shares of Arm Holdings plc to shareholders in the same class and the same number of ordinary shares as their previous shareholding in Arm Limited. As a result of the corporate reorganization between entities under common control, our historical consolidated financial statements were retrospectively adjusted for the change in reporting entity. Therefore, the historical consolidated financial statements of Arm Limited became the historical consolidated financial statements of Arm Holdings plc as of the date of the corporate reorganization.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a flexible business model for licensing products to customers, and we are continuously assessing our ability to provide greater flexibility to our customers and maximize the number of design wins for our products. Our customers license our products for a fee, which gives them access to our products and enables them to develop Arm-based processors. Once a processor has been designed and manufactured with our products, we receive a per-unit royalty on substantially all Arm-based chips shipped by our customers. Our business model enables the widest range of customers to access Arm products through an agreement best suited to their particular business needs. Our licensing and royalty business model includes:</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Arm Total Access Agreements</w:t>
      </w:r>
      <w:r>
        <w:rPr>
          <w:rFonts w:ascii="Times New Roman;sans-serif" w:hAnsi="Times New Roman;sans-serif"/>
          <w:b w:val="false"/>
          <w:color w:val="000000"/>
          <w:sz w:val="20"/>
        </w:rPr>
        <w:t>: Under an Arm Total Access agreement, we license a portfolio of CPU designs and related technologies to a 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Arm Flexible Access Agreements</w:t>
      </w:r>
      <w:r>
        <w:rPr>
          <w:rFonts w:ascii="Times New Roman;sans-serif" w:hAnsi="Times New Roman;sans-serif"/>
          <w:b w:val="false"/>
          <w:color w:val="000000"/>
          <w:sz w:val="20"/>
        </w:rPr>
        <w:t>: Under an Arm Flexible Access agreement, we license a portfolio of CPU designs and related technologies to a 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Technology Licensing Agreements (TLA)</w:t>
      </w:r>
      <w:r>
        <w:rPr>
          <w:rFonts w:ascii="Times New Roman;sans-serif" w:hAnsi="Times New Roman;sans-serif"/>
          <w:b w:val="false"/>
          <w:color w:val="000000"/>
          <w:sz w:val="20"/>
        </w:rPr>
        <w:t>: Under a TLA, we license a single CPU design or other technology design to a customer in return for a 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Architecture License Agreements (ALA)</w:t>
      </w:r>
      <w:r>
        <w:rPr>
          <w:rFonts w:ascii="Times New Roman;sans-serif" w:hAnsi="Times New Roman;sans-serif"/>
          <w:b w:val="false"/>
          <w:color w:val="000000"/>
          <w:sz w:val="20"/>
        </w:rPr>
        <w:t>: Under an ALA, the licensee is allowed to develop their own highly customized CPU designs that is compliant with the Arm instruction set architecture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pStyle w:val="TextBody"/>
        <w:bidi w:val="0"/>
        <w:spacing w:lineRule="auto" w:line="288" w:before="120" w:after="240"/>
        <w:ind w:left="0" w:right="0" w:hanging="360"/>
        <w:jc w:val="both"/>
        <w:rPr/>
      </w:pPr>
      <w:r>
        <w:rPr>
          <w:color w:val="000000"/>
        </w:rPr>
        <w:t>•</w:t>
      </w:r>
      <w:r>
        <w:rPr>
          <w:rFonts w:ascii="Times New Roman;sans-serif" w:hAnsi="Times New Roman;sans-serif"/>
          <w:b/>
          <w:i/>
          <w:color w:val="000000"/>
          <w:sz w:val="20"/>
        </w:rPr>
        <w:t>Royalty Fees</w:t>
      </w:r>
      <w:r>
        <w:rPr>
          <w:rFonts w:ascii="Times New Roman;sans-serif" w:hAnsi="Times New Roman;sans-serif"/>
          <w:b w:val="false"/>
          <w:color w:val="000000"/>
          <w:sz w:val="20"/>
        </w:rPr>
        <w:t>: We generate the majority of our revenue from customers who enter into license agreements, pursuant to which we receive royalty fees based on average selling price of the customer’s Arm-based chip or a fixed fee per chip. Royalty revenue is impacted primarily by the adoption of our products by the licensee as well as other factors, such as product lifecycles, customer’s business performance, market trends and global supply constraints.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Key Factors and Trends Affecting Our Operating Results</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We believe that the growth of our business and our future success are dependent upon many factors, including those described in the section titled “</w:t>
      </w:r>
      <w:r>
        <w:rPr>
          <w:rFonts w:ascii="Times New Roman;sans-serif" w:hAnsi="Times New Roman;sans-serif"/>
          <w:b w:val="false"/>
          <w:i/>
          <w:color w:val="000000"/>
          <w:sz w:val="20"/>
        </w:rPr>
        <w:t>Item 3. Key Information—D. Risk Factors”</w:t>
      </w:r>
      <w:r>
        <w:rPr>
          <w:color w:val="000000"/>
        </w:rPr>
        <w:t xml:space="preserve"> </w:t>
      </w:r>
      <w:r>
        <w:rPr>
          <w:rFonts w:ascii="Times New Roman;sans-serif" w:hAnsi="Times New Roman;sans-serif"/>
          <w:b w:val="false"/>
          <w:color w:val="000000"/>
          <w:sz w:val="20"/>
        </w:rPr>
        <w:t>and elsewhere in the Annual Report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Global Demand for Semiconductor Products and Cyclical Nature of the Semiconductor Industry</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Semiconductor chips are essential components in consumer, enterprise, and automotive electronics, which has resulted in sustained and increasing long-term demand for semiconductor chips, a significant percentage of which contain our products. Our license and royalty revenue is,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downturns in the past, we expect there to be continued and increasing demand for semiconductors over the long term as macro trends drive device manufacturers to produce more powerful and energy-efficient devices.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royalty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royalty revenue.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Our Market Share Across End Markets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As new high-growth markets for electronics emerge and incorporate more artificial intelligence (“AI”) and machine learning workloads, they require our more advanced processor designs in areas such as cloud computing, the automotive industry, and the internet of things (“IoT”) economy. Our operating and financial performance is dependent, in large part, upon maintaining our market share in the smartphone and consumer electronics markets and maintaining or growing market share in our other target markets.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Ability to Provide Our Customers with More Value Per Chip</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continue to develop more advanced products and offer increasingly comprehensive product packages, including providing more complete subsystems, will encourage greater use of our products by existing and prospective customers. For example, some licensees may combine multiple different Arm CPUs in a single chip, Arm CPUs with other Arm IP such as Arm GPUs, or deploy Arm CPU implementations with more than 100 cores. Some customers may be better served by the integration of our IP into a subsystem with additional information to assist in fabrication. For chips where our products have provided more value, we will typically receive a higher royalty rate per chip. Accordingly, we believe that our investments in higher performance, higher efficiency, and more specialized designs will drive greater demand for our products and higher value for our customers, which is expected to result in higher royalty fees. Our future performance is dependent on our continued ability to provide value to customers, and our ability to drive additional value through technological innovation.</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Increasing Design Wins with Existing and Prospective Customers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and will continue to make significant investments in research and development to ensure that we can develop products suitable for new opportunities with existing and prospective customers. A key measure of our success is our customer design wins. Because we are often embedded within our customers’ research and development functions, we typically have significant, unique visibility into our customers’ product development pipelines, which we believe positions us to capture design wins to a greater extent than our competitors.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Performance of Arm China</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our commercial relationship with Arm China to access the PRC market, and a significant portion of our total revenue is generated from Arm China, a related party. Arm China has the right to sublicense our processor technology pursuant to the intellectual property license agreement (“IPLA”). Our responsibility under the IPLA is to facilitate delivery of our processor technology to Arm China’s end customers in accordance with detailed instructions and other specifications from Arm China. Our revenue is calculated as a percentage of license and royalty fees earned by Arm China from sub-license arrangements entered into with its end customers. Where our revenue is earned as a percentage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license fee received by Arm China, we categorize such revenue as our license revenue. Our share of Arm China’s royalties is categorized as royalty revenue in our financial statements. Despite our reliance on Arm China through our commercial relationship with it,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Total revenue derived from Arm China decreased during the three months ended June 30, 2024 as compared to the three months ended June 30, 2023. Our royalty revenue from Arm China increased during the three months ended June 30, 2024 as compared to the three months ended June 30, 2023 primarily due to smartphone market recovery and improved mix of products with higher royalty rates per chip, such as Armv9 technology.</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Developments in Export Control Regulations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Bureau of Industry and Security (“BIS”) of the U.S. Department of Commerce published updated export controls on advanced computing chips, computer commodities that contain such chips, and certain semiconductor manufacturing items, as well as controls on transactions involving items for supercomputer and semiconductor manufacturing end-uses. The October 2023 export controls expand the scope of items subject to license requirements for certain entities on BIS’s Entity List. As a result, our freedom to license our products to designated countries or entities could be reduced, and our commercial relationships could be further harmed by limiting the ability of certain of our customers and partners from freely shipping chips and end products incorporating certain of our products. </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Impact of the Current Macroeconomic Environment and Geopolitical Events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Uncertainty in the macroeconomic environment, resulting from a range of events and trends, including the recent financial institution failures, rise in global inflation and interest rates, supply chain disruptions, geopolitical pressures, including the unknown impact of current and future U.S. and PRC trade regulations, changes in PRC-Taiwan relations, the war in Ukraine, fluctuation in foreign exchange rates, and associated global economic conditions have resulted in volatility in our operating performance. For example, the war in Ukraine could lead to further market disruptions and exacerbate current supply chain constraints, including with respect to certain materials and metals, which are essential in semiconductor manufacturing. The conflicts in the Middle East have caused no major interruption to our operations to date. Furthermore,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Investment in Technology and Product Development</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remain competitive, we must continue to develop new applications and enhancements to our existing products and services, particularly as next generation technology is adopted by market participants. Allocating and maintaining adequate research and development resources, such as the appropriate personnel and development technology, to meet the evolving demands of the market is essential to our continued success.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continue to evaluate opportunities and potential investments to develop new technologies and advanced products, including in the AI arena and thereby expand beyond individual design IP elements to providing a more complete system.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our efforts in this regard are still in the nascent stages, in the future we may invest greater financial and other resources in furtherance of those efforts, explore investment and/or acquisition opportunities, and engage with one or more partners to provide technical, financial and/or other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Recent Events and Transactions</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Company Expenses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a recently public company, we will continue to implement additional procedures and processes for the purpose of addressing the standards and requirements applicable to public companies. We expect our finance, legal and employee-related expenses to increase as we establish more comprehensive compliance and governance functions and hire additional personnel to support such functions, maintain and review internal controls over financial reporting in accordance with the Sarbanes-Oxley Act of 2002, and prepare and distribute periodic reports in accordance with SEC rules. Our financial statements will reflect the impact of these expenses. We also expect higher premiums for the costs of our insurance, including directors’ and officers’ insurance.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100% of the 2019 AEP and 2019 EIP awards have vested and were settled in shares. Equity compensation has been, and will continue to be, an important part of our future compensation strategy and a significant component of our future expenses, which we expect to increase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pStyle w:val="TextBody"/>
        <w:bidi w:val="0"/>
        <w:spacing w:lineRule="auto" w:line="288" w:before="12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We disaggregate revenue into the following categories for major product offerings:</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License and Other Revenue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License and other revenue include revenue from licensing, software development tools, design services, training, support, and all other fees that do not constitute royalty revenue. The products licensed by us consists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 from a relatively small number of customers.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 from customer service support is recorded within other revenue.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 different configurations of our products before committing to a chip design.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Arm Total Access agreements also provide our customers with access to a package of our products, including processor, graphics, and systems products. Arm Total Access customers have the option to license our most advanced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Royalty Revenue</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Royalties are generally either set as a percentage of the licensee’s average selling price per chip or as a fixed amount per chip. The royalty rates per chip typically reduce over time as the total volume of chips incorporating our products 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w:t>
      </w:r>
      <w:r>
        <w:rPr>
          <w:color w:val="000000"/>
        </w:rPr>
        <w:t>“—</w:t>
      </w:r>
      <w:r>
        <w:rPr>
          <w:rFonts w:ascii="Times New Roman;sans-serif" w:hAnsi="Times New Roman;sans-serif"/>
          <w:b w:val="false"/>
          <w:i/>
          <w:color w:val="000000"/>
          <w:sz w:val="20"/>
        </w:rPr>
        <w:t>Key Factors and Trends Affecting Our Operating Results—Ability to Provide Our Customers with More Value Per Chip”</w:t>
      </w:r>
      <w:r>
        <w:rPr>
          <w:color w:val="000000"/>
        </w:rPr>
        <w:t xml:space="preserve"> </w:t>
      </w:r>
      <w:r>
        <w:rPr>
          <w:rFonts w:ascii="Times New Roman;sans-serif" w:hAnsi="Times New Roman;sans-serif"/>
          <w:b w:val="false"/>
          <w:color w:val="000000"/>
          <w:sz w:val="20"/>
        </w:rPr>
        <w:t>above for examples of how customers may incorporate multiple products in a single chip. License contracts require the licensee to issue royalty reports, including details of chip sales, to us on a quarterly basis.</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Royalty revenue is recognized on an accrual basis in the quarter in which the customers ship chips containing our products,</w:t>
      </w:r>
      <w:r>
        <w:rPr>
          <w:color w:val="231F20"/>
        </w:rPr>
        <w:t xml:space="preserve"> </w:t>
      </w:r>
      <w:r>
        <w:rPr>
          <w:rFonts w:ascii="Times New Roman;sans-serif" w:hAnsi="Times New Roman;sans-serif"/>
          <w:b w:val="false"/>
          <w:color w:val="231F20"/>
          <w:sz w:val="20"/>
        </w:rPr>
        <w:t>using estimates from sales 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w:t>
      </w:r>
      <w:r>
        <w:rPr>
          <w:rFonts w:ascii="Times New Roman;sans-serif" w:hAnsi="Times New Roman;sans-serif"/>
          <w:b w:val="false"/>
          <w:color w:val="000000"/>
          <w:sz w:val="20"/>
        </w:rPr>
        <w:t>.</w:t>
      </w:r>
    </w:p>
    <w:p>
      <w:pPr>
        <w:pStyle w:val="TextBody"/>
        <w:bidi w:val="0"/>
        <w:spacing w:lineRule="auto" w:line="288" w:before="120" w:after="24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from External Customers and Related Parties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separately present revenue derived from contracts with our external customers and those derived from related parties. Revenue from related parties is derived from Arm China, customers in which we have an equity method investment, and other entities related to us by virtue of common control by SoftBank Group.</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(“COS”) is comprised primarily of the costs of providing technical support and training to our customers. Occasionally, some research and development costs are classified as COS if one of our IP products is being customized as part of professional and design services.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is at the heart of our business and critical to our future success. Accordingly, we have always invested, and will continue to invest, significant resources in our research and development program.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substantially increased our research and development investment to focus on long-term returns and to replicate the strong position that we maintain in smartphones and in other markets, such as automotive, networking equipment, cloud compute and industrial IoT. Each generation of processor is typically more advanced and more complex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than the previous generation, which requires increased development efforts that may be partially offset by improvements in productivity. Consequently, each year we increase our research and development investment in line with the increased development needs of the next generation of products. Engineers are in high demand and well remunerated, and accordingly our increased research and development activity will continue to result in an increase in costs, principally driven by salaries for such technical employees and the costs of tools they need.</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employee-related expenses, including salaries, bonuses, share-based compensation, and benefits associated with employees in research and development functions, along with 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research and development expenses.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Income (loss) from Equity Investments, Net</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 includes changes in the fair value of certain equity method investments for which we elect to apply fair value accounting or at the NAV,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is recognized in the subsequent quarter of which such income or loss is recognized by our investee.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Interest income consists primarily of interest received on cash and cash equivalents, short-term investments that we hold wit</w:t>
      </w:r>
      <w:r>
        <w:rPr>
          <w:rFonts w:ascii="Times New Roman;sans-serif" w:hAnsi="Times New Roman;sans-serif"/>
          <w:b w:val="false"/>
          <w:color w:val="231F20"/>
          <w:sz w:val="20"/>
        </w:rPr>
        <w:t>h various financial institutions, and loans receivable. Interest expense consists primarily of interest on finance leases.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Other Non-Operating Income (Loss), Net</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exchange contracts and changes in the fair value of convertible loans receivable.</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 Benefit (Expense) </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using the asset and liability method under GAAP, whereby deferred income taxes are recognized for the tax consequences of temporary differences between financial statement carrying amounts and the tax basis of assets and liabilities. Income tax expense reflects income earned and taxed, in jurisdictions in which we conduct business, which mainly include U.K. and U.S. federal and state income taxes. We benefit from the U.K.’s “patent box” regime, which allows certain profits attributable to revenue from patented products (and other qualifying income) to be taxed at an effective corporation tax rate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The following table sets forth the components of operations from our unaudited Condensed Consolidated Income Statements and such data as a percentage of total revenue on an absolute basis, for the periods indicated:</w:t>
      </w:r>
    </w:p>
    <w:tbl>
      <w:tblPr>
        <w:tblW w:w="9266" w:type="dxa"/>
        <w:jc w:val="left"/>
        <w:tblInd w:w="0" w:type="dxa"/>
        <w:tblLayout w:type="fixed"/>
        <w:tblCellMar>
          <w:top w:w="28" w:type="dxa"/>
          <w:left w:w="28" w:type="dxa"/>
          <w:bottom w:w="28" w:type="dxa"/>
          <w:right w:w="28" w:type="dxa"/>
        </w:tblCellMar>
      </w:tblPr>
      <w:tblGrid>
        <w:gridCol w:w="1286"/>
        <w:gridCol w:w="1131"/>
        <w:gridCol w:w="1137"/>
        <w:gridCol w:w="109"/>
        <w:gridCol w:w="109"/>
        <w:gridCol w:w="109"/>
        <w:gridCol w:w="211"/>
        <w:gridCol w:w="466"/>
        <w:gridCol w:w="109"/>
        <w:gridCol w:w="274"/>
        <w:gridCol w:w="274"/>
        <w:gridCol w:w="682"/>
        <w:gridCol w:w="109"/>
        <w:gridCol w:w="109"/>
        <w:gridCol w:w="109"/>
        <w:gridCol w:w="211"/>
        <w:gridCol w:w="466"/>
        <w:gridCol w:w="109"/>
        <w:gridCol w:w="274"/>
        <w:gridCol w:w="274"/>
        <w:gridCol w:w="682"/>
        <w:gridCol w:w="109"/>
        <w:gridCol w:w="109"/>
        <w:gridCol w:w="109"/>
        <w:gridCol w:w="109"/>
        <w:gridCol w:w="109"/>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Gross profit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Percentages are calculated from the amounts presented and may not add to their respective totals due to rounding</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revenue</w:t>
      </w:r>
    </w:p>
    <w:tbl>
      <w:tblPr>
        <w:tblW w:w="10829"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11"/>
        <w:gridCol w:w="466"/>
        <w:gridCol w:w="109"/>
        <w:gridCol w:w="109"/>
        <w:gridCol w:w="109"/>
        <w:gridCol w:w="109"/>
        <w:gridCol w:w="211"/>
        <w:gridCol w:w="466"/>
        <w:gridCol w:w="109"/>
        <w:gridCol w:w="233"/>
        <w:gridCol w:w="233"/>
        <w:gridCol w:w="551"/>
        <w:gridCol w:w="109"/>
        <w:gridCol w:w="109"/>
        <w:gridCol w:w="109"/>
        <w:gridCol w:w="211"/>
        <w:gridCol w:w="466"/>
        <w:gridCol w:w="109"/>
        <w:gridCol w:w="109"/>
        <w:gridCol w:w="109"/>
        <w:gridCol w:w="109"/>
        <w:gridCol w:w="211"/>
        <w:gridCol w:w="466"/>
        <w:gridCol w:w="109"/>
        <w:gridCol w:w="233"/>
        <w:gridCol w:w="233"/>
        <w:gridCol w:w="551"/>
        <w:gridCol w:w="109"/>
        <w:gridCol w:w="109"/>
        <w:gridCol w:w="109"/>
        <w:gridCol w:w="211"/>
        <w:gridCol w:w="466"/>
        <w:gridCol w:w="109"/>
        <w:gridCol w:w="109"/>
        <w:gridCol w:w="109"/>
        <w:gridCol w:w="109"/>
        <w:gridCol w:w="211"/>
        <w:gridCol w:w="466"/>
        <w:gridCol w:w="109"/>
        <w:gridCol w:w="211"/>
        <w:gridCol w:w="211"/>
        <w:gridCol w:w="61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4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Total revenue increased $264 million, or 39%, to $939 million during the three months ended June 30, 2024, from total revenue of $675 million during the three months ended June 30, 2023. License and other revenue increased $197 million, or 72%, during the three months ended June 30, 2024 as compared to the three months ended June 30, 2023, </w:t>
      </w:r>
      <w:r>
        <w:rPr>
          <w:rFonts w:ascii="Times New Roman;sans-serif" w:hAnsi="Times New Roman;sans-serif"/>
          <w:b w:val="false"/>
          <w:color w:val="231F20"/>
          <w:sz w:val="20"/>
        </w:rPr>
        <w:t xml:space="preserve">primarily due to an increase in revenue from timing of </w:t>
      </w:r>
      <w:r>
        <w:rPr>
          <w:rFonts w:ascii="Times New Roman;sans-serif" w:hAnsi="Times New Roman;sans-serif"/>
          <w:b w:val="false"/>
          <w:color w:val="000000"/>
          <w:sz w:val="20"/>
        </w:rPr>
        <w:t>multiple high-value license agreements and contributions from backlog into the current quarter</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Royalty revenue increased $67 million, or 17%, during the three months ended June 30, 2024 as compared to the three months ended June 30, 2023, primarily due to the smartphone market recovery and an improved mix of products with higher royalty rates per chip, such as Armv9 technology.</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Revenu</w:t>
      </w:r>
      <w:r>
        <w:rPr>
          <w:rFonts w:ascii="Times New Roman;sans-serif" w:hAnsi="Times New Roman;sans-serif"/>
          <w:b w:val="false"/>
          <w:color w:val="231F20"/>
          <w:sz w:val="20"/>
        </w:rPr>
        <w:t xml:space="preserve">e from external customers increased $280 million, or </w:t>
      </w:r>
      <w:r>
        <w:rPr>
          <w:rFonts w:ascii="Times New Roman;sans-serif" w:hAnsi="Times New Roman;sans-serif"/>
          <w:b w:val="false"/>
          <w:color w:val="000000"/>
          <w:sz w:val="20"/>
        </w:rPr>
        <w:t xml:space="preserve">52%, during the three months ended June 30, 2024 as compared to the three months ended June 30, 2023, primarily due to a $261 million, or 145%, increase in license and other revenue </w:t>
      </w:r>
      <w:r>
        <w:rPr>
          <w:rFonts w:ascii="Times New Roman;sans-serif" w:hAnsi="Times New Roman;sans-serif"/>
          <w:b w:val="false"/>
          <w:color w:val="231F20"/>
          <w:sz w:val="20"/>
        </w:rPr>
        <w:t xml:space="preserve">primarily due to an increase in revenue from </w:t>
      </w:r>
      <w:r>
        <w:rPr>
          <w:rFonts w:ascii="Times New Roman;sans-serif" w:hAnsi="Times New Roman;sans-serif"/>
          <w:b w:val="false"/>
          <w:color w:val="000000"/>
          <w:sz w:val="20"/>
        </w:rPr>
        <w:t xml:space="preserve">multiple high-value license agreements and contributions from backlog. Revenue from related parties decreased $16 million, or 11%, during the three months ended June 30, 2024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compared to the three months ended June 30, 2023, primarily due to a $64 million, or 67%, decrease in license and other revenue. This was offset by a $48 million, or 107%, increase in royalty revenue.</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and 2023, revenue from sales to customers outside of the U.S. accounted for approximately 41% and approximately 57% of total revenue, respectively. Less than 2% of our total revenue is denominated in currencies other than U.S. dollars, and the impact of changes in foreign exchange rates on our revenue and results of operations for the three months ended June 30, 2024 and 2023 was immaterial. </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sales</w:t>
      </w:r>
    </w:p>
    <w:tbl>
      <w:tblPr>
        <w:tblW w:w="7050"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222"/>
        <w:gridCol w:w="459"/>
        <w:gridCol w:w="114"/>
        <w:gridCol w:w="114"/>
        <w:gridCol w:w="114"/>
        <w:gridCol w:w="114"/>
        <w:gridCol w:w="222"/>
        <w:gridCol w:w="459"/>
        <w:gridCol w:w="114"/>
        <w:gridCol w:w="114"/>
        <w:gridCol w:w="114"/>
        <w:gridCol w:w="114"/>
        <w:gridCol w:w="330"/>
        <w:gridCol w:w="330"/>
        <w:gridCol w:w="331"/>
        <w:gridCol w:w="109"/>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Cost of sales increased by $2 million, or 6%, during the three months ended June 30, 2024 as compared to the three months ended June 30, 2023, primarily due to increases in </w:t>
      </w:r>
      <w:r>
        <w:rPr>
          <w:rFonts w:ascii="Times New Roman;sans-serif" w:hAnsi="Times New Roman;sans-serif"/>
          <w:b w:val="false"/>
          <w:color w:val="231F20"/>
          <w:sz w:val="20"/>
        </w:rPr>
        <w:t>salaries and related expenses</w:t>
      </w:r>
      <w:r>
        <w:rPr>
          <w:color w:val="000000"/>
        </w:rPr>
        <w:t xml:space="preserve"> </w:t>
      </w:r>
      <w:r>
        <w:rPr>
          <w:rFonts w:ascii="Times New Roman;sans-serif" w:hAnsi="Times New Roman;sans-serif"/>
          <w:b w:val="false"/>
          <w:color w:val="000000"/>
          <w:sz w:val="20"/>
        </w:rPr>
        <w:t>and employer taxes arising in connection with vested awards, partially offset by decreases in activities associated with professional and design services.</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152"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211"/>
        <w:gridCol w:w="541"/>
        <w:gridCol w:w="109"/>
        <w:gridCol w:w="109"/>
        <w:gridCol w:w="109"/>
        <w:gridCol w:w="109"/>
        <w:gridCol w:w="211"/>
        <w:gridCol w:w="541"/>
        <w:gridCol w:w="109"/>
        <w:gridCol w:w="109"/>
        <w:gridCol w:w="109"/>
        <w:gridCol w:w="109"/>
        <w:gridCol w:w="330"/>
        <w:gridCol w:w="330"/>
        <w:gridCol w:w="331"/>
        <w:gridCol w:w="109"/>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Research and development expenses increased by $148 million, or 44%, during the three months ended June 30, 2024 as compared to the three months ended June 30, 2023, </w:t>
      </w:r>
      <w:r>
        <w:rPr>
          <w:rFonts w:ascii="Times New Roman;sans-serif" w:hAnsi="Times New Roman;sans-serif"/>
          <w:b w:val="false"/>
          <w:color w:val="231F20"/>
          <w:sz w:val="20"/>
        </w:rPr>
        <w:t xml:space="preserve">primarily due to increased investments in the next generation products. The increase was primarily due to salaries and related expenses due to head count increases from hiring, and </w:t>
      </w:r>
      <w:r>
        <w:rPr>
          <w:rFonts w:ascii="Times New Roman;sans-serif" w:hAnsi="Times New Roman;sans-serif"/>
          <w:b w:val="false"/>
          <w:color w:val="000000"/>
          <w:sz w:val="20"/>
        </w:rPr>
        <w:t>share-based compensation costs, as well as associated employer taxes arising in connection with vested awards. Other factors contributing to the increase included</w:t>
      </w:r>
      <w:r>
        <w:rPr>
          <w:color w:val="231F20"/>
        </w:rPr>
        <w:t xml:space="preserve"> </w:t>
      </w:r>
      <w:r>
        <w:rPr>
          <w:rFonts w:ascii="Times New Roman;sans-serif" w:hAnsi="Times New Roman;sans-serif"/>
          <w:b w:val="false"/>
          <w:color w:val="231F20"/>
          <w:sz w:val="20"/>
        </w:rPr>
        <w:t>increases in engineering expenses, including cloud services, losses from cash flow hedge activity, capitalized software amortization and allocated facility overhead expenses, partially offset by increases in research and development tax credits.</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Selling, general and administrative</w:t>
      </w:r>
    </w:p>
    <w:tbl>
      <w:tblPr>
        <w:tblW w:w="7348" w:type="dxa"/>
        <w:jc w:val="left"/>
        <w:tblInd w:w="0" w:type="dxa"/>
        <w:tblLayout w:type="fixed"/>
        <w:tblCellMar>
          <w:top w:w="28" w:type="dxa"/>
          <w:left w:w="28" w:type="dxa"/>
          <w:bottom w:w="28" w:type="dxa"/>
          <w:right w:w="28" w:type="dxa"/>
        </w:tblCellMar>
      </w:tblPr>
      <w:tblGrid>
        <w:gridCol w:w="1069"/>
        <w:gridCol w:w="940"/>
        <w:gridCol w:w="946"/>
        <w:gridCol w:w="109"/>
        <w:gridCol w:w="109"/>
        <w:gridCol w:w="109"/>
        <w:gridCol w:w="211"/>
        <w:gridCol w:w="541"/>
        <w:gridCol w:w="109"/>
        <w:gridCol w:w="109"/>
        <w:gridCol w:w="109"/>
        <w:gridCol w:w="109"/>
        <w:gridCol w:w="211"/>
        <w:gridCol w:w="541"/>
        <w:gridCol w:w="109"/>
        <w:gridCol w:w="109"/>
        <w:gridCol w:w="109"/>
        <w:gridCol w:w="109"/>
        <w:gridCol w:w="220"/>
        <w:gridCol w:w="220"/>
        <w:gridCol w:w="551"/>
        <w:gridCol w:w="109"/>
        <w:gridCol w:w="109"/>
        <w:gridCol w:w="109"/>
        <w:gridCol w:w="109"/>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Selling, general and administrative expenses increased by $43 million, or 22%, during the three months ended June 30, 2024 as compared to the three months ended June 30, 2023, </w:t>
      </w:r>
      <w:r>
        <w:rPr>
          <w:rFonts w:ascii="Times New Roman;sans-serif" w:hAnsi="Times New Roman;sans-serif"/>
          <w:b w:val="false"/>
          <w:color w:val="231F20"/>
          <w:sz w:val="20"/>
        </w:rPr>
        <w:t>primarily due to increases in salaries and related expenses</w:t>
      </w:r>
      <w:r>
        <w:rPr>
          <w:color w:val="000000"/>
        </w:rPr>
        <w:t xml:space="preserve"> </w:t>
      </w:r>
      <w:r>
        <w:rPr>
          <w:rFonts w:ascii="Times New Roman;sans-serif" w:hAnsi="Times New Roman;sans-serif"/>
          <w:b w:val="false"/>
          <w:color w:val="000000"/>
          <w:sz w:val="20"/>
        </w:rPr>
        <w:t>driven by employer taxes arising in connection with vested awards. Other factors contributing to the increase included</w:t>
      </w:r>
      <w:r>
        <w:rPr>
          <w:color w:val="231F20"/>
        </w:rPr>
        <w:t xml:space="preserve"> </w:t>
      </w:r>
      <w:r>
        <w:rPr>
          <w:rFonts w:ascii="Times New Roman;sans-serif" w:hAnsi="Times New Roman;sans-serif"/>
          <w:b w:val="false"/>
          <w:color w:val="231F20"/>
          <w:sz w:val="20"/>
        </w:rPr>
        <w:t xml:space="preserve">provision </w:t>
      </w:r>
      <w:r>
        <w:rPr>
          <w:rFonts w:ascii="Times New Roman;sans-serif" w:hAnsi="Times New Roman;sans-serif"/>
          <w:b w:val="false"/>
          <w:color w:val="000000"/>
          <w:sz w:val="20"/>
        </w:rPr>
        <w:t>for current expected credit losses on accounts receivables</w:t>
      </w:r>
      <w:r>
        <w:rPr>
          <w:rFonts w:ascii="Times New Roman;sans-serif" w:hAnsi="Times New Roman;sans-serif"/>
          <w:b w:val="false"/>
          <w:color w:val="231F20"/>
          <w:sz w:val="20"/>
        </w:rPr>
        <w:t>, losses from cash flow hedge activity, professional service expenses and related charges, legal fees and allocated facility overhead expenses. These increases were partially offset by</w:t>
      </w:r>
      <w:r>
        <w:rPr>
          <w:color w:val="000000"/>
        </w:rPr>
        <w:t xml:space="preserve"> </w:t>
      </w:r>
      <w:r>
        <w:rPr>
          <w:rFonts w:ascii="Times New Roman;sans-serif" w:hAnsi="Times New Roman;sans-serif"/>
          <w:b w:val="false"/>
          <w:color w:val="231F20"/>
          <w:sz w:val="20"/>
        </w:rPr>
        <w:t>decreased public company readiness costs, capitalized software amortization, amortization of patents and licenses intangible assets and decreased travel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(loss) from equity investments, net</w:t>
      </w:r>
    </w:p>
    <w:tbl>
      <w:tblPr>
        <w:tblW w:w="7772" w:type="dxa"/>
        <w:jc w:val="left"/>
        <w:tblInd w:w="0" w:type="dxa"/>
        <w:tblLayout w:type="fixed"/>
        <w:tblCellMar>
          <w:top w:w="28" w:type="dxa"/>
          <w:left w:w="28" w:type="dxa"/>
          <w:bottom w:w="28" w:type="dxa"/>
          <w:right w:w="28" w:type="dxa"/>
        </w:tblCellMar>
      </w:tblPr>
      <w:tblGrid>
        <w:gridCol w:w="1286"/>
        <w:gridCol w:w="1131"/>
        <w:gridCol w:w="1138"/>
        <w:gridCol w:w="109"/>
        <w:gridCol w:w="109"/>
        <w:gridCol w:w="109"/>
        <w:gridCol w:w="223"/>
        <w:gridCol w:w="383"/>
        <w:gridCol w:w="115"/>
        <w:gridCol w:w="115"/>
        <w:gridCol w:w="115"/>
        <w:gridCol w:w="115"/>
        <w:gridCol w:w="223"/>
        <w:gridCol w:w="351"/>
        <w:gridCol w:w="115"/>
        <w:gridCol w:w="115"/>
        <w:gridCol w:w="115"/>
        <w:gridCol w:w="115"/>
        <w:gridCol w:w="269"/>
        <w:gridCol w:w="271"/>
        <w:gridCol w:w="551"/>
        <w:gridCol w:w="109"/>
        <w:gridCol w:w="109"/>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pPr>
      <w:r>
        <w:rPr>
          <w:rFonts w:ascii="Times New Roman;sans-serif" w:hAnsi="Times New Roman;sans-serif"/>
          <w:b w:val="false"/>
          <w:color w:val="000000"/>
          <w:sz w:val="20"/>
        </w:rPr>
        <w:t>Income (loss) from equity investments, net increased by $31 million, or 443%, for the three months ended June 30, 2024 as compared to the three months ended June 30, 2023, primarily due to</w:t>
      </w:r>
      <w:r>
        <w:rPr>
          <w:color w:val="231F20"/>
        </w:rPr>
        <w:t xml:space="preserve"> </w:t>
      </w:r>
      <w:r>
        <w:rPr>
          <w:rFonts w:ascii="Times New Roman;sans-serif" w:hAnsi="Times New Roman;sans-serif"/>
          <w:b w:val="false"/>
          <w:color w:val="231F20"/>
          <w:sz w:val="20"/>
        </w:rPr>
        <w:t>unrealized gains related to an equity investment in a publicly listed company, which were partially offset by unrealized losses related to equity method investments accounted for at fair value and non-marketable securities.</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 net</w:t>
      </w:r>
    </w:p>
    <w:tbl>
      <w:tblPr>
        <w:tblW w:w="6886" w:type="dxa"/>
        <w:jc w:val="left"/>
        <w:tblInd w:w="0" w:type="dxa"/>
        <w:tblLayout w:type="fixed"/>
        <w:tblCellMar>
          <w:top w:w="28" w:type="dxa"/>
          <w:left w:w="28" w:type="dxa"/>
          <w:bottom w:w="28" w:type="dxa"/>
          <w:right w:w="28" w:type="dxa"/>
        </w:tblCellMar>
      </w:tblPr>
      <w:tblGrid>
        <w:gridCol w:w="998"/>
        <w:gridCol w:w="878"/>
        <w:gridCol w:w="883"/>
        <w:gridCol w:w="109"/>
        <w:gridCol w:w="109"/>
        <w:gridCol w:w="109"/>
        <w:gridCol w:w="221"/>
        <w:gridCol w:w="378"/>
        <w:gridCol w:w="114"/>
        <w:gridCol w:w="114"/>
        <w:gridCol w:w="114"/>
        <w:gridCol w:w="114"/>
        <w:gridCol w:w="221"/>
        <w:gridCol w:w="378"/>
        <w:gridCol w:w="114"/>
        <w:gridCol w:w="114"/>
        <w:gridCol w:w="114"/>
        <w:gridCol w:w="114"/>
        <w:gridCol w:w="220"/>
        <w:gridCol w:w="220"/>
        <w:gridCol w:w="551"/>
        <w:gridCol w:w="109"/>
        <w:gridCol w:w="109"/>
        <w:gridCol w:w="109"/>
        <w:gridCol w:w="109"/>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net increased by $8 million, or 33%, for the three months ended June 30, 2024 as compared to the three months ended June 30, 2023, primarily due to favorable interest rate yields recognized on higher short-term investments and cash equivalents.</w:t>
      </w:r>
    </w:p>
    <w:p>
      <w:pPr>
        <w:pStyle w:val="TextBody"/>
        <w:bidi w:val="0"/>
        <w:spacing w:lineRule="auto" w:line="288" w:before="120" w:after="240"/>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 (expense) benefit</w:t>
      </w:r>
    </w:p>
    <w:tbl>
      <w:tblPr>
        <w:tblW w:w="10177" w:type="dxa"/>
        <w:jc w:val="left"/>
        <w:tblInd w:w="0" w:type="dxa"/>
        <w:tblLayout w:type="fixed"/>
        <w:tblCellMar>
          <w:top w:w="28" w:type="dxa"/>
          <w:left w:w="28" w:type="dxa"/>
          <w:bottom w:w="28" w:type="dxa"/>
          <w:right w:w="28" w:type="dxa"/>
        </w:tblCellMar>
      </w:tblPr>
      <w:tblGrid>
        <w:gridCol w:w="2029"/>
        <w:gridCol w:w="1786"/>
        <w:gridCol w:w="1795"/>
        <w:gridCol w:w="109"/>
        <w:gridCol w:w="109"/>
        <w:gridCol w:w="109"/>
        <w:gridCol w:w="211"/>
        <w:gridCol w:w="466"/>
        <w:gridCol w:w="271"/>
        <w:gridCol w:w="109"/>
        <w:gridCol w:w="109"/>
        <w:gridCol w:w="109"/>
        <w:gridCol w:w="211"/>
        <w:gridCol w:w="466"/>
        <w:gridCol w:w="271"/>
        <w:gridCol w:w="109"/>
        <w:gridCol w:w="109"/>
        <w:gridCol w:w="109"/>
        <w:gridCol w:w="220"/>
        <w:gridCol w:w="220"/>
        <w:gridCol w:w="551"/>
        <w:gridCol w:w="109"/>
        <w:gridCol w:w="109"/>
        <w:gridCol w:w="109"/>
        <w:gridCol w:w="109"/>
        <w:gridCol w:w="109"/>
        <w:gridCol w:w="154"/>
      </w:tblGrid>
      <w:tr>
        <w:trPr/>
        <w:tc>
          <w:tcPr>
            <w:tcW w:w="202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as a percentage of 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and the effective tax rate for the three months ended June 30, 2024 as compared to the three months ended June 30, 2023 changed primarily due to windfall tax benefits associated with share-based compensation arising in the three months ended June 30, 2024.</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Organisation for Economic Co-Operation and Development (“OECD”) reached an agreement among various countries to implement a minimum 15% rate on certain multinational enterprises, commonly referred to as Pillar Two. In July 2023, the U.K. enacted legislation to implement the OECD framework for Pillar Two, part of which went into effect January 1, 2024. A number of other countries where we do business, including the U.S., Japan, and many countries in the European Union, have implemented, or are considering implementing, changes in relevant tax, accounting and other laws, regulations and interpretations. We will continue to monitor the implementation of Pillar Two in the jurisdictions in which we operate. Given the numerous proposed tax law changes and the uncertainty regarding such proposed tax legislative changes, the impact of Pillar Two could adversely impact our effective tax rate. Pillar Two did not have a material impact on the financial statement or results of operations for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financed, and intend to continue to finance, our operations primarily through cash generated from our business operations, partially supported by government research grants and tax credits. For the three months ended June 30, 2024 and 2023, the government research grant and tax credits benefits recognized were $40 million and $44 million, respectively. As of June 30, 2024, we had cash and cash equivalents of $1,465 million and short-term investments of $1,000 million.</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cash equivalents and short-term investments will be adequate to meet our liquidity requirements for at least the next 12 months and in the longer term. Our future capital requirements will depend on several factors, including our revenue growth, the timing and extent of spending on research and development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w:t>
      </w:r>
    </w:p>
    <w:tbl>
      <w:tblPr>
        <w:tblW w:w="8708" w:type="dxa"/>
        <w:jc w:val="left"/>
        <w:tblInd w:w="0" w:type="dxa"/>
        <w:tblLayout w:type="fixed"/>
        <w:tblCellMar>
          <w:top w:w="28" w:type="dxa"/>
          <w:left w:w="28" w:type="dxa"/>
          <w:bottom w:w="28" w:type="dxa"/>
          <w:right w:w="28" w:type="dxa"/>
        </w:tblCellMar>
      </w:tblPr>
      <w:tblGrid>
        <w:gridCol w:w="2069"/>
        <w:gridCol w:w="1815"/>
        <w:gridCol w:w="1830"/>
        <w:gridCol w:w="109"/>
        <w:gridCol w:w="109"/>
        <w:gridCol w:w="109"/>
        <w:gridCol w:w="251"/>
        <w:gridCol w:w="733"/>
        <w:gridCol w:w="129"/>
        <w:gridCol w:w="129"/>
        <w:gridCol w:w="129"/>
        <w:gridCol w:w="129"/>
        <w:gridCol w:w="251"/>
        <w:gridCol w:w="733"/>
        <w:gridCol w:w="183"/>
      </w:tblGrid>
      <w:tr>
        <w:trPr/>
        <w:tc>
          <w:tcPr>
            <w:tcW w:w="20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for) operating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for) investing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for) financing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the beginning of the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Net Cash Provided by (Used for) Operating Activities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 increased by $176 million to $290 million for the three months ended June 30, 2024 as compared to the three months ended June 30, 2023, primarily due to timing of certain non-cash items such as income on equity investments due to fair value movements, and changes in assets and liabilities, partially offset by higher share-based compensation costs. Changes in assets and liabilities were primarily driven by an increase in contract assets due to new contracts signed and timing of revenue recognition, an increase in accounts receivable due to timing of payments from customers, and a decrease in other liabilities due to more cash used for employment taxes payable on vested shares, partially offset by a relatively smaller decrease in accrued compensation and benefits.</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Net Cash Provided by (Used for) Investing Activities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decreased by $103 million to $74 million for the three months ended June 30, 2024 as compared to the three months ended June 30, 2023, primarily due to a decrease of $210 million from reduced short-term investment purchases, offset by a $70 million decrease in proceeds from short-term investment maturities, a $25 million increase for purchases of equity investments, a $9 million increase in purchases of intangible assets, and a $3 million increase in purchases of property and equipment.</w:t>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Net Cash Used for Financing Activities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increased by $81 million to $96 million for the three months ended June 30, 2024 as compared to the three months ended June 30, 2023, primarily due a $72 million increase in payments of withholding tax on vested shares and a $10 million increase in payments of intangible assets obligations, offset by a slight decrease in other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both"/>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condensed consolidated financial statements.</w:t>
      </w:r>
    </w:p>
    <w:p>
      <w:pPr>
        <w:pStyle w:val="TextBody"/>
        <w:bidi w:val="0"/>
        <w:spacing w:lineRule="auto" w:line="288" w:before="12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most significant accounting policies include revenue recognition, valuation of equity investments measured at fair value, ordinary share valuations for the period prior to the IPO, share-based compensation, impairment of goodwill, and income taxes. These policies and the estimates and judgements involved are discussed further in the Management’s Discussion and Analysis of Financial Condition and Results of Operations section in our Annual Report. We have other significant accounting policies that either do not generally require estimates and judgments that are as difficult or subjective, or it is less likely that such accounting policies would have a material impact on our reported results of operations for a given period.</w:t>
      </w:r>
    </w:p>
    <w:p>
      <w:pPr>
        <w:pStyle w:val="TextBody"/>
        <w:bidi w:val="0"/>
        <w:spacing w:lineRule="auto" w:line="288" w:before="120" w:after="240"/>
        <w:ind w:left="0" w:right="0" w:firstLine="360"/>
        <w:jc w:val="both"/>
        <w:rPr/>
      </w:pPr>
      <w:r>
        <w:rPr>
          <w:rFonts w:ascii="Times New Roman;sans-serif" w:hAnsi="Times New Roman;sans-serif"/>
          <w:b w:val="false"/>
          <w:color w:val="000000"/>
          <w:sz w:val="20"/>
        </w:rPr>
        <w:t xml:space="preserve">Except for the accounting policies and estimates outlined under </w:t>
      </w:r>
      <w:r>
        <w:rPr>
          <w:rFonts w:ascii="Times New Roman;sans-serif" w:hAnsi="Times New Roman;sans-serif"/>
          <w:b w:val="false"/>
          <w:i/>
          <w:color w:val="000000"/>
          <w:sz w:val="20"/>
        </w:rPr>
        <w:t xml:space="preserve">Note 1 - Description of Business and Summary of Significant Accounting Policies </w:t>
      </w:r>
      <w:r>
        <w:rPr>
          <w:rFonts w:ascii="Times New Roman;sans-serif" w:hAnsi="Times New Roman;sans-serif"/>
          <w:b w:val="false"/>
          <w:color w:val="000000"/>
          <w:sz w:val="20"/>
        </w:rPr>
        <w:t>in the Notes to the Condensed Consolidated Financial Statements included in this Quarterly Report, there have been no material changes during the three months ended June 30, 2024 to the items that we disclosed as our significant accounting policies and estimates in the Management’s Discussion and Analysis of Financial Condition and Results of Operations section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348872e815c046309a73faef4ac7624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20" w:after="240"/>
        <w:jc w:val="center"/>
        <w:rPr>
          <w:rFonts w:ascii="Times New Roman;sans-serif" w:hAnsi="Times New Roman;sans-serif"/>
          <w:b/>
          <w:color w:val="231F20"/>
          <w:sz w:val="20"/>
        </w:rPr>
      </w:pPr>
      <w:r>
        <w:rPr>
          <w:rFonts w:ascii="Times New Roman;sans-serif" w:hAnsi="Times New Roman;sans-serif"/>
          <w:b/>
          <w:color w:val="231F20"/>
          <w:sz w:val="20"/>
        </w:rPr>
        <w:t>SIGNATURE</w:t>
      </w:r>
    </w:p>
    <w:p>
      <w:pPr>
        <w:pStyle w:val="TextBody"/>
        <w:bidi w:val="0"/>
        <w:spacing w:lineRule="auto" w:line="288" w:before="120" w:after="24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Pursuant to the requirements of the Securities Exchange Act of 1934, the registrant has duly caused this report to be signed on its behalf by the undersigned, thereunto duly authorized.</w:t>
      </w:r>
    </w:p>
    <w:tbl>
      <w:tblPr>
        <w:tblW w:w="5438" w:type="dxa"/>
        <w:jc w:val="left"/>
        <w:tblInd w:w="0" w:type="dxa"/>
        <w:tblLayout w:type="fixed"/>
        <w:tblCellMar>
          <w:top w:w="28" w:type="dxa"/>
          <w:left w:w="28" w:type="dxa"/>
          <w:bottom w:w="28" w:type="dxa"/>
          <w:right w:w="28" w:type="dxa"/>
        </w:tblCellMar>
      </w:tblPr>
      <w:tblGrid>
        <w:gridCol w:w="667"/>
        <w:gridCol w:w="587"/>
        <w:gridCol w:w="590"/>
        <w:gridCol w:w="328"/>
        <w:gridCol w:w="328"/>
        <w:gridCol w:w="328"/>
        <w:gridCol w:w="757"/>
        <w:gridCol w:w="757"/>
        <w:gridCol w:w="109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ARM HOLDINGS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231F20"/>
                <w:sz w:val="20"/>
              </w:rPr>
            </w:pPr>
            <w:r>
              <w:rPr>
                <w:rFonts w:ascii="Times New Roman;sans-serif" w:hAnsi="Times New Roman;sans-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Laura Bartels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Laura Bartels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Accounting Officer </w:t>
              <w:br/>
              <w:t>(Principal Accounting Officer)</w:t>
            </w:r>
          </w:p>
        </w:tc>
      </w:tr>
    </w:tbl>
    <w:p>
      <w:pPr>
        <w:pStyle w:val="TextBody"/>
        <w:bidi w:val="0"/>
        <w:spacing w:before="240" w:after="240"/>
        <w:ind w:left="0" w:right="0" w:firstLine="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18179</Words>
  <Characters>100228</Characters>
  <CharactersWithSpaces>117235</CharactersWithSpaces>
  <Paragraphs>1881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