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6-K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REPORT OF FOREIGN PRIVATE ISSUER PURSUANT TO RULE 13a-16 OR 15d-16 UNDER THE SECURITIES EXCHANGE ACT OF 1934</w:t>
            </w:r>
          </w:p>
        </w:tc>
      </w:tr>
    </w:tbl>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month of November, 2023 </w:t>
      </w:r>
    </w:p>
    <w:p>
      <w:pPr>
        <w:pStyle w:val="TextBody"/>
        <w:bidi w:val="0"/>
        <w:spacing w:before="0" w:after="0"/>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001-41800 </w:t>
      </w:r>
    </w:p>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40"/>
        </w:rPr>
      </w:pPr>
      <w:r>
        <w:rPr>
          <w:rFonts w:ascii="Times New Roman;sans-serif" w:hAnsi="Times New Roman;sans-serif"/>
          <w:b/>
          <w:color w:val="000000"/>
          <w:sz w:val="40"/>
        </w:rPr>
        <w:t>Arm Holdings plc</w:t>
      </w:r>
    </w:p>
    <w:p>
      <w:pPr>
        <w:pStyle w:val="TextBody"/>
        <w:bidi w:val="0"/>
        <w:spacing w:before="100" w:after="283"/>
        <w:ind w:left="0" w:right="0" w:firstLine="720"/>
        <w:jc w:val="center"/>
        <w:rPr/>
      </w:pPr>
      <w:r>
        <w:rPr/>
      </w:r>
    </w:p>
    <w:tbl>
      <w:tblPr>
        <w:tblW w:w="3270" w:type="dxa"/>
        <w:jc w:val="center"/>
        <w:tblInd w:w="0" w:type="dxa"/>
        <w:tblLayout w:type="fixed"/>
        <w:tblCellMar>
          <w:top w:w="28" w:type="dxa"/>
          <w:left w:w="28" w:type="dxa"/>
          <w:bottom w:w="28" w:type="dxa"/>
          <w:right w:w="28" w:type="dxa"/>
        </w:tblCellMar>
      </w:tblPr>
      <w:tblGrid>
        <w:gridCol w:w="1045"/>
        <w:gridCol w:w="921"/>
        <w:gridCol w:w="1304"/>
      </w:tblGrid>
      <w:tr>
        <w:trPr/>
        <w:tc>
          <w:tcPr>
            <w:tcW w:w="10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110 Fulbourn Road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Cambridge CB1 9NJ</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United Kingdom</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w:t>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both"/>
        <w:rPr/>
      </w:pPr>
      <w:r>
        <w:rPr/>
      </w:r>
    </w:p>
    <w:tbl>
      <w:tblPr>
        <w:tblW w:w="5173" w:type="dxa"/>
        <w:jc w:val="left"/>
        <w:tblInd w:w="0" w:type="dxa"/>
        <w:tblLayout w:type="fixed"/>
        <w:tblCellMar>
          <w:top w:w="28" w:type="dxa"/>
          <w:left w:w="28" w:type="dxa"/>
          <w:bottom w:w="28" w:type="dxa"/>
          <w:right w:w="28" w:type="dxa"/>
        </w:tblCellMar>
      </w:tblPr>
      <w:tblGrid>
        <w:gridCol w:w="538"/>
        <w:gridCol w:w="472"/>
        <w:gridCol w:w="474"/>
        <w:gridCol w:w="1076"/>
        <w:gridCol w:w="1076"/>
        <w:gridCol w:w="1537"/>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fye24q230-sepx23.htm">
              <w:r>
                <w:rPr>
                  <w:rStyle w:val="InternetLink"/>
                  <w:rFonts w:ascii="Times New Roman;sans-serif" w:hAnsi="Times New Roman;sans-serif"/>
                  <w:b w:val="false"/>
                  <w:color w:val="0000FF"/>
                  <w:sz w:val="20"/>
                  <w:u w:val="single"/>
                </w:rPr>
                <w:t xml:space="preserve">Press Release dated </w:t>
              </w:r>
            </w:hyperlink>
            <w:r>
              <w:rPr>
                <w:rFonts w:ascii="Times New Roman;sans-serif" w:hAnsi="Times New Roman;sans-serif"/>
                <w:b w:val="false"/>
                <w:color w:val="000000"/>
                <w:sz w:val="20"/>
              </w:rPr>
              <w:t>November 8, 2023</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2fye24q230-sepx23.htm">
              <w:r>
                <w:rPr>
                  <w:rStyle w:val="InternetLink"/>
                  <w:rFonts w:ascii="Times New Roman;sans-serif" w:hAnsi="Times New Roman;sans-serif"/>
                  <w:b w:val="false"/>
                  <w:color w:val="000080"/>
                  <w:sz w:val="20"/>
                  <w:u w:val="single"/>
                </w:rPr>
                <w:t>Shareholder Letter dated</w:t>
              </w:r>
            </w:hyperlink>
            <w:hyperlink w:anchor="exhibit992fye24q230-sepx23.htm">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00"/>
                <w:sz w:val="20"/>
              </w:rPr>
              <w:t>November 8, 2023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231F20"/>
          <w:sz w:val="20"/>
        </w:rPr>
      </w:pPr>
      <w:r>
        <w:rPr>
          <w:rFonts w:ascii="Times New Roman;sans-serif" w:hAnsi="Times New Roman;sans-serif"/>
          <w:b/>
          <w:color w:val="231F20"/>
          <w:sz w:val="20"/>
        </w:rPr>
        <w:t>SIGNATURES</w:t>
      </w:r>
    </w:p>
    <w:p>
      <w:pPr>
        <w:pStyle w:val="TextBody"/>
        <w:bidi w:val="0"/>
        <w:spacing w:lineRule="auto" w:line="288" w:before="240" w:after="283"/>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Pursuant to the requirements of the Securities Exchange Act of 1934, the registrant has duly caused this report to be signed on its behalf by the undersigned, thereunto duly authorized.</w:t>
      </w:r>
    </w:p>
    <w:tbl>
      <w:tblPr>
        <w:tblW w:w="5693" w:type="dxa"/>
        <w:jc w:val="left"/>
        <w:tblInd w:w="0" w:type="dxa"/>
        <w:tblLayout w:type="fixed"/>
        <w:tblCellMar>
          <w:top w:w="28" w:type="dxa"/>
          <w:left w:w="28" w:type="dxa"/>
          <w:bottom w:w="28" w:type="dxa"/>
          <w:right w:w="28" w:type="dxa"/>
        </w:tblCellMar>
      </w:tblPr>
      <w:tblGrid>
        <w:gridCol w:w="759"/>
        <w:gridCol w:w="668"/>
        <w:gridCol w:w="672"/>
        <w:gridCol w:w="328"/>
        <w:gridCol w:w="328"/>
        <w:gridCol w:w="328"/>
        <w:gridCol w:w="757"/>
        <w:gridCol w:w="757"/>
        <w:gridCol w:w="109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ARM HOLDINGS PLC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2023</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Laura Bartels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Laura Bartels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Arm Holdings plc Reports Results for the Second Quarter of the Financial Year Ending 2024</w:t>
      </w:r>
    </w:p>
    <w:p>
      <w:pPr>
        <w:pStyle w:val="TextBody"/>
        <w:bidi w:val="0"/>
        <w:spacing w:before="0" w:after="0"/>
        <w:jc w:val="center"/>
        <w:rPr/>
      </w:pPr>
      <w:r>
        <w:rPr/>
      </w:r>
    </w:p>
    <w:p>
      <w:pPr>
        <w:pStyle w:val="TextBody"/>
        <w:bidi w:val="0"/>
        <w:spacing w:lineRule="auto" w:line="268" w:before="0" w:after="0"/>
        <w:jc w:val="left"/>
        <w:rPr/>
      </w:pPr>
      <w:r>
        <w:rPr>
          <w:rFonts w:ascii="Times New Roman;sans-serif" w:hAnsi="Times New Roman;sans-serif"/>
          <w:b/>
          <w:color w:val="000000"/>
          <w:sz w:val="24"/>
        </w:rPr>
        <w:t>Cambridge, UK, November 8, 2023:</w:t>
      </w:r>
      <w:r>
        <w:rPr>
          <w:color w:val="000000"/>
        </w:rPr>
        <w:t xml:space="preserve"> </w:t>
      </w:r>
      <w:r>
        <w:rPr>
          <w:rFonts w:ascii="Calibri;sans-serif" w:hAnsi="Calibri;sans-serif"/>
          <w:b w:val="false"/>
          <w:color w:val="000000"/>
          <w:sz w:val="24"/>
        </w:rPr>
        <w:t>Arm Holdings plc (NASDAQ: ARM), the company that is building the future of computing, has today published a letter to its shareholders containing the company’s results for its fiscal second quarter and three months ended September 30, 2023. The letter is available on its investor relations website (https://investors.arm.com/financials/quarterly-annual-results).</w:t>
      </w:r>
    </w:p>
    <w:p>
      <w:pPr>
        <w:pStyle w:val="TextBody"/>
        <w:bidi w:val="0"/>
        <w:spacing w:before="0" w:after="0"/>
        <w:jc w:val="left"/>
        <w:rPr/>
      </w:pPr>
      <w:r>
        <w:rPr/>
      </w:r>
    </w:p>
    <w:p>
      <w:pPr>
        <w:pStyle w:val="TextBody"/>
        <w:bidi w:val="0"/>
        <w:spacing w:lineRule="auto" w:line="268"/>
        <w:jc w:val="left"/>
        <w:rPr>
          <w:rFonts w:ascii="Calibri;sans-serif" w:hAnsi="Calibri;sans-serif"/>
          <w:b w:val="false"/>
          <w:color w:val="000000"/>
          <w:sz w:val="24"/>
        </w:rPr>
      </w:pPr>
      <w:r>
        <w:rPr>
          <w:rFonts w:ascii="Calibri;sans-serif" w:hAnsi="Calibri;sans-serif"/>
          <w:b w:val="false"/>
          <w:color w:val="000000"/>
          <w:sz w:val="24"/>
        </w:rPr>
        <w:t xml:space="preserve">Arm will host an audio webcast to discuss its results with analysts at 14:00 PT / 17:00 ET / 22:00 GMT today, November 8. The live webcast will be available at https://edge.media-server.com/mmc/p/k879zaca and a replay will be available for four weeks at https://investors.arm.com. </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4"/>
        </w:rPr>
      </w:pPr>
      <w:r>
        <w:rPr>
          <w:rFonts w:ascii="Calibri;sans-serif" w:hAnsi="Calibri;sans-serif"/>
          <w:b/>
          <w:color w:val="000000"/>
          <w:sz w:val="24"/>
        </w:rPr>
        <w:t xml:space="preserve">About Arm: </w:t>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Arm technology is building the future of computing. Our energy-efficient processor designs and software platforms have enabled advanced computing in more than 270 billion chips and our technologies securely power products from the sensor to the smartphone and the supercomputer. Together with 1,000+ technology partners, we are enabling artificial intelligence to work everywhere, and in cybersecurity, we are delivering the foundation for trust in the digital world – from chip to cloud. The future is being built on Arm.</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All information is provided “as is” and without warranty or representation. This document may be shared freely, attributed and unmodified. Arm is a registered trademark of Arm Limited (or its subsidiaries). All brands or product names are the property of their respective holders. © 1995-2023 Arm Group.</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4"/>
        </w:rPr>
      </w:pPr>
      <w:r>
        <w:rPr>
          <w:rFonts w:ascii="Calibri;sans-serif" w:hAnsi="Calibri;sans-serif"/>
          <w:b/>
          <w:color w:val="000000"/>
          <w:sz w:val="24"/>
        </w:rPr>
        <w:t>Contacts:</w:t>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 xml:space="preserve">Investors: investor.relations@arm.com </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Media: Global-PRteam@arm.com</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99.2</w:t>
      </w:r>
    </w:p>
    <w:p>
      <w:pPr>
        <w:pStyle w:val="TextBody"/>
        <w:bidi w:val="0"/>
        <w:spacing w:before="0" w:after="0"/>
        <w:jc w:val="left"/>
        <w:rPr/>
      </w:pPr>
      <w:r>
        <w:rPr/>
      </w:r>
    </w:p>
    <w:p>
      <w:pPr>
        <w:pStyle w:val="TextBody"/>
        <w:bidi w:val="0"/>
        <w:spacing w:before="0" w:after="283"/>
        <w:jc w:val="left"/>
        <w:rPr/>
      </w:pPr>
      <w:r>
        <w:rPr/>
        <w:drawing>
          <wp:inline distT="0" distB="0" distL="0" distR="0">
            <wp:extent cx="6286500" cy="8134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286500" cy="8134350"/>
                    </a:xfrm>
                    <a:prstGeom prst="rect">
                      <a:avLst/>
                    </a:prstGeom>
                  </pic:spPr>
                </pic:pic>
              </a:graphicData>
            </a:graphic>
          </wp:inline>
        </w:drawing>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8110"/>
                <wp:effectExtent l="0" t="0" r="0" b="0"/>
                <wp:wrapNone/>
                <wp:docPr id="5" name="Frame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58"/>
        <w:gridCol w:w="2706"/>
        <w:gridCol w:w="3841"/>
      </w:tblGrid>
      <w:tr>
        <w:trPr/>
        <w:tc>
          <w:tcPr>
            <w:tcW w:w="3658"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91BD"/>
              <w:left w:val="single" w:sz="8" w:space="0" w:color="0091BD"/>
              <w:right w:val="single" w:sz="8" w:space="0" w:color="0091BD"/>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Arm will be hosting a conference call via an audio webcast to discuss earnings at 14:00 Pacific Time (17:00 Eastern Time, 22:00 GMT) on Wednesday, November 8, 2023. A replay of and a transcript of the call will be available the following day.</w:t>
            </w:r>
          </w:p>
        </w:tc>
      </w:tr>
      <w:tr>
        <w:trPr/>
        <w:tc>
          <w:tcPr>
            <w:tcW w:w="10205" w:type="dxa"/>
            <w:gridSpan w:val="3"/>
            <w:tcBorders>
              <w:left w:val="single" w:sz="8" w:space="0" w:color="0091BD"/>
              <w:bottom w:val="single" w:sz="8" w:space="0" w:color="0091BD"/>
              <w:right w:val="single" w:sz="8" w:space="0" w:color="0091BD"/>
            </w:tcBorders>
            <w:tcMar>
              <w:top w:w="0" w:type="dxa"/>
              <w:bottom w:w="3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webcast and replay can be access at: https://edge.media-server.com/mmc/p/k879zaca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Dear Shareholder,</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It is such a thrill to write our first quarterly shareholder letter as a public company once again. These letters will update investors on Arm’s progress and provide details about the quarter in advance of our earnings calls, maximizing time available for Q&amp;A.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Certainly, the highlight of the quarter was the Arm IPO on September 14, when we listed on the Nasdaq Global Select Market. This was a historic event for the company and its employees, one that we celebrated across all our offices around the globe. Arm has been developing leading technology for more than 30 years, and we are delighted that you, our shareholders, will be joining us on the journey ahead. I am so proud of what we accomplished to get us to this point, however this is just the beginning. The best is yet to 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Quarterly Highlights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 increased 28% year-over-year, topping $800 million for the first time, reinforcing that our diversified business strategy is showing real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better than expected revenue was driven by multiple high-value long-term license agreements signed with industry leading technology companies, and royalty revenue benefiting from market share gains and higher royalty rates.</w:t>
      </w:r>
    </w:p>
    <w:p>
      <w:pPr>
        <w:pStyle w:val="TextBody"/>
        <w:bidi w:val="0"/>
        <w:spacing w:lineRule="auto" w:line="288" w:before="0" w:after="0"/>
        <w:ind w:left="0" w:right="0" w:hanging="360"/>
        <w:jc w:val="left"/>
        <w:rPr/>
      </w:pPr>
      <w:r>
        <w:rPr>
          <w:color w:val="231F20"/>
        </w:rPr>
        <w:t>•</w:t>
      </w:r>
      <w:r>
        <w:rPr>
          <w:rFonts w:ascii="Times New Roman;sans-serif" w:hAnsi="Times New Roman;sans-serif"/>
          <w:b w:val="false"/>
          <w:color w:val="000000"/>
          <w:sz w:val="20"/>
        </w:rPr>
        <w:t xml:space="preserve">The immediate need for companies to increase investment in </w:t>
      </w:r>
      <w:r>
        <w:rPr>
          <w:rFonts w:ascii="Times New Roman;sans-serif" w:hAnsi="Times New Roman;sans-serif"/>
          <w:b w:val="false"/>
          <w:color w:val="231F20"/>
          <w:sz w:val="20"/>
        </w:rPr>
        <w:t>Artificial Intelligence (AI)</w:t>
      </w:r>
      <w:r>
        <w:rPr>
          <w:color w:val="000000"/>
        </w:rPr>
        <w:t xml:space="preserve"> </w:t>
      </w:r>
      <w:r>
        <w:rPr>
          <w:rFonts w:ascii="Times New Roman;sans-serif" w:hAnsi="Times New Roman;sans-serif"/>
          <w:b w:val="false"/>
          <w:color w:val="000000"/>
          <w:sz w:val="20"/>
        </w:rPr>
        <w:t>across all end markets helped drive license revenue up 106% year-over-year.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ongoing requirement for power efficient solutions in infrastructure and automotive continued to drive double digit royalty growth in those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Non-GAAP operating profit increased 92% year-over-year to $381 million resulting in a 47.3% non-GAAP operating margin.</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Addressing the demand for reduced development time and decreased time to market, Arm announced the Arm</w:t>
      </w:r>
      <w:r>
        <w:rPr>
          <w:rFonts w:ascii="Times New Roman;sans-serif" w:hAnsi="Times New Roman;sans-serif"/>
          <w:b w:val="false"/>
          <w:color w:val="000000"/>
          <w:sz w:val="13"/>
        </w:rPr>
        <w: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Neoverse™ Compute Subsystems, for companies developing differentiated chips for cloud compute.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7.1 billion Arm-based chips were reported as shipped, taking the cumulative total to 272.5 billion.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New Arm-based energy-efficient AI capable products were announced by Google, Meta, Nvidia, Renesas, Xiaomi, and many more, as Arm takes AI everywhere.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91BD"/>
              <w:left w:val="single" w:sz="8" w:space="0" w:color="0091BD"/>
              <w:bottom w:val="single" w:sz="8" w:space="0" w:color="0091BD"/>
              <w:right w:val="single" w:sz="8" w:space="0" w:color="0091BD"/>
            </w:tcBorders>
            <w:tcMar>
              <w:top w:w="30" w:type="dxa"/>
              <w:bottom w:w="3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our successful IPO, Arm is off to an outstanding start as a public company with record revenue fueled by the success of our diversified business," said Rene Haas, CEO. "Licensing revenue was up over 100% year-over-year as the demand for AI has kicked off increased investment across all end markets. Our royalty revenue benefited from market share gains in automotive and cloud compute as our latest technologies, such as Armv9, increased penetration across all markets where AI is driving the need for our unique combination of performance and power efficiency."</w:t>
            </w:r>
          </w:p>
        </w:tc>
      </w:tr>
    </w:tbl>
    <w:p>
      <w:pPr>
        <w:pStyle w:val="TextBody"/>
        <w:bidi w:val="0"/>
        <w:spacing w:lineRule="auto" w:line="288"/>
        <w:jc w:val="center"/>
        <w:rPr/>
      </w:pPr>
      <w:r>
        <w:rPr/>
        <w:drawing>
          <wp:inline distT="0" distB="0" distL="0" distR="0">
            <wp:extent cx="5648325" cy="28289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648325" cy="2828925"/>
                    </a:xfrm>
                    <a:prstGeom prst="rect">
                      <a:avLst/>
                    </a:prstGeom>
                  </pic:spPr>
                </pic:pic>
              </a:graphicData>
            </a:graphic>
          </wp:inline>
        </w:drawing>
      </w:r>
      <w:r>
        <w:rPr>
          <w:color w:val="000000"/>
        </w:rPr>
        <w:t>    </w:t>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8110"/>
                <wp:effectExtent l="0" t="0" r="0" b="0"/>
                <wp:wrapNone/>
                <wp:docPr id="7" name="Frame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231F20"/>
          <w:sz w:val="20"/>
        </w:rPr>
        <w:br/>
      </w:r>
      <w:r>
        <w:rPr>
          <w:rFonts w:ascii="Times New Roman;sans-serif" w:hAnsi="Times New Roman;sans-serif"/>
          <w:b/>
          <w:color w:val="0091BD"/>
          <w:sz w:val="20"/>
        </w:rPr>
        <w:t xml:space="preserve">Results for Q2 fiscal year ending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Today, we are pleased to share results for the second quarter of fiscal year ending 2024 (Q2 FYE24), which ended September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Financial Metrics</w:t>
      </w:r>
    </w:p>
    <w:tbl>
      <w:tblPr>
        <w:tblW w:w="9449" w:type="dxa"/>
        <w:jc w:val="left"/>
        <w:tblInd w:w="0" w:type="dxa"/>
        <w:tblLayout w:type="fixed"/>
        <w:tblCellMar>
          <w:top w:w="28" w:type="dxa"/>
          <w:left w:w="28" w:type="dxa"/>
          <w:bottom w:w="28" w:type="dxa"/>
          <w:right w:w="28" w:type="dxa"/>
        </w:tblCellMar>
      </w:tblPr>
      <w:tblGrid>
        <w:gridCol w:w="1258"/>
        <w:gridCol w:w="1105"/>
        <w:gridCol w:w="1108"/>
        <w:gridCol w:w="362"/>
        <w:gridCol w:w="362"/>
        <w:gridCol w:w="362"/>
        <w:gridCol w:w="360"/>
        <w:gridCol w:w="360"/>
        <w:gridCol w:w="363"/>
        <w:gridCol w:w="286"/>
        <w:gridCol w:w="286"/>
        <w:gridCol w:w="290"/>
        <w:gridCol w:w="361"/>
        <w:gridCol w:w="361"/>
        <w:gridCol w:w="364"/>
        <w:gridCol w:w="361"/>
        <w:gridCol w:w="361"/>
        <w:gridCol w:w="364"/>
        <w:gridCol w:w="193"/>
        <w:gridCol w:w="193"/>
        <w:gridCol w:w="389"/>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ind w:left="0" w:right="0" w:firstLine="80"/>
              <w:jc w:val="left"/>
              <w:rPr>
                <w:sz w:val="4"/>
                <w:szCs w:val="4"/>
              </w:rPr>
            </w:pPr>
            <w:r>
              <w:rPr>
                <w:sz w:val="4"/>
                <w:szCs w:val="4"/>
              </w:rPr>
            </w:r>
          </w:p>
        </w:tc>
      </w:tr>
      <w:tr>
        <w:trPr/>
        <w:tc>
          <w:tcPr>
            <w:tcW w:w="3471" w:type="dxa"/>
            <w:gridSpan w:val="3"/>
            <w:vMerge w:val="restart"/>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522"/>
              <w:jc w:val="left"/>
              <w:rPr>
                <w:rFonts w:ascii="Times New Roman;sans-serif" w:hAnsi="Times New Roman;sans-serif"/>
                <w:b w:val="false"/>
                <w:color w:val="333E48"/>
                <w:sz w:val="20"/>
              </w:rPr>
            </w:pPr>
            <w:r>
              <w:rPr>
                <w:rFonts w:ascii="Times New Roman;sans-serif" w:hAnsi="Times New Roman;sans-serif"/>
                <w:b w:val="false"/>
                <w:color w:val="333E48"/>
                <w:sz w:val="20"/>
              </w:rPr>
              <w:t>$million, unless stated</w:t>
            </w:r>
          </w:p>
        </w:tc>
        <w:tc>
          <w:tcPr>
            <w:tcW w:w="3031" w:type="dxa"/>
            <w:gridSpan w:val="9"/>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333E48"/>
                <w:sz w:val="20"/>
              </w:rPr>
            </w:pPr>
            <w:r>
              <w:rPr>
                <w:rFonts w:ascii="Times New Roman;sans-serif" w:hAnsi="Times New Roman;sans-serif"/>
                <w:b/>
                <w:color w:val="333E48"/>
                <w:sz w:val="20"/>
              </w:rPr>
              <w:t>GAAP</w:t>
            </w:r>
          </w:p>
        </w:tc>
        <w:tc>
          <w:tcPr>
            <w:tcW w:w="2947" w:type="dxa"/>
            <w:gridSpan w:val="9"/>
            <w:tcBorders>
              <w:top w:val="single" w:sz="8" w:space="0" w:color="231F20"/>
              <w:left w:val="single" w:sz="8" w:space="0" w:color="231F20"/>
              <w:right w:val="single" w:sz="8" w:space="0" w:color="000000"/>
            </w:tcBorders>
            <w:tcMar>
              <w:top w:w="30" w:type="dxa"/>
              <w:bottom w:w="0" w:type="dxa"/>
            </w:tcMar>
            <w:vAlign w:val="center"/>
          </w:tcPr>
          <w:p>
            <w:pPr>
              <w:pStyle w:val="TableContents"/>
              <w:bidi w:val="0"/>
              <w:spacing w:lineRule="auto" w:line="268" w:before="0" w:after="0"/>
              <w:ind w:left="0" w:right="0" w:firstLine="124"/>
              <w:jc w:val="center"/>
              <w:rPr>
                <w:rFonts w:ascii="Times New Roman;sans-serif" w:hAnsi="Times New Roman;sans-serif"/>
                <w:b/>
                <w:color w:val="333E48"/>
                <w:sz w:val="20"/>
              </w:rPr>
            </w:pPr>
            <w:r>
              <w:rPr>
                <w:rFonts w:ascii="Times New Roman;sans-serif" w:hAnsi="Times New Roman;sans-serif"/>
                <w:b/>
                <w:color w:val="333E48"/>
                <w:sz w:val="20"/>
              </w:rPr>
              <w:t>Non-GAAP (1)</w:t>
            </w:r>
          </w:p>
        </w:tc>
      </w:tr>
      <w:tr>
        <w:trPr/>
        <w:tc>
          <w:tcPr>
            <w:tcW w:w="3471" w:type="dxa"/>
            <w:gridSpan w:val="3"/>
            <w:vMerge w:val="continue"/>
            <w:tcBorders>
              <w:top w:val="single" w:sz="8" w:space="0" w:color="231F20"/>
              <w:left w:val="single" w:sz="8" w:space="0" w:color="231F20"/>
            </w:tcBorders>
            <w:tcMar>
              <w:top w:w="30" w:type="dxa"/>
              <w:bottom w:w="0" w:type="dxa"/>
              <w:right w:w="0" w:type="dxa"/>
            </w:tcMar>
            <w:vAlign w:val="center"/>
          </w:tcPr>
          <w:p>
            <w:pPr>
              <w:pStyle w:val="Normal"/>
              <w:bidi w:val="0"/>
              <w:jc w:val="left"/>
              <w:rPr/>
            </w:pPr>
            <w:r>
              <w:rPr/>
            </w:r>
          </w:p>
        </w:tc>
        <w:tc>
          <w:tcPr>
            <w:tcW w:w="1086"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val="false"/>
                <w:color w:val="333E48"/>
                <w:sz w:val="20"/>
              </w:rPr>
            </w:pPr>
            <w:r>
              <w:rPr>
                <w:rFonts w:ascii="Times New Roman;sans-serif" w:hAnsi="Times New Roman;sans-serif"/>
                <w:b w:val="false"/>
                <w:color w:val="333E48"/>
                <w:sz w:val="20"/>
              </w:rPr>
              <w:t>Q2 FYE24</w:t>
            </w:r>
          </w:p>
        </w:tc>
        <w:tc>
          <w:tcPr>
            <w:tcW w:w="1083"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4"/>
              <w:jc w:val="center"/>
              <w:rPr>
                <w:rFonts w:ascii="Times New Roman;sans-serif" w:hAnsi="Times New Roman;sans-serif"/>
                <w:b w:val="false"/>
                <w:color w:val="333E48"/>
                <w:sz w:val="20"/>
              </w:rPr>
            </w:pPr>
            <w:r>
              <w:rPr>
                <w:rFonts w:ascii="Times New Roman;sans-serif" w:hAnsi="Times New Roman;sans-serif"/>
                <w:b w:val="false"/>
                <w:color w:val="333E48"/>
                <w:sz w:val="20"/>
              </w:rPr>
              <w:t>Q2 FYE23</w:t>
            </w:r>
          </w:p>
        </w:tc>
        <w:tc>
          <w:tcPr>
            <w:tcW w:w="862"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Y/Y %</w:t>
            </w:r>
          </w:p>
        </w:tc>
        <w:tc>
          <w:tcPr>
            <w:tcW w:w="1086"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Q2 FYE24</w:t>
            </w:r>
          </w:p>
        </w:tc>
        <w:tc>
          <w:tcPr>
            <w:tcW w:w="1086"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Q2 FYE23</w:t>
            </w:r>
          </w:p>
        </w:tc>
        <w:tc>
          <w:tcPr>
            <w:tcW w:w="775" w:type="dxa"/>
            <w:gridSpan w:val="3"/>
            <w:tcBorders>
              <w:top w:val="single" w:sz="8" w:space="0" w:color="231F20"/>
              <w:left w:val="single" w:sz="8" w:space="0" w:color="231F2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Y/Y %</w:t>
            </w:r>
          </w:p>
        </w:tc>
      </w:tr>
      <w:tr>
        <w:trPr/>
        <w:tc>
          <w:tcPr>
            <w:tcW w:w="34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24"/>
              <w:jc w:val="left"/>
              <w:rPr>
                <w:rFonts w:ascii="Times New Roman;sans-serif" w:hAnsi="Times New Roman;sans-serif"/>
                <w:b/>
                <w:color w:val="333E48"/>
                <w:sz w:val="20"/>
              </w:rPr>
            </w:pPr>
            <w:r>
              <w:rPr>
                <w:rFonts w:ascii="Times New Roman;sans-serif" w:hAnsi="Times New Roman;sans-serif"/>
                <w:b/>
                <w:color w:val="333E48"/>
                <w:sz w:val="20"/>
              </w:rPr>
              <w:t>Total revenue</w:t>
            </w:r>
          </w:p>
        </w:tc>
        <w:tc>
          <w:tcPr>
            <w:tcW w:w="10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color w:val="231F20"/>
                <w:sz w:val="20"/>
              </w:rPr>
            </w:pPr>
            <w:r>
              <w:rPr>
                <w:rFonts w:ascii="Times New Roman;sans-serif" w:hAnsi="Times New Roman;sans-serif"/>
                <w:b/>
                <w:color w:val="231F20"/>
                <w:sz w:val="20"/>
              </w:rPr>
              <w:t>806</w:t>
            </w:r>
          </w:p>
        </w:tc>
        <w:tc>
          <w:tcPr>
            <w:tcW w:w="10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630</w:t>
            </w:r>
          </w:p>
        </w:tc>
        <w:tc>
          <w:tcPr>
            <w:tcW w:w="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ind w:left="0" w:right="0" w:firstLine="124"/>
              <w:jc w:val="center"/>
              <w:rPr>
                <w:rFonts w:ascii="Times New Roman;sans-serif" w:hAnsi="Times New Roman;sans-serif"/>
                <w:b/>
                <w:color w:val="000000"/>
                <w:sz w:val="20"/>
              </w:rPr>
            </w:pPr>
            <w:r>
              <w:rPr>
                <w:rFonts w:ascii="Times New Roman;sans-serif" w:hAnsi="Times New Roman;sans-serif"/>
                <w:b/>
                <w:color w:val="000000"/>
                <w:sz w:val="20"/>
              </w:rPr>
              <w:t>28%</w:t>
            </w:r>
          </w:p>
        </w:tc>
        <w:tc>
          <w:tcPr>
            <w:tcW w:w="10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color w:val="231F20"/>
                <w:sz w:val="20"/>
              </w:rPr>
            </w:pPr>
            <w:r>
              <w:rPr>
                <w:rFonts w:ascii="Times New Roman;sans-serif" w:hAnsi="Times New Roman;sans-serif"/>
                <w:b/>
                <w:color w:val="231F20"/>
                <w:sz w:val="20"/>
              </w:rPr>
              <w:t>806</w:t>
            </w:r>
          </w:p>
        </w:tc>
        <w:tc>
          <w:tcPr>
            <w:tcW w:w="10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345"/>
              <w:jc w:val="center"/>
              <w:rPr>
                <w:rFonts w:ascii="Times New Roman;sans-serif" w:hAnsi="Times New Roman;sans-serif"/>
                <w:b/>
                <w:color w:val="231F20"/>
                <w:sz w:val="20"/>
              </w:rPr>
            </w:pPr>
            <w:r>
              <w:rPr>
                <w:rFonts w:ascii="Times New Roman;sans-serif" w:hAnsi="Times New Roman;sans-serif"/>
                <w:b/>
                <w:color w:val="231F20"/>
                <w:sz w:val="20"/>
              </w:rPr>
              <w:t>630</w:t>
            </w:r>
          </w:p>
        </w:tc>
        <w:tc>
          <w:tcPr>
            <w:tcW w:w="7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28%</w:t>
            </w:r>
          </w:p>
        </w:tc>
      </w:tr>
      <w:tr>
        <w:trPr/>
        <w:tc>
          <w:tcPr>
            <w:tcW w:w="3471"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ind w:left="0" w:right="0" w:firstLine="124"/>
              <w:jc w:val="left"/>
              <w:rPr>
                <w:rFonts w:ascii="Times New Roman;sans-serif" w:hAnsi="Times New Roman;sans-serif"/>
                <w:b w:val="false"/>
                <w:color w:val="333E48"/>
                <w:sz w:val="20"/>
              </w:rPr>
            </w:pPr>
            <w:r>
              <w:rPr>
                <w:rFonts w:ascii="Times New Roman;sans-serif" w:hAnsi="Times New Roman;sans-serif"/>
                <w:b w:val="false"/>
                <w:color w:val="333E48"/>
                <w:sz w:val="20"/>
              </w:rPr>
              <w:t>License and other revenue</w:t>
            </w:r>
          </w:p>
        </w:tc>
        <w:tc>
          <w:tcPr>
            <w:tcW w:w="1086"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val="false"/>
                <w:color w:val="333E48"/>
                <w:sz w:val="20"/>
              </w:rPr>
            </w:pPr>
            <w:r>
              <w:rPr>
                <w:rFonts w:ascii="Times New Roman;sans-serif" w:hAnsi="Times New Roman;sans-serif"/>
                <w:b w:val="false"/>
                <w:color w:val="333E48"/>
                <w:sz w:val="20"/>
              </w:rPr>
              <w:t>388</w:t>
            </w:r>
          </w:p>
        </w:tc>
        <w:tc>
          <w:tcPr>
            <w:tcW w:w="1083"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188</w:t>
            </w:r>
          </w:p>
        </w:tc>
        <w:tc>
          <w:tcPr>
            <w:tcW w:w="862"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106%</w:t>
            </w:r>
          </w:p>
        </w:tc>
        <w:tc>
          <w:tcPr>
            <w:tcW w:w="1086"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388</w:t>
            </w:r>
          </w:p>
        </w:tc>
        <w:tc>
          <w:tcPr>
            <w:tcW w:w="1086"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384"/>
              <w:jc w:val="center"/>
              <w:rPr>
                <w:rFonts w:ascii="Times New Roman;sans-serif" w:hAnsi="Times New Roman;sans-serif"/>
                <w:b w:val="false"/>
                <w:color w:val="333E48"/>
                <w:sz w:val="20"/>
              </w:rPr>
            </w:pPr>
            <w:r>
              <w:rPr>
                <w:rFonts w:ascii="Times New Roman;sans-serif" w:hAnsi="Times New Roman;sans-serif"/>
                <w:b w:val="false"/>
                <w:color w:val="333E48"/>
                <w:sz w:val="20"/>
              </w:rPr>
              <w:t>188</w:t>
            </w:r>
          </w:p>
        </w:tc>
        <w:tc>
          <w:tcPr>
            <w:tcW w:w="77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106%</w:t>
            </w:r>
          </w:p>
        </w:tc>
      </w:tr>
      <w:tr>
        <w:trPr/>
        <w:tc>
          <w:tcPr>
            <w:tcW w:w="3471"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ind w:left="0" w:right="0" w:firstLine="124"/>
              <w:jc w:val="left"/>
              <w:rPr>
                <w:rFonts w:ascii="Times New Roman;sans-serif" w:hAnsi="Times New Roman;sans-serif"/>
                <w:b w:val="false"/>
                <w:color w:val="333E48"/>
                <w:sz w:val="20"/>
              </w:rPr>
            </w:pPr>
            <w:r>
              <w:rPr>
                <w:rFonts w:ascii="Times New Roman;sans-serif" w:hAnsi="Times New Roman;sans-serif"/>
                <w:b w:val="false"/>
                <w:color w:val="333E48"/>
                <w:sz w:val="20"/>
              </w:rPr>
              <w:t>Royalty revenue</w:t>
            </w:r>
          </w:p>
        </w:tc>
        <w:tc>
          <w:tcPr>
            <w:tcW w:w="1086"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val="false"/>
                <w:color w:val="333E48"/>
                <w:sz w:val="20"/>
              </w:rPr>
            </w:pPr>
            <w:r>
              <w:rPr>
                <w:rFonts w:ascii="Times New Roman;sans-serif" w:hAnsi="Times New Roman;sans-serif"/>
                <w:b w:val="false"/>
                <w:color w:val="333E48"/>
                <w:sz w:val="20"/>
              </w:rPr>
              <w:t>418</w:t>
            </w:r>
          </w:p>
        </w:tc>
        <w:tc>
          <w:tcPr>
            <w:tcW w:w="1083"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442</w:t>
            </w:r>
          </w:p>
        </w:tc>
        <w:tc>
          <w:tcPr>
            <w:tcW w:w="862"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(5)%</w:t>
            </w:r>
          </w:p>
        </w:tc>
        <w:tc>
          <w:tcPr>
            <w:tcW w:w="1086"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418</w:t>
            </w:r>
          </w:p>
        </w:tc>
        <w:tc>
          <w:tcPr>
            <w:tcW w:w="1086"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347"/>
              <w:jc w:val="center"/>
              <w:rPr>
                <w:rFonts w:ascii="Times New Roman;sans-serif" w:hAnsi="Times New Roman;sans-serif"/>
                <w:b w:val="false"/>
                <w:color w:val="231F20"/>
                <w:sz w:val="20"/>
              </w:rPr>
            </w:pPr>
            <w:r>
              <w:rPr>
                <w:rFonts w:ascii="Times New Roman;sans-serif" w:hAnsi="Times New Roman;sans-serif"/>
                <w:b w:val="false"/>
                <w:color w:val="231F20"/>
                <w:sz w:val="20"/>
              </w:rPr>
              <w:t>442</w:t>
            </w:r>
          </w:p>
        </w:tc>
        <w:tc>
          <w:tcPr>
            <w:tcW w:w="77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333E48"/>
                <w:sz w:val="20"/>
              </w:rPr>
            </w:pPr>
            <w:r>
              <w:rPr>
                <w:rFonts w:ascii="Times New Roman;sans-serif" w:hAnsi="Times New Roman;sans-serif"/>
                <w:b w:val="false"/>
                <w:color w:val="333E48"/>
                <w:sz w:val="20"/>
              </w:rPr>
              <w:t>(5)%</w:t>
            </w:r>
          </w:p>
        </w:tc>
      </w:tr>
      <w:tr>
        <w:trPr/>
        <w:tc>
          <w:tcPr>
            <w:tcW w:w="3471"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val="false"/>
                <w:color w:val="333E48"/>
                <w:sz w:val="20"/>
              </w:rPr>
            </w:pPr>
            <w:r>
              <w:rPr>
                <w:rFonts w:ascii="Times New Roman;sans-serif" w:hAnsi="Times New Roman;sans-serif"/>
                <w:b w:val="false"/>
                <w:color w:val="333E48"/>
                <w:sz w:val="20"/>
              </w:rPr>
              <w:t>Cost of goods sold</w:t>
            </w:r>
          </w:p>
        </w:tc>
        <w:tc>
          <w:tcPr>
            <w:tcW w:w="1086"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231F20"/>
                <w:sz w:val="20"/>
              </w:rPr>
            </w:pPr>
            <w:r>
              <w:rPr>
                <w:rFonts w:ascii="Times New Roman;sans-serif" w:hAnsi="Times New Roman;sans-serif"/>
                <w:b w:val="false"/>
                <w:color w:val="231F20"/>
                <w:sz w:val="20"/>
              </w:rPr>
              <w:t>(46)</w:t>
            </w:r>
          </w:p>
        </w:tc>
        <w:tc>
          <w:tcPr>
            <w:tcW w:w="1083"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(25)</w:t>
            </w:r>
          </w:p>
        </w:tc>
        <w:tc>
          <w:tcPr>
            <w:tcW w:w="862"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84%</w:t>
            </w:r>
          </w:p>
        </w:tc>
        <w:tc>
          <w:tcPr>
            <w:tcW w:w="1086"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4"/>
              <w:jc w:val="center"/>
              <w:rPr>
                <w:rFonts w:ascii="Times New Roman;sans-serif" w:hAnsi="Times New Roman;sans-serif"/>
                <w:b w:val="false"/>
                <w:color w:val="333E48"/>
                <w:sz w:val="20"/>
              </w:rPr>
            </w:pPr>
            <w:r>
              <w:rPr>
                <w:rFonts w:ascii="Times New Roman;sans-serif" w:hAnsi="Times New Roman;sans-serif"/>
                <w:b w:val="false"/>
                <w:color w:val="333E48"/>
                <w:sz w:val="20"/>
              </w:rPr>
              <w:t>(26)</w:t>
            </w:r>
          </w:p>
        </w:tc>
        <w:tc>
          <w:tcPr>
            <w:tcW w:w="1086"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381"/>
              <w:jc w:val="center"/>
              <w:rPr>
                <w:rFonts w:ascii="Times New Roman;sans-serif" w:hAnsi="Times New Roman;sans-serif"/>
                <w:b w:val="false"/>
                <w:color w:val="231F20"/>
                <w:sz w:val="20"/>
              </w:rPr>
            </w:pPr>
            <w:r>
              <w:rPr>
                <w:rFonts w:ascii="Times New Roman;sans-serif" w:hAnsi="Times New Roman;sans-serif"/>
                <w:b w:val="false"/>
                <w:color w:val="231F20"/>
                <w:sz w:val="20"/>
              </w:rPr>
              <w:t>(24)</w:t>
            </w:r>
          </w:p>
        </w:tc>
        <w:tc>
          <w:tcPr>
            <w:tcW w:w="775" w:type="dxa"/>
            <w:gridSpan w:val="3"/>
            <w:tcBorders>
              <w:top w:val="single" w:sz="8" w:space="0" w:color="000000"/>
              <w:left w:val="single" w:sz="8" w:space="0" w:color="231F20"/>
              <w:right w:val="single" w:sz="8" w:space="0" w:color="000000"/>
            </w:tcBorders>
            <w:tcMar>
              <w:top w:w="30" w:type="dxa"/>
              <w:bottom w:w="0" w:type="dxa"/>
            </w:tcMar>
            <w:vAlign w:val="center"/>
          </w:tcPr>
          <w:p>
            <w:pPr>
              <w:pStyle w:val="TableContents"/>
              <w:bidi w:val="0"/>
              <w:spacing w:lineRule="auto" w:line="268" w:before="0" w:after="283"/>
              <w:ind w:left="0" w:right="0" w:firstLine="54"/>
              <w:jc w:val="center"/>
              <w:rPr>
                <w:rFonts w:ascii="Times New Roman;sans-serif" w:hAnsi="Times New Roman;sans-serif"/>
                <w:b w:val="false"/>
                <w:color w:val="333E48"/>
                <w:sz w:val="20"/>
              </w:rPr>
            </w:pPr>
            <w:r>
              <w:rPr>
                <w:rFonts w:ascii="Times New Roman;sans-serif" w:hAnsi="Times New Roman;sans-serif"/>
                <w:b w:val="false"/>
                <w:color w:val="333E48"/>
                <w:sz w:val="20"/>
              </w:rPr>
              <w:t>8%</w:t>
            </w:r>
          </w:p>
        </w:tc>
      </w:tr>
      <w:tr>
        <w:trPr/>
        <w:tc>
          <w:tcPr>
            <w:tcW w:w="34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color w:val="333E48"/>
                <w:sz w:val="20"/>
              </w:rPr>
            </w:pPr>
            <w:r>
              <w:rPr>
                <w:rFonts w:ascii="Times New Roman;sans-serif" w:hAnsi="Times New Roman;sans-serif"/>
                <w:b/>
                <w:color w:val="333E48"/>
                <w:sz w:val="20"/>
              </w:rPr>
              <w:t>Gross profit</w:t>
            </w:r>
          </w:p>
        </w:tc>
        <w:tc>
          <w:tcPr>
            <w:tcW w:w="1086" w:type="dxa"/>
            <w:gridSpan w:val="3"/>
            <w:tcBorders>
              <w:top w:val="single" w:sz="8" w:space="0" w:color="231F2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color w:val="231F20"/>
                <w:sz w:val="20"/>
              </w:rPr>
            </w:pPr>
            <w:r>
              <w:rPr>
                <w:rFonts w:ascii="Times New Roman;sans-serif" w:hAnsi="Times New Roman;sans-serif"/>
                <w:b/>
                <w:color w:val="231F20"/>
                <w:sz w:val="20"/>
              </w:rPr>
              <w:t>760</w:t>
            </w:r>
          </w:p>
        </w:tc>
        <w:tc>
          <w:tcPr>
            <w:tcW w:w="10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605</w:t>
            </w:r>
          </w:p>
        </w:tc>
        <w:tc>
          <w:tcPr>
            <w:tcW w:w="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color w:val="231F20"/>
                <w:sz w:val="20"/>
              </w:rPr>
            </w:pPr>
            <w:r>
              <w:rPr>
                <w:rFonts w:ascii="Times New Roman;sans-serif" w:hAnsi="Times New Roman;sans-serif"/>
                <w:b/>
                <w:color w:val="231F20"/>
                <w:sz w:val="20"/>
              </w:rPr>
              <w:t>26%</w:t>
            </w:r>
          </w:p>
        </w:tc>
        <w:tc>
          <w:tcPr>
            <w:tcW w:w="10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color w:val="231F20"/>
                <w:sz w:val="20"/>
              </w:rPr>
            </w:pPr>
            <w:r>
              <w:rPr>
                <w:rFonts w:ascii="Times New Roman;sans-serif" w:hAnsi="Times New Roman;sans-serif"/>
                <w:b/>
                <w:color w:val="231F20"/>
                <w:sz w:val="20"/>
              </w:rPr>
              <w:t>780</w:t>
            </w:r>
          </w:p>
        </w:tc>
        <w:tc>
          <w:tcPr>
            <w:tcW w:w="1086" w:type="dxa"/>
            <w:gridSpan w:val="3"/>
            <w:tcBorders>
              <w:top w:val="single" w:sz="8" w:space="0" w:color="231F2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342"/>
              <w:jc w:val="center"/>
              <w:rPr>
                <w:rFonts w:ascii="Times New Roman;sans-serif" w:hAnsi="Times New Roman;sans-serif"/>
                <w:b/>
                <w:color w:val="231F20"/>
                <w:sz w:val="20"/>
              </w:rPr>
            </w:pPr>
            <w:r>
              <w:rPr>
                <w:rFonts w:ascii="Times New Roman;sans-serif" w:hAnsi="Times New Roman;sans-serif"/>
                <w:b/>
                <w:color w:val="231F20"/>
                <w:sz w:val="20"/>
              </w:rPr>
              <w:t>606</w:t>
            </w:r>
          </w:p>
        </w:tc>
        <w:tc>
          <w:tcPr>
            <w:tcW w:w="7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220"/>
              <w:jc w:val="center"/>
              <w:rPr>
                <w:rFonts w:ascii="Times New Roman;sans-serif" w:hAnsi="Times New Roman;sans-serif"/>
                <w:b/>
                <w:color w:val="231F20"/>
                <w:sz w:val="20"/>
              </w:rPr>
            </w:pPr>
            <w:r>
              <w:rPr>
                <w:rFonts w:ascii="Times New Roman;sans-serif" w:hAnsi="Times New Roman;sans-serif"/>
                <w:b/>
                <w:color w:val="231F20"/>
                <w:sz w:val="20"/>
              </w:rPr>
              <w:t>29%</w:t>
            </w:r>
          </w:p>
        </w:tc>
      </w:tr>
      <w:tr>
        <w:trPr/>
        <w:tc>
          <w:tcPr>
            <w:tcW w:w="3471"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val="false"/>
                <w:i/>
                <w:color w:val="333E48"/>
                <w:sz w:val="20"/>
              </w:rPr>
            </w:pPr>
            <w:r>
              <w:rPr>
                <w:rFonts w:ascii="Times New Roman;sans-serif" w:hAnsi="Times New Roman;sans-serif"/>
                <w:b w:val="false"/>
                <w:i/>
                <w:color w:val="333E48"/>
                <w:sz w:val="20"/>
              </w:rPr>
              <w:t>Gross margin (%)</w:t>
            </w:r>
          </w:p>
        </w:tc>
        <w:tc>
          <w:tcPr>
            <w:tcW w:w="1086"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val="false"/>
                <w:i/>
                <w:color w:val="231F20"/>
                <w:sz w:val="20"/>
              </w:rPr>
            </w:pPr>
            <w:r>
              <w:rPr>
                <w:rFonts w:ascii="Times New Roman;sans-serif" w:hAnsi="Times New Roman;sans-serif"/>
                <w:b w:val="false"/>
                <w:i/>
                <w:color w:val="231F20"/>
                <w:sz w:val="20"/>
              </w:rPr>
              <w:t>94.3%</w:t>
            </w:r>
          </w:p>
        </w:tc>
        <w:tc>
          <w:tcPr>
            <w:tcW w:w="1083"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96.0%</w:t>
            </w:r>
          </w:p>
        </w:tc>
        <w:tc>
          <w:tcPr>
            <w:tcW w:w="862"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127"/>
              <w:jc w:val="left"/>
              <w:rPr>
                <w:sz w:val="4"/>
                <w:szCs w:val="4"/>
              </w:rPr>
            </w:pPr>
            <w:r>
              <w:rPr>
                <w:sz w:val="4"/>
                <w:szCs w:val="4"/>
              </w:rPr>
            </w:r>
          </w:p>
        </w:tc>
        <w:tc>
          <w:tcPr>
            <w:tcW w:w="1086"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i/>
                <w:color w:val="231F20"/>
                <w:sz w:val="20"/>
              </w:rPr>
            </w:pPr>
            <w:r>
              <w:rPr>
                <w:rFonts w:ascii="Times New Roman;sans-serif" w:hAnsi="Times New Roman;sans-serif"/>
                <w:b w:val="false"/>
                <w:i/>
                <w:color w:val="231F20"/>
                <w:sz w:val="20"/>
              </w:rPr>
              <w:t>96.8%</w:t>
            </w:r>
          </w:p>
        </w:tc>
        <w:tc>
          <w:tcPr>
            <w:tcW w:w="1086"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96.2%</w:t>
            </w:r>
          </w:p>
        </w:tc>
        <w:tc>
          <w:tcPr>
            <w:tcW w:w="77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firstLine="80"/>
              <w:jc w:val="left"/>
              <w:rPr>
                <w:sz w:val="4"/>
                <w:szCs w:val="4"/>
              </w:rPr>
            </w:pPr>
            <w:r>
              <w:rPr>
                <w:sz w:val="4"/>
                <w:szCs w:val="4"/>
              </w:rPr>
            </w:r>
          </w:p>
        </w:tc>
      </w:tr>
      <w:tr>
        <w:trPr/>
        <w:tc>
          <w:tcPr>
            <w:tcW w:w="3471"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val="false"/>
                <w:color w:val="333E48"/>
                <w:sz w:val="20"/>
              </w:rPr>
            </w:pPr>
            <w:r>
              <w:rPr>
                <w:rFonts w:ascii="Times New Roman;sans-serif" w:hAnsi="Times New Roman;sans-serif"/>
                <w:b w:val="false"/>
                <w:color w:val="333E48"/>
                <w:sz w:val="20"/>
              </w:rPr>
              <w:t>Operating expenses</w:t>
            </w:r>
          </w:p>
        </w:tc>
        <w:tc>
          <w:tcPr>
            <w:tcW w:w="1086"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231F20"/>
                <w:sz w:val="20"/>
              </w:rPr>
            </w:pPr>
            <w:r>
              <w:rPr>
                <w:rFonts w:ascii="Times New Roman;sans-serif" w:hAnsi="Times New Roman;sans-serif"/>
                <w:b w:val="false"/>
                <w:color w:val="231F20"/>
                <w:sz w:val="20"/>
              </w:rPr>
              <w:t>(916)</w:t>
            </w:r>
          </w:p>
        </w:tc>
        <w:tc>
          <w:tcPr>
            <w:tcW w:w="1083"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(422)</w:t>
            </w:r>
          </w:p>
        </w:tc>
        <w:tc>
          <w:tcPr>
            <w:tcW w:w="862"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333E48"/>
                <w:sz w:val="20"/>
              </w:rPr>
            </w:pPr>
            <w:r>
              <w:rPr>
                <w:rFonts w:ascii="Times New Roman;sans-serif" w:hAnsi="Times New Roman;sans-serif"/>
                <w:b w:val="false"/>
                <w:color w:val="333E48"/>
                <w:sz w:val="20"/>
              </w:rPr>
              <w:t>117%</w:t>
            </w:r>
          </w:p>
        </w:tc>
        <w:tc>
          <w:tcPr>
            <w:tcW w:w="1086"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4"/>
              <w:jc w:val="center"/>
              <w:rPr>
                <w:rFonts w:ascii="Times New Roman;sans-serif" w:hAnsi="Times New Roman;sans-serif"/>
                <w:b w:val="false"/>
                <w:color w:val="333E48"/>
                <w:sz w:val="20"/>
              </w:rPr>
            </w:pPr>
            <w:r>
              <w:rPr>
                <w:rFonts w:ascii="Times New Roman;sans-serif" w:hAnsi="Times New Roman;sans-serif"/>
                <w:b w:val="false"/>
                <w:color w:val="333E48"/>
                <w:sz w:val="20"/>
              </w:rPr>
              <w:t>(399)</w:t>
            </w:r>
          </w:p>
        </w:tc>
        <w:tc>
          <w:tcPr>
            <w:tcW w:w="1086"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381"/>
              <w:jc w:val="center"/>
              <w:rPr>
                <w:rFonts w:ascii="Times New Roman;sans-serif" w:hAnsi="Times New Roman;sans-serif"/>
                <w:b w:val="false"/>
                <w:color w:val="231F20"/>
                <w:sz w:val="20"/>
              </w:rPr>
            </w:pPr>
            <w:r>
              <w:rPr>
                <w:rFonts w:ascii="Times New Roman;sans-serif" w:hAnsi="Times New Roman;sans-serif"/>
                <w:b w:val="false"/>
                <w:color w:val="231F20"/>
                <w:sz w:val="20"/>
              </w:rPr>
              <w:t>(408)</w:t>
            </w:r>
          </w:p>
        </w:tc>
        <w:tc>
          <w:tcPr>
            <w:tcW w:w="775" w:type="dxa"/>
            <w:gridSpan w:val="3"/>
            <w:tcBorders>
              <w:top w:val="single" w:sz="8" w:space="0" w:color="000000"/>
              <w:left w:val="single" w:sz="8" w:space="0" w:color="231F2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333E48"/>
                <w:sz w:val="20"/>
              </w:rPr>
            </w:pPr>
            <w:r>
              <w:rPr>
                <w:rFonts w:ascii="Times New Roman;sans-serif" w:hAnsi="Times New Roman;sans-serif"/>
                <w:b w:val="false"/>
                <w:color w:val="333E48"/>
                <w:sz w:val="20"/>
              </w:rPr>
              <w:t>(2)%</w:t>
            </w:r>
          </w:p>
        </w:tc>
      </w:tr>
      <w:tr>
        <w:trPr/>
        <w:tc>
          <w:tcPr>
            <w:tcW w:w="34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24"/>
              <w:jc w:val="left"/>
              <w:rPr>
                <w:rFonts w:ascii="Times New Roman;sans-serif" w:hAnsi="Times New Roman;sans-serif"/>
                <w:b/>
                <w:color w:val="231F20"/>
                <w:sz w:val="20"/>
              </w:rPr>
            </w:pPr>
            <w:r>
              <w:rPr>
                <w:rFonts w:ascii="Times New Roman;sans-serif" w:hAnsi="Times New Roman;sans-serif"/>
                <w:b/>
                <w:color w:val="231F20"/>
                <w:sz w:val="20"/>
              </w:rPr>
              <w:t>Operating profit (loss)</w:t>
            </w:r>
          </w:p>
        </w:tc>
        <w:tc>
          <w:tcPr>
            <w:tcW w:w="10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color w:val="231F20"/>
                <w:sz w:val="20"/>
              </w:rPr>
            </w:pPr>
            <w:r>
              <w:rPr>
                <w:rFonts w:ascii="Times New Roman;sans-serif" w:hAnsi="Times New Roman;sans-serif"/>
                <w:b/>
                <w:color w:val="231F20"/>
                <w:sz w:val="20"/>
              </w:rPr>
              <w:t>(156)</w:t>
            </w:r>
          </w:p>
        </w:tc>
        <w:tc>
          <w:tcPr>
            <w:tcW w:w="10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183</w:t>
            </w:r>
          </w:p>
        </w:tc>
        <w:tc>
          <w:tcPr>
            <w:tcW w:w="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color w:val="231F20"/>
                <w:sz w:val="20"/>
              </w:rPr>
            </w:pPr>
            <w:r>
              <w:rPr>
                <w:rFonts w:ascii="Times New Roman;sans-serif" w:hAnsi="Times New Roman;sans-serif"/>
                <w:b/>
                <w:color w:val="231F20"/>
                <w:sz w:val="20"/>
              </w:rPr>
              <w:t>(185)%</w:t>
            </w:r>
          </w:p>
        </w:tc>
        <w:tc>
          <w:tcPr>
            <w:tcW w:w="10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color w:val="231F20"/>
                <w:sz w:val="20"/>
              </w:rPr>
            </w:pPr>
            <w:r>
              <w:rPr>
                <w:rFonts w:ascii="Times New Roman;sans-serif" w:hAnsi="Times New Roman;sans-serif"/>
                <w:b/>
                <w:color w:val="231F20"/>
                <w:sz w:val="20"/>
              </w:rPr>
              <w:t>381</w:t>
            </w:r>
          </w:p>
        </w:tc>
        <w:tc>
          <w:tcPr>
            <w:tcW w:w="1086" w:type="dxa"/>
            <w:gridSpan w:val="3"/>
            <w:tcBorders>
              <w:top w:val="single" w:sz="8" w:space="0" w:color="231F2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342"/>
              <w:jc w:val="center"/>
              <w:rPr>
                <w:rFonts w:ascii="Times New Roman;sans-serif" w:hAnsi="Times New Roman;sans-serif"/>
                <w:b/>
                <w:color w:val="231F20"/>
                <w:sz w:val="20"/>
              </w:rPr>
            </w:pPr>
            <w:r>
              <w:rPr>
                <w:rFonts w:ascii="Times New Roman;sans-serif" w:hAnsi="Times New Roman;sans-serif"/>
                <w:b/>
                <w:color w:val="231F20"/>
                <w:sz w:val="20"/>
              </w:rPr>
              <w:t>198</w:t>
            </w:r>
          </w:p>
        </w:tc>
        <w:tc>
          <w:tcPr>
            <w:tcW w:w="7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220"/>
              <w:jc w:val="center"/>
              <w:rPr>
                <w:rFonts w:ascii="Times New Roman;sans-serif" w:hAnsi="Times New Roman;sans-serif"/>
                <w:b/>
                <w:color w:val="231F20"/>
                <w:sz w:val="20"/>
              </w:rPr>
            </w:pPr>
            <w:r>
              <w:rPr>
                <w:rFonts w:ascii="Times New Roman;sans-serif" w:hAnsi="Times New Roman;sans-serif"/>
                <w:b/>
                <w:color w:val="231F20"/>
                <w:sz w:val="20"/>
              </w:rPr>
              <w:t>92%</w:t>
            </w:r>
          </w:p>
        </w:tc>
      </w:tr>
      <w:tr>
        <w:trPr/>
        <w:tc>
          <w:tcPr>
            <w:tcW w:w="3471"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4"/>
              <w:jc w:val="left"/>
              <w:rPr>
                <w:rFonts w:ascii="Times New Roman;sans-serif" w:hAnsi="Times New Roman;sans-serif"/>
                <w:b w:val="false"/>
                <w:i/>
                <w:color w:val="333E48"/>
                <w:sz w:val="20"/>
              </w:rPr>
            </w:pPr>
            <w:r>
              <w:rPr>
                <w:rFonts w:ascii="Times New Roman;sans-serif" w:hAnsi="Times New Roman;sans-serif"/>
                <w:b w:val="false"/>
                <w:i/>
                <w:color w:val="333E48"/>
                <w:sz w:val="20"/>
              </w:rPr>
              <w:t>Operating margin (%)</w:t>
            </w:r>
          </w:p>
        </w:tc>
        <w:tc>
          <w:tcPr>
            <w:tcW w:w="1086"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val="false"/>
                <w:i/>
                <w:color w:val="231F20"/>
                <w:sz w:val="20"/>
              </w:rPr>
            </w:pPr>
            <w:r>
              <w:rPr>
                <w:rFonts w:ascii="Times New Roman;sans-serif" w:hAnsi="Times New Roman;sans-serif"/>
                <w:b w:val="false"/>
                <w:i/>
                <w:color w:val="231F20"/>
                <w:sz w:val="20"/>
              </w:rPr>
              <w:t>(19.4)%</w:t>
            </w:r>
          </w:p>
        </w:tc>
        <w:tc>
          <w:tcPr>
            <w:tcW w:w="1083"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29.0%</w:t>
            </w:r>
          </w:p>
        </w:tc>
        <w:tc>
          <w:tcPr>
            <w:tcW w:w="862"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127"/>
              <w:jc w:val="left"/>
              <w:rPr>
                <w:sz w:val="4"/>
                <w:szCs w:val="4"/>
              </w:rPr>
            </w:pPr>
            <w:r>
              <w:rPr>
                <w:sz w:val="4"/>
                <w:szCs w:val="4"/>
              </w:rPr>
            </w:r>
          </w:p>
        </w:tc>
        <w:tc>
          <w:tcPr>
            <w:tcW w:w="1086"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i/>
                <w:color w:val="231F20"/>
                <w:sz w:val="20"/>
              </w:rPr>
            </w:pPr>
            <w:r>
              <w:rPr>
                <w:rFonts w:ascii="Times New Roman;sans-serif" w:hAnsi="Times New Roman;sans-serif"/>
                <w:b w:val="false"/>
                <w:i/>
                <w:color w:val="231F20"/>
                <w:sz w:val="20"/>
              </w:rPr>
              <w:t>47.3%</w:t>
            </w:r>
          </w:p>
        </w:tc>
        <w:tc>
          <w:tcPr>
            <w:tcW w:w="1086"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31.4%</w:t>
            </w:r>
          </w:p>
        </w:tc>
        <w:tc>
          <w:tcPr>
            <w:tcW w:w="77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124"/>
              <w:jc w:val="left"/>
              <w:rPr>
                <w:rFonts w:ascii="Times New Roman;sans-serif" w:hAnsi="Times New Roman;sans-serif"/>
                <w:b/>
                <w:color w:val="231F20"/>
                <w:sz w:val="20"/>
              </w:rPr>
            </w:pPr>
            <w:r>
              <w:rPr>
                <w:rFonts w:ascii="Times New Roman;sans-serif" w:hAnsi="Times New Roman;sans-serif"/>
                <w:b/>
                <w:color w:val="231F20"/>
                <w:sz w:val="20"/>
              </w:rPr>
              <w:t>Net income (loss)</w:t>
            </w:r>
          </w:p>
        </w:tc>
        <w:tc>
          <w:tcPr>
            <w:tcW w:w="1086"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color w:val="231F20"/>
                <w:sz w:val="20"/>
              </w:rPr>
            </w:pPr>
            <w:r>
              <w:rPr>
                <w:rFonts w:ascii="Times New Roman;sans-serif" w:hAnsi="Times New Roman;sans-serif"/>
                <w:b/>
                <w:color w:val="231F20"/>
                <w:sz w:val="20"/>
              </w:rPr>
              <w:t>(110)</w:t>
            </w:r>
          </w:p>
        </w:tc>
        <w:tc>
          <w:tcPr>
            <w:tcW w:w="1083"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114</w:t>
            </w:r>
          </w:p>
        </w:tc>
        <w:tc>
          <w:tcPr>
            <w:tcW w:w="862"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color w:val="231F20"/>
                <w:sz w:val="20"/>
              </w:rPr>
            </w:pPr>
            <w:r>
              <w:rPr>
                <w:rFonts w:ascii="Times New Roman;sans-serif" w:hAnsi="Times New Roman;sans-serif"/>
                <w:b/>
                <w:color w:val="231F20"/>
                <w:sz w:val="20"/>
              </w:rPr>
              <w:t>(196)%</w:t>
            </w:r>
          </w:p>
        </w:tc>
        <w:tc>
          <w:tcPr>
            <w:tcW w:w="1086"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color w:val="231F20"/>
                <w:sz w:val="20"/>
              </w:rPr>
            </w:pPr>
            <w:r>
              <w:rPr>
                <w:rFonts w:ascii="Times New Roman;sans-serif" w:hAnsi="Times New Roman;sans-serif"/>
                <w:b/>
                <w:color w:val="231F20"/>
                <w:sz w:val="20"/>
              </w:rPr>
              <w:t>380</w:t>
            </w:r>
          </w:p>
        </w:tc>
        <w:tc>
          <w:tcPr>
            <w:tcW w:w="1086" w:type="dxa"/>
            <w:gridSpan w:val="3"/>
            <w:tcBorders>
              <w:top w:val="single" w:sz="8" w:space="0" w:color="00000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380"/>
              <w:jc w:val="center"/>
              <w:rPr>
                <w:rFonts w:ascii="Times New Roman;sans-serif" w:hAnsi="Times New Roman;sans-serif"/>
                <w:b/>
                <w:color w:val="231F20"/>
                <w:sz w:val="20"/>
              </w:rPr>
            </w:pPr>
            <w:r>
              <w:rPr>
                <w:rFonts w:ascii="Times New Roman;sans-serif" w:hAnsi="Times New Roman;sans-serif"/>
                <w:b/>
                <w:color w:val="231F20"/>
                <w:sz w:val="20"/>
              </w:rPr>
              <w:t>178</w:t>
            </w:r>
          </w:p>
        </w:tc>
        <w:tc>
          <w:tcPr>
            <w:tcW w:w="775" w:type="dxa"/>
            <w:gridSpan w:val="3"/>
            <w:tcBorders>
              <w:top w:val="single" w:sz="8" w:space="0" w:color="000000"/>
              <w:left w:val="single" w:sz="8" w:space="0" w:color="231F2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113%</w:t>
            </w:r>
          </w:p>
        </w:tc>
      </w:tr>
      <w:tr>
        <w:trPr/>
        <w:tc>
          <w:tcPr>
            <w:tcW w:w="3471"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124"/>
              <w:jc w:val="left"/>
              <w:rPr>
                <w:rFonts w:ascii="Times New Roman;sans-serif" w:hAnsi="Times New Roman;sans-serif"/>
                <w:b/>
                <w:color w:val="231F20"/>
                <w:sz w:val="20"/>
              </w:rPr>
            </w:pPr>
            <w:r>
              <w:rPr>
                <w:rFonts w:ascii="Times New Roman;sans-serif" w:hAnsi="Times New Roman;sans-serif"/>
                <w:b/>
                <w:color w:val="231F20"/>
                <w:sz w:val="20"/>
              </w:rPr>
              <w:t>Diluted earnings per share ($)</w:t>
            </w:r>
          </w:p>
        </w:tc>
        <w:tc>
          <w:tcPr>
            <w:tcW w:w="1086"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5"/>
              <w:jc w:val="center"/>
              <w:rPr>
                <w:rFonts w:ascii="Times New Roman;sans-serif" w:hAnsi="Times New Roman;sans-serif"/>
                <w:b w:val="false"/>
                <w:color w:val="231F20"/>
                <w:sz w:val="20"/>
              </w:rPr>
            </w:pPr>
            <w:r>
              <w:rPr>
                <w:rFonts w:ascii="Times New Roman;sans-serif" w:hAnsi="Times New Roman;sans-serif"/>
                <w:b w:val="false"/>
                <w:color w:val="231F20"/>
                <w:sz w:val="20"/>
              </w:rPr>
              <w:t>(0.11)</w:t>
            </w:r>
          </w:p>
        </w:tc>
        <w:tc>
          <w:tcPr>
            <w:tcW w:w="1083"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381"/>
              <w:jc w:val="center"/>
              <w:rPr>
                <w:rFonts w:ascii="Times New Roman;sans-serif" w:hAnsi="Times New Roman;sans-serif"/>
                <w:b w:val="false"/>
                <w:color w:val="231F20"/>
                <w:sz w:val="20"/>
              </w:rPr>
            </w:pPr>
            <w:r>
              <w:rPr>
                <w:rFonts w:ascii="Times New Roman;sans-serif" w:hAnsi="Times New Roman;sans-serif"/>
                <w:b w:val="false"/>
                <w:color w:val="231F20"/>
                <w:sz w:val="20"/>
              </w:rPr>
              <w:t>0.11</w:t>
            </w:r>
          </w:p>
        </w:tc>
        <w:tc>
          <w:tcPr>
            <w:tcW w:w="862"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231F20"/>
                <w:sz w:val="20"/>
              </w:rPr>
            </w:pPr>
            <w:r>
              <w:rPr>
                <w:rFonts w:ascii="Times New Roman;sans-serif" w:hAnsi="Times New Roman;sans-serif"/>
                <w:b w:val="false"/>
                <w:color w:val="231F20"/>
                <w:sz w:val="20"/>
              </w:rPr>
              <w:t>(200)%</w:t>
            </w:r>
          </w:p>
        </w:tc>
        <w:tc>
          <w:tcPr>
            <w:tcW w:w="1086" w:type="dxa"/>
            <w:gridSpan w:val="3"/>
            <w:tcBorders>
              <w:top w:val="single" w:sz="8" w:space="0" w:color="231F2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231F20"/>
                <w:sz w:val="20"/>
              </w:rPr>
            </w:pPr>
            <w:r>
              <w:rPr>
                <w:rFonts w:ascii="Times New Roman;sans-serif" w:hAnsi="Times New Roman;sans-serif"/>
                <w:b w:val="false"/>
                <w:color w:val="231F20"/>
                <w:sz w:val="20"/>
              </w:rPr>
              <w:t>0.36</w:t>
            </w:r>
          </w:p>
        </w:tc>
        <w:tc>
          <w:tcPr>
            <w:tcW w:w="1086"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val="false"/>
                <w:color w:val="231F20"/>
                <w:sz w:val="20"/>
              </w:rPr>
            </w:pPr>
            <w:r>
              <w:rPr>
                <w:rFonts w:ascii="Times New Roman;sans-serif" w:hAnsi="Times New Roman;sans-serif"/>
                <w:b w:val="false"/>
                <w:color w:val="231F20"/>
                <w:sz w:val="20"/>
              </w:rPr>
              <w:t>0.17</w:t>
            </w:r>
          </w:p>
        </w:tc>
        <w:tc>
          <w:tcPr>
            <w:tcW w:w="775" w:type="dxa"/>
            <w:gridSpan w:val="3"/>
            <w:tcBorders>
              <w:top w:val="single" w:sz="8" w:space="0" w:color="231F20"/>
              <w:left w:val="single" w:sz="8" w:space="0" w:color="000000"/>
              <w:right w:val="single" w:sz="8" w:space="0" w:color="231F2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112%</w:t>
            </w:r>
          </w:p>
        </w:tc>
      </w:tr>
      <w:tr>
        <w:trPr/>
        <w:tc>
          <w:tcPr>
            <w:tcW w:w="3471" w:type="dxa"/>
            <w:gridSpan w:val="3"/>
            <w:tcBorders>
              <w:top w:val="single" w:sz="8" w:space="0" w:color="000000"/>
              <w:left w:val="single" w:sz="8" w:space="0" w:color="231F2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124"/>
              <w:jc w:val="left"/>
              <w:rPr>
                <w:rFonts w:ascii="Times New Roman;sans-serif" w:hAnsi="Times New Roman;sans-serif"/>
                <w:b/>
                <w:color w:val="231F20"/>
                <w:sz w:val="20"/>
              </w:rPr>
            </w:pPr>
            <w:r>
              <w:rPr>
                <w:rFonts w:ascii="Times New Roman;sans-serif" w:hAnsi="Times New Roman;sans-serif"/>
                <w:b/>
                <w:color w:val="231F20"/>
                <w:sz w:val="20"/>
              </w:rPr>
              <w:t>Free cash flow</w:t>
            </w:r>
          </w:p>
        </w:tc>
        <w:tc>
          <w:tcPr>
            <w:tcW w:w="1086" w:type="dxa"/>
            <w:gridSpan w:val="3"/>
            <w:tcBorders>
              <w:top w:val="single" w:sz="8" w:space="0" w:color="231F20"/>
              <w:left w:val="single" w:sz="8" w:space="0" w:color="231F20"/>
              <w:bottom w:val="single" w:sz="8" w:space="0" w:color="231F20"/>
            </w:tcBorders>
            <w:tcMar>
              <w:right w:w="0" w:type="dxa"/>
            </w:tcMar>
            <w:vAlign w:val="center"/>
          </w:tcPr>
          <w:p>
            <w:pPr>
              <w:pStyle w:val="TableContents"/>
              <w:bidi w:val="0"/>
              <w:spacing w:before="0" w:after="283"/>
              <w:ind w:left="0" w:right="0" w:firstLine="125"/>
              <w:jc w:val="left"/>
              <w:rPr>
                <w:sz w:val="4"/>
                <w:szCs w:val="4"/>
              </w:rPr>
            </w:pPr>
            <w:r>
              <w:rPr>
                <w:sz w:val="4"/>
                <w:szCs w:val="4"/>
              </w:rPr>
            </w:r>
          </w:p>
        </w:tc>
        <w:tc>
          <w:tcPr>
            <w:tcW w:w="1083" w:type="dxa"/>
            <w:gridSpan w:val="3"/>
            <w:tcBorders>
              <w:top w:val="single" w:sz="8" w:space="0" w:color="231F20"/>
              <w:left w:val="single" w:sz="8" w:space="0" w:color="231F2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231F20"/>
              <w:left w:val="single" w:sz="8" w:space="0" w:color="231F20"/>
              <w:bottom w:val="single" w:sz="8" w:space="0" w:color="000000"/>
            </w:tcBorders>
            <w:tcMar>
              <w:right w:w="0" w:type="dxa"/>
            </w:tcMar>
            <w:vAlign w:val="center"/>
          </w:tcPr>
          <w:p>
            <w:pPr>
              <w:pStyle w:val="TableContents"/>
              <w:bidi w:val="0"/>
              <w:spacing w:before="0" w:after="283"/>
              <w:ind w:left="0" w:right="0" w:firstLine="124"/>
              <w:jc w:val="left"/>
              <w:rPr>
                <w:sz w:val="4"/>
                <w:szCs w:val="4"/>
              </w:rPr>
            </w:pPr>
            <w:r>
              <w:rPr>
                <w:sz w:val="4"/>
                <w:szCs w:val="4"/>
              </w:rPr>
            </w:r>
          </w:p>
        </w:tc>
        <w:tc>
          <w:tcPr>
            <w:tcW w:w="1086" w:type="dxa"/>
            <w:gridSpan w:val="3"/>
            <w:tcBorders>
              <w:top w:val="single" w:sz="8" w:space="0" w:color="231F20"/>
              <w:left w:val="single" w:sz="8" w:space="0" w:color="231F2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127"/>
              <w:jc w:val="center"/>
              <w:rPr>
                <w:rFonts w:ascii="Times New Roman;sans-serif" w:hAnsi="Times New Roman;sans-serif"/>
                <w:b/>
                <w:color w:val="231F20"/>
                <w:sz w:val="20"/>
              </w:rPr>
            </w:pPr>
            <w:r>
              <w:rPr>
                <w:rFonts w:ascii="Times New Roman;sans-serif" w:hAnsi="Times New Roman;sans-serif"/>
                <w:b/>
                <w:color w:val="231F20"/>
                <w:sz w:val="20"/>
              </w:rPr>
              <w:t>169</w:t>
            </w:r>
          </w:p>
        </w:tc>
        <w:tc>
          <w:tcPr>
            <w:tcW w:w="1086" w:type="dxa"/>
            <w:gridSpan w:val="3"/>
            <w:tcBorders>
              <w:top w:val="single" w:sz="8" w:space="0" w:color="000000"/>
              <w:left w:val="single" w:sz="8" w:space="0" w:color="231F20"/>
              <w:bottom w:val="single" w:sz="8" w:space="0" w:color="231F20"/>
            </w:tcBorders>
            <w:tcMar>
              <w:top w:w="30" w:type="dxa"/>
              <w:bottom w:w="30" w:type="dxa"/>
              <w:right w:w="0" w:type="dxa"/>
            </w:tcMar>
            <w:vAlign w:val="center"/>
          </w:tcPr>
          <w:p>
            <w:pPr>
              <w:pStyle w:val="TableContents"/>
              <w:bidi w:val="0"/>
              <w:spacing w:lineRule="auto" w:line="268" w:before="0" w:after="283"/>
              <w:ind w:left="0" w:right="0" w:firstLine="284"/>
              <w:jc w:val="center"/>
              <w:rPr>
                <w:rFonts w:ascii="Times New Roman;sans-serif" w:hAnsi="Times New Roman;sans-serif"/>
                <w:b/>
                <w:color w:val="231F20"/>
                <w:sz w:val="20"/>
              </w:rPr>
            </w:pPr>
            <w:r>
              <w:rPr>
                <w:rFonts w:ascii="Times New Roman;sans-serif" w:hAnsi="Times New Roman;sans-serif"/>
                <w:b/>
                <w:color w:val="231F20"/>
                <w:sz w:val="20"/>
              </w:rPr>
              <w:t>33</w:t>
            </w:r>
          </w:p>
        </w:tc>
        <w:tc>
          <w:tcPr>
            <w:tcW w:w="775" w:type="dxa"/>
            <w:gridSpan w:val="3"/>
            <w:tcBorders>
              <w:top w:val="single" w:sz="8" w:space="0" w:color="231F20"/>
              <w:left w:val="single" w:sz="8" w:space="0" w:color="231F2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color w:val="231F20"/>
                <w:sz w:val="20"/>
              </w:rPr>
            </w:pPr>
            <w:r>
              <w:rPr>
                <w:rFonts w:ascii="Times New Roman;sans-serif" w:hAnsi="Times New Roman;sans-serif"/>
                <w:b/>
                <w:color w:val="231F20"/>
                <w:sz w:val="20"/>
              </w:rPr>
              <w:t>412%</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For more information, definitions, and reconciliations of Non-GAAP measures see the “Key Financial and Operating Metrics” section below.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43"/>
        <w:jc w:val="left"/>
        <w:rPr>
          <w:rFonts w:ascii="Times New Roman;sans-serif" w:hAnsi="Times New Roman;sans-serif"/>
          <w:b/>
          <w:color w:val="0091BD"/>
          <w:sz w:val="20"/>
        </w:rPr>
      </w:pPr>
      <w:r>
        <w:rPr>
          <w:rFonts w:ascii="Times New Roman;sans-serif" w:hAnsi="Times New Roman;sans-serif"/>
          <w:b/>
          <w:color w:val="0091BD"/>
          <w:sz w:val="20"/>
        </w:rPr>
        <w:t>Non-Financial Metrics (1)</w:t>
      </w:r>
    </w:p>
    <w:tbl>
      <w:tblPr>
        <w:tblW w:w="9295" w:type="dxa"/>
        <w:jc w:val="left"/>
        <w:tblInd w:w="0" w:type="dxa"/>
        <w:tblLayout w:type="fixed"/>
        <w:tblCellMar>
          <w:top w:w="28" w:type="dxa"/>
          <w:left w:w="28" w:type="dxa"/>
          <w:bottom w:w="28" w:type="dxa"/>
          <w:right w:w="28" w:type="dxa"/>
        </w:tblCellMar>
      </w:tblPr>
      <w:tblGrid>
        <w:gridCol w:w="1617"/>
        <w:gridCol w:w="1422"/>
        <w:gridCol w:w="1440"/>
        <w:gridCol w:w="682"/>
        <w:gridCol w:w="682"/>
        <w:gridCol w:w="684"/>
        <w:gridCol w:w="682"/>
        <w:gridCol w:w="682"/>
        <w:gridCol w:w="684"/>
        <w:gridCol w:w="211"/>
        <w:gridCol w:w="211"/>
        <w:gridCol w:w="298"/>
      </w:tblGrid>
      <w:tr>
        <w:trPr/>
        <w:tc>
          <w:tcPr>
            <w:tcW w:w="16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479"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ind w:left="0" w:right="0" w:firstLine="729"/>
              <w:jc w:val="left"/>
              <w:rPr>
                <w:sz w:val="4"/>
                <w:szCs w:val="4"/>
              </w:rPr>
            </w:pPr>
            <w:r>
              <w:rPr>
                <w:sz w:val="4"/>
                <w:szCs w:val="4"/>
              </w:rPr>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color w:val="333E48"/>
                <w:sz w:val="20"/>
              </w:rPr>
            </w:pPr>
            <w:r>
              <w:rPr>
                <w:rFonts w:ascii="Times New Roman;sans-serif" w:hAnsi="Times New Roman;sans-serif"/>
                <w:b/>
                <w:color w:val="333E48"/>
                <w:sz w:val="20"/>
              </w:rPr>
              <w:t>Q2 FYE24</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color w:val="333E48"/>
                <w:sz w:val="20"/>
              </w:rPr>
            </w:pPr>
            <w:r>
              <w:rPr>
                <w:rFonts w:ascii="Times New Roman;sans-serif" w:hAnsi="Times New Roman;sans-serif"/>
                <w:b/>
                <w:color w:val="333E48"/>
                <w:sz w:val="20"/>
              </w:rPr>
              <w:t>Q2 FYE23</w:t>
            </w:r>
          </w:p>
        </w:tc>
        <w:tc>
          <w:tcPr>
            <w:tcW w:w="72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333E48"/>
                <w:sz w:val="20"/>
              </w:rPr>
            </w:pPr>
            <w:r>
              <w:rPr>
                <w:rFonts w:ascii="Times New Roman;sans-serif" w:hAnsi="Times New Roman;sans-serif"/>
                <w:b/>
                <w:color w:val="333E48"/>
                <w:sz w:val="20"/>
              </w:rPr>
              <w:t>Y/Y %</w:t>
            </w:r>
          </w:p>
        </w:tc>
      </w:tr>
      <w:tr>
        <w:trPr/>
        <w:tc>
          <w:tcPr>
            <w:tcW w:w="447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Annualized contract value ("ACV")</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$1,108 million</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$1,080 million</w:t>
            </w:r>
          </w:p>
        </w:tc>
        <w:tc>
          <w:tcPr>
            <w:tcW w:w="72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3%</w:t>
            </w:r>
          </w:p>
        </w:tc>
      </w:tr>
      <w:tr>
        <w:trPr/>
        <w:tc>
          <w:tcPr>
            <w:tcW w:w="447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Remaining performance obligations ("RPO")</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$2,414 million</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$1,751 million</w:t>
            </w:r>
          </w:p>
        </w:tc>
        <w:tc>
          <w:tcPr>
            <w:tcW w:w="720" w:type="dxa"/>
            <w:gridSpan w:val="3"/>
            <w:tcBorders>
              <w:top w:val="single" w:sz="8" w:space="0" w:color="000000"/>
              <w:left w:val="single" w:sz="8" w:space="0" w:color="231F2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447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Arm Total Access licenses</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22</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853"/>
              <w:jc w:val="center"/>
              <w:rPr>
                <w:rFonts w:ascii="Times New Roman;sans-serif" w:hAnsi="Times New Roman;sans-serif"/>
                <w:b w:val="false"/>
                <w:color w:val="231F20"/>
                <w:sz w:val="20"/>
              </w:rPr>
            </w:pPr>
            <w:r>
              <w:rPr>
                <w:rFonts w:ascii="Times New Roman;sans-serif" w:hAnsi="Times New Roman;sans-serif"/>
                <w:b w:val="false"/>
                <w:color w:val="231F20"/>
                <w:sz w:val="20"/>
              </w:rPr>
              <w:t>13</w:t>
            </w:r>
          </w:p>
        </w:tc>
        <w:tc>
          <w:tcPr>
            <w:tcW w:w="720" w:type="dxa"/>
            <w:gridSpan w:val="3"/>
            <w:tcBorders>
              <w:top w:val="single" w:sz="8" w:space="0" w:color="000000"/>
              <w:left w:val="single" w:sz="8" w:space="0" w:color="231F20"/>
              <w:right w:val="single" w:sz="8" w:space="0" w:color="231F2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69%</w:t>
            </w:r>
          </w:p>
        </w:tc>
      </w:tr>
      <w:tr>
        <w:trPr/>
        <w:tc>
          <w:tcPr>
            <w:tcW w:w="447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Arm Flexible Access licenses</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212</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853"/>
              <w:jc w:val="center"/>
              <w:rPr>
                <w:rFonts w:ascii="Times New Roman;sans-serif" w:hAnsi="Times New Roman;sans-serif"/>
                <w:b w:val="false"/>
                <w:color w:val="231F20"/>
                <w:sz w:val="20"/>
              </w:rPr>
            </w:pPr>
            <w:r>
              <w:rPr>
                <w:rFonts w:ascii="Times New Roman;sans-serif" w:hAnsi="Times New Roman;sans-serif"/>
                <w:b w:val="false"/>
                <w:color w:val="231F20"/>
                <w:sz w:val="20"/>
              </w:rPr>
              <w:t>194</w:t>
            </w:r>
          </w:p>
        </w:tc>
        <w:tc>
          <w:tcPr>
            <w:tcW w:w="72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231F20"/>
                <w:sz w:val="20"/>
              </w:rPr>
            </w:pPr>
            <w:r>
              <w:rPr>
                <w:rFonts w:ascii="Times New Roman;sans-serif" w:hAnsi="Times New Roman;sans-serif"/>
                <w:b w:val="false"/>
                <w:color w:val="231F20"/>
                <w:sz w:val="20"/>
              </w:rPr>
              <w:t>9%</w:t>
            </w:r>
          </w:p>
        </w:tc>
      </w:tr>
      <w:tr>
        <w:trPr/>
        <w:tc>
          <w:tcPr>
            <w:tcW w:w="4479"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Chips reported as shipped </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7.1 billion</w:t>
            </w:r>
          </w:p>
        </w:tc>
        <w:tc>
          <w:tcPr>
            <w:tcW w:w="2048"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853"/>
              <w:jc w:val="center"/>
              <w:rPr>
                <w:rFonts w:ascii="Times New Roman;sans-serif" w:hAnsi="Times New Roman;sans-serif"/>
                <w:b w:val="false"/>
                <w:color w:val="231F20"/>
                <w:sz w:val="20"/>
              </w:rPr>
            </w:pPr>
            <w:r>
              <w:rPr>
                <w:rFonts w:ascii="Times New Roman;sans-serif" w:hAnsi="Times New Roman;sans-serif"/>
                <w:b w:val="false"/>
                <w:color w:val="231F20"/>
                <w:sz w:val="20"/>
              </w:rPr>
              <w:t>7.5 billion</w:t>
            </w:r>
          </w:p>
        </w:tc>
        <w:tc>
          <w:tcPr>
            <w:tcW w:w="72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(6)%</w:t>
            </w:r>
          </w:p>
        </w:tc>
      </w:tr>
      <w:tr>
        <w:trPr/>
        <w:tc>
          <w:tcPr>
            <w:tcW w:w="44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Total number of employees</w:t>
            </w:r>
          </w:p>
        </w:tc>
        <w:tc>
          <w:tcPr>
            <w:tcW w:w="2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6,629</w:t>
            </w:r>
          </w:p>
        </w:tc>
        <w:tc>
          <w:tcPr>
            <w:tcW w:w="2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853"/>
              <w:jc w:val="center"/>
              <w:rPr>
                <w:rFonts w:ascii="Times New Roman;sans-serif" w:hAnsi="Times New Roman;sans-serif"/>
                <w:b w:val="false"/>
                <w:color w:val="231F20"/>
                <w:sz w:val="20"/>
              </w:rPr>
            </w:pPr>
            <w:r>
              <w:rPr>
                <w:rFonts w:ascii="Times New Roman;sans-serif" w:hAnsi="Times New Roman;sans-serif"/>
                <w:b w:val="false"/>
                <w:color w:val="231F20"/>
                <w:sz w:val="20"/>
              </w:rPr>
              <w:t>5,679</w:t>
            </w:r>
          </w:p>
        </w:tc>
        <w:tc>
          <w:tcPr>
            <w:tcW w:w="7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17%</w:t>
            </w:r>
          </w:p>
        </w:tc>
      </w:tr>
      <w:tr>
        <w:trPr/>
        <w:tc>
          <w:tcPr>
            <w:tcW w:w="44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729"/>
              <w:jc w:val="left"/>
              <w:rPr>
                <w:rFonts w:ascii="Times New Roman;sans-serif" w:hAnsi="Times New Roman;sans-serif"/>
                <w:b w:val="false"/>
                <w:color w:val="231F20"/>
                <w:sz w:val="20"/>
              </w:rPr>
            </w:pPr>
            <w:r>
              <w:rPr>
                <w:rFonts w:ascii="Times New Roman;sans-serif" w:hAnsi="Times New Roman;sans-serif"/>
                <w:b w:val="false"/>
                <w:color w:val="231F20"/>
                <w:sz w:val="20"/>
              </w:rPr>
              <w:t>Engineers as a percentage of total employees</w:t>
            </w:r>
          </w:p>
        </w:tc>
        <w:tc>
          <w:tcPr>
            <w:tcW w:w="20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729"/>
              <w:jc w:val="center"/>
              <w:rPr>
                <w:rFonts w:ascii="Times New Roman;sans-serif" w:hAnsi="Times New Roman;sans-serif"/>
                <w:b w:val="false"/>
                <w:color w:val="231F20"/>
                <w:sz w:val="20"/>
              </w:rPr>
            </w:pPr>
            <w:r>
              <w:rPr>
                <w:rFonts w:ascii="Times New Roman;sans-serif" w:hAnsi="Times New Roman;sans-serif"/>
                <w:b w:val="false"/>
                <w:color w:val="231F20"/>
                <w:sz w:val="20"/>
              </w:rPr>
              <w:t>80%</w:t>
            </w:r>
          </w:p>
        </w:tc>
        <w:tc>
          <w:tcPr>
            <w:tcW w:w="20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853"/>
              <w:jc w:val="center"/>
              <w:rPr>
                <w:rFonts w:ascii="Times New Roman;sans-serif" w:hAnsi="Times New Roman;sans-serif"/>
                <w:b w:val="false"/>
                <w:color w:val="231F20"/>
                <w:sz w:val="20"/>
              </w:rPr>
            </w:pPr>
            <w:r>
              <w:rPr>
                <w:rFonts w:ascii="Times New Roman;sans-serif" w:hAnsi="Times New Roman;sans-serif"/>
                <w:b w:val="false"/>
                <w:color w:val="231F20"/>
                <w:sz w:val="20"/>
              </w:rPr>
              <w:t>79%</w:t>
            </w:r>
          </w:p>
        </w:tc>
        <w:tc>
          <w:tcPr>
            <w:tcW w:w="720"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For more information and definitions of Non-Financial Metrics see the “Key Financial and Operating Metrics” section below. </w:t>
      </w: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8110"/>
                <wp:effectExtent l="0" t="0" r="0" b="0"/>
                <wp:wrapNone/>
                <wp:docPr id="8" name="Frame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didn't just have the IPO to celebrate in Q2 FYE24, it was also a great quarter financially, operationally and strategically, demonstrating the strength of our diversified business and AI driving demand for new Arm technology.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Financially, Arm is announcing our highest ever quarterly revenue, over $800 million for the first time in our history, up 28% year-over-year, exceeding the growth seen by many of our peers in the semiconductor industry. Revenue exceeded expectations at the beginning of the quarter, and is primarily due to multiple high-value, long-term license agreements signed with industry leading technology companies who are developing chips across all of our target markets. This drove very strong growth in our licensing and other revenue, up 106% year-over-year. Much of this license revenue growth was enabled by the Arm Total Access business model, which provides customers with access to a wide range of Arm central processing units (CPUs) and related technologies. We have seen strong demand for higher-performance CPUs as companies look to capture the increasing demand for AI, from cloud servers to smartphones to automotive applications. Royalty revenue was down 5% year-over-year, with lower sales of chips for smartphones being offset by growth in other target markets such as cloud compute and automotive applications. Additionally, our overall royalty revenue is benefiting from higher royalty rates as Armv9 penetration increases.</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br/>
        <w:t>Operationally, Arm continued to increase investments in R&amp;D to meet the demand for more compute capability from across the industry and to execute on our broadening product roadmap. Overall headcount increased by 17% year-over-year, with more than 85% of the net new hires going into engineering roles. The cost associated with this increase in headcount was offset by several one-off items, resulting in non-GAAP operating expenses declining by 2% year-over-year. With revenue growing strongly and costs declining, non-GAAP operating profits have increased by 92%, delivering a 47.3% non-GAAP operating margin.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Strategically, Arm continues to lead on innovation and during the quarter we announced the </w:t>
      </w:r>
      <w:r>
        <w:rPr>
          <w:rFonts w:ascii="Times New Roman;sans-serif" w:hAnsi="Times New Roman;sans-serif"/>
          <w:b w:val="false"/>
          <w:color w:val="000000"/>
          <w:sz w:val="20"/>
        </w:rPr>
        <w:t>Arm Neoverse Compute Subsystems (CSS), a faster, more efficient path to delivering custom-built chips for AI</w:t>
      </w:r>
      <w:r>
        <w:rPr>
          <w:rFonts w:ascii="Times New Roman;sans-serif" w:hAnsi="Times New Roman;sans-serif"/>
          <w:b w:val="false"/>
          <w:color w:val="231F20"/>
          <w:sz w:val="20"/>
        </w:rPr>
        <w:t>, cloud servers, 5G base station equipment, and</w:t>
      </w:r>
      <w:r>
        <w:rPr>
          <w:color w:val="000000"/>
        </w:rPr>
        <w:t xml:space="preserve"> </w:t>
      </w:r>
      <w:r>
        <w:rPr>
          <w:rFonts w:ascii="Times New Roman;sans-serif" w:hAnsi="Times New Roman;sans-serif"/>
          <w:b w:val="false"/>
          <w:color w:val="000000"/>
          <w:sz w:val="20"/>
        </w:rPr>
        <w:t>other infrastructure applications. And then s</w:t>
      </w:r>
      <w:r>
        <w:rPr>
          <w:rFonts w:ascii="Times New Roman;sans-serif" w:hAnsi="Times New Roman;sans-serif"/>
          <w:b w:val="false"/>
          <w:color w:val="231F20"/>
          <w:sz w:val="20"/>
        </w:rPr>
        <w:t>hortly after the end of the quarter, we announced Arm Total Design for Neoverse CSS which engages critical ecosystem partners to help accelerate the development of Arm Neoverse-based chips.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Guidance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Looking forward, we have good visibility into our licensing pipeline for the second half of the fiscal year, although there is uncertainty regarding the exact timing of some deals and the revenue recognition profiles for future agreements are subject to change. Industry analysts forecast that the semiconductor industry is starting to recover, which can benefit our royalty revenue, however the trajectory of the recovery is not clear, and the industry remains vulnerable to changes in the external macroeconomic environment. </w:t>
      </w:r>
    </w:p>
    <w:p>
      <w:pPr>
        <w:pStyle w:val="TextBody"/>
        <w:bidi w:val="0"/>
        <w:spacing w:before="0" w:after="0"/>
        <w:jc w:val="left"/>
        <w:rPr/>
      </w:pPr>
      <w:r>
        <w:rPr/>
      </w:r>
    </w:p>
    <w:tbl>
      <w:tblPr>
        <w:tblW w:w="7139" w:type="dxa"/>
        <w:jc w:val="left"/>
        <w:tblInd w:w="0" w:type="dxa"/>
        <w:tblLayout w:type="fixed"/>
        <w:tblCellMar>
          <w:top w:w="28" w:type="dxa"/>
          <w:left w:w="28" w:type="dxa"/>
          <w:bottom w:w="28" w:type="dxa"/>
          <w:right w:w="28" w:type="dxa"/>
        </w:tblCellMar>
      </w:tblPr>
      <w:tblGrid>
        <w:gridCol w:w="1401"/>
        <w:gridCol w:w="1233"/>
        <w:gridCol w:w="1241"/>
        <w:gridCol w:w="508"/>
        <w:gridCol w:w="508"/>
        <w:gridCol w:w="508"/>
        <w:gridCol w:w="508"/>
        <w:gridCol w:w="508"/>
        <w:gridCol w:w="724"/>
      </w:tblGrid>
      <w:tr>
        <w:trPr/>
        <w:tc>
          <w:tcPr>
            <w:tcW w:w="14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ind w:left="0" w:right="0" w:firstLine="1"/>
              <w:jc w:val="left"/>
              <w:rPr>
                <w:sz w:val="4"/>
                <w:szCs w:val="4"/>
              </w:rPr>
            </w:pPr>
            <w:r>
              <w:rPr>
                <w:sz w:val="4"/>
                <w:szCs w:val="4"/>
              </w:rPr>
            </w:r>
          </w:p>
        </w:tc>
        <w:tc>
          <w:tcPr>
            <w:tcW w:w="1524"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8"/>
              <w:jc w:val="center"/>
              <w:rPr>
                <w:rFonts w:ascii="Times New Roman;sans-serif" w:hAnsi="Times New Roman;sans-serif"/>
                <w:b w:val="false"/>
                <w:color w:val="333E48"/>
                <w:sz w:val="20"/>
              </w:rPr>
            </w:pPr>
            <w:r>
              <w:rPr>
                <w:rFonts w:ascii="Times New Roman;sans-serif" w:hAnsi="Times New Roman;sans-serif"/>
                <w:b w:val="false"/>
                <w:color w:val="333E48"/>
                <w:sz w:val="20"/>
              </w:rPr>
              <w:t>Q3 FYE24</w:t>
            </w:r>
          </w:p>
        </w:tc>
        <w:tc>
          <w:tcPr>
            <w:tcW w:w="174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ind w:left="0" w:right="0" w:firstLine="80"/>
              <w:jc w:val="center"/>
              <w:rPr>
                <w:rFonts w:ascii="Times New Roman;sans-serif" w:hAnsi="Times New Roman;sans-serif"/>
                <w:b w:val="false"/>
                <w:color w:val="333E48"/>
                <w:sz w:val="20"/>
              </w:rPr>
            </w:pPr>
            <w:r>
              <w:rPr>
                <w:rFonts w:ascii="Times New Roman;sans-serif" w:hAnsi="Times New Roman;sans-serif"/>
                <w:b w:val="false"/>
                <w:color w:val="333E48"/>
                <w:sz w:val="20"/>
              </w:rPr>
              <w:t>FYE24</w:t>
            </w:r>
          </w:p>
        </w:tc>
      </w:tr>
      <w:tr>
        <w:trPr/>
        <w:tc>
          <w:tcPr>
            <w:tcW w:w="3875"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
              <w:jc w:val="left"/>
              <w:rPr>
                <w:rFonts w:ascii="Times New Roman;sans-serif" w:hAnsi="Times New Roman;sans-serif"/>
                <w:b w:val="false"/>
                <w:color w:val="333E48"/>
                <w:sz w:val="20"/>
              </w:rPr>
            </w:pPr>
            <w:r>
              <w:rPr>
                <w:rFonts w:ascii="Times New Roman;sans-serif" w:hAnsi="Times New Roman;sans-serif"/>
                <w:b w:val="false"/>
                <w:color w:val="333E48"/>
                <w:sz w:val="20"/>
              </w:rPr>
              <w:t>Revenue</w:t>
            </w:r>
          </w:p>
        </w:tc>
        <w:tc>
          <w:tcPr>
            <w:tcW w:w="1524"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28"/>
              <w:jc w:val="center"/>
              <w:rPr>
                <w:rFonts w:ascii="Times New Roman;sans-serif" w:hAnsi="Times New Roman;sans-serif"/>
                <w:b w:val="false"/>
                <w:color w:val="231F20"/>
                <w:sz w:val="20"/>
              </w:rPr>
            </w:pPr>
            <w:r>
              <w:rPr>
                <w:rFonts w:ascii="Times New Roman;sans-serif" w:hAnsi="Times New Roman;sans-serif"/>
                <w:b w:val="false"/>
                <w:color w:val="231F20"/>
                <w:sz w:val="20"/>
              </w:rPr>
              <w:t>$720m - $800m</w:t>
            </w:r>
          </w:p>
        </w:tc>
        <w:tc>
          <w:tcPr>
            <w:tcW w:w="174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$2,960m - $3,080m</w:t>
            </w:r>
          </w:p>
        </w:tc>
      </w:tr>
      <w:tr>
        <w:trPr/>
        <w:tc>
          <w:tcPr>
            <w:tcW w:w="3875"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0"/>
              <w:ind w:left="0" w:right="0" w:firstLine="1"/>
              <w:jc w:val="left"/>
              <w:rPr>
                <w:rFonts w:ascii="Times New Roman;sans-serif" w:hAnsi="Times New Roman;sans-serif"/>
                <w:b w:val="false"/>
                <w:color w:val="231F20"/>
                <w:sz w:val="20"/>
              </w:rPr>
            </w:pPr>
            <w:r>
              <w:rPr>
                <w:rFonts w:ascii="Times New Roman;sans-serif" w:hAnsi="Times New Roman;sans-serif"/>
                <w:b w:val="false"/>
                <w:color w:val="231F20"/>
                <w:sz w:val="20"/>
              </w:rPr>
              <w:t>Non-GAAP operating expense (1)</w:t>
            </w:r>
          </w:p>
        </w:tc>
        <w:tc>
          <w:tcPr>
            <w:tcW w:w="1524"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~$460m</w:t>
            </w:r>
          </w:p>
        </w:tc>
        <w:tc>
          <w:tcPr>
            <w:tcW w:w="1740"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0"/>
              <w:ind w:left="0" w:right="0" w:firstLine="128"/>
              <w:jc w:val="center"/>
              <w:rPr>
                <w:rFonts w:ascii="Times New Roman;sans-serif" w:hAnsi="Times New Roman;sans-serif"/>
                <w:b w:val="false"/>
                <w:color w:val="231F20"/>
                <w:sz w:val="20"/>
              </w:rPr>
            </w:pPr>
            <w:r>
              <w:rPr>
                <w:rFonts w:ascii="Times New Roman;sans-serif" w:hAnsi="Times New Roman;sans-serif"/>
                <w:b w:val="false"/>
                <w:color w:val="231F20"/>
                <w:sz w:val="20"/>
              </w:rPr>
              <w:t>~$1,765m (2)</w:t>
            </w:r>
          </w:p>
        </w:tc>
      </w:tr>
      <w:tr>
        <w:trPr/>
        <w:tc>
          <w:tcPr>
            <w:tcW w:w="38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26" w:before="0" w:after="0"/>
              <w:ind w:left="0" w:right="0" w:firstLine="6"/>
              <w:jc w:val="left"/>
              <w:rPr>
                <w:rFonts w:ascii="Times New Roman;sans-serif" w:hAnsi="Times New Roman;sans-serif"/>
                <w:b w:val="false"/>
                <w:color w:val="231F20"/>
                <w:sz w:val="20"/>
              </w:rPr>
            </w:pPr>
            <w:r>
              <w:rPr>
                <w:rFonts w:ascii="Times New Roman;sans-serif" w:hAnsi="Times New Roman;sans-serif"/>
                <w:b w:val="false"/>
                <w:color w:val="231F20"/>
                <w:sz w:val="20"/>
              </w:rPr>
              <w:t>Non-GAAP fully diluted earnings per share (1)</w:t>
            </w:r>
          </w:p>
        </w:tc>
        <w:tc>
          <w:tcPr>
            <w:tcW w:w="1524" w:type="dxa"/>
            <w:gridSpan w:val="3"/>
            <w:tcBorders>
              <w:top w:val="single" w:sz="8" w:space="0" w:color="000000"/>
              <w:left w:val="single" w:sz="8" w:space="0" w:color="231F2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128"/>
              <w:jc w:val="center"/>
              <w:rPr>
                <w:rFonts w:ascii="Times New Roman;sans-serif" w:hAnsi="Times New Roman;sans-serif"/>
                <w:b w:val="false"/>
                <w:color w:val="231F20"/>
                <w:sz w:val="20"/>
              </w:rPr>
            </w:pPr>
            <w:r>
              <w:rPr>
                <w:rFonts w:ascii="Times New Roman;sans-serif" w:hAnsi="Times New Roman;sans-serif"/>
                <w:b w:val="false"/>
                <w:color w:val="231F20"/>
                <w:sz w:val="20"/>
              </w:rPr>
              <w:t>$0.21-$0.28</w:t>
            </w:r>
          </w:p>
        </w:tc>
        <w:tc>
          <w:tcPr>
            <w:tcW w:w="1740" w:type="dxa"/>
            <w:gridSpan w:val="3"/>
            <w:tcBorders>
              <w:top w:val="single" w:sz="8" w:space="0" w:color="000000"/>
              <w:left w:val="single" w:sz="8" w:space="0" w:color="231F2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$1.00 - $1.10</w:t>
            </w:r>
          </w:p>
        </w:tc>
      </w:tr>
    </w:tbl>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For more information and definitions of the Non-GAAP measures see the “Key Financial and Operating Metrics” section below. A reconciliation of each of the projected non-GAAP operating expense and non-GAAP fully diluted earnings per share, which are forward-looking non-GAAP financial measures, to the most directly comparable GAAP financial measure, is not provided because Arm is unable to provide such reconciliation without unreasonable effort. The inability to provide each reconciliation is due to the unpredictability of the amounts and timing of events affecting the items we exclude from the non-GAAP measure.</w:t>
      </w:r>
    </w:p>
    <w:p>
      <w:pPr>
        <w:pStyle w:val="TextBody"/>
        <w:bidi w:val="0"/>
        <w:spacing w:lineRule="auto" w:line="288"/>
        <w:jc w:val="left"/>
        <w:rPr>
          <w:rFonts w:ascii="Times New Roman;sans-serif" w:hAnsi="Times New Roman;sans-serif"/>
          <w:b w:val="false"/>
          <w:color w:val="000000"/>
          <w:sz w:val="16"/>
        </w:rPr>
      </w:pPr>
      <w:r>
        <w:rPr>
          <w:rFonts w:ascii="Times New Roman;sans-serif" w:hAnsi="Times New Roman;sans-serif"/>
          <w:b w:val="false"/>
          <w:color w:val="000000"/>
          <w:sz w:val="16"/>
        </w:rPr>
        <w:t>(2) Our FYE24 non-GAAP operating expense guidance includes a one-time increase in social security taxes of approximately $45m in the fourth quarter, related to the vesting of certain equity awards following our IPO.</w:t>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8110"/>
                <wp:effectExtent l="0" t="0" r="0" b="0"/>
                <wp:wrapNone/>
                <wp:docPr id="9" name="Frame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286500" cy="20955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6286500" cy="20955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Our strategy to take artificial intelligence everywhere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Arm is central to the acceleration of AI and Machine-Learning (ML) workloads to computers everywhere. Whether its large language models being trained in the cloud or inference models being deployed at the edge, the need for efficient computing resources has never been more important. All AI algorithms need CPUs to run their models and our strategy is to develop the CPUs and related technologies needed to run these algorithms in the most energy efficient manner. Arm is making rapid progress in the adoption of its technology with AI acceleration in its CPUs and GPUs, and AI-specific products such as the Arm Ethos™ neural processing unit (NPU).</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Arm is continuing to see demand from companies needing access to higher-performance CPUs, GPUs and other technologies, and to develop AI capable chips for a wide range of end markets. During the quarter, Arm signed multiple licenses for its latest products with companies that are designing chips requiring advanced AI capability for applications such as autonomous driving, cloud servers, consumer electronics, Internet of Things (IoT) and smartphones. This included a leading autonomous automotive OEM licensing additional Arm CPU and GPU IP as they develop the next generation of their Arm-based autonomous vehicle platform.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Q2 and early Q3 our partners made the following announcements regarding AI capable devices: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Nvidia</w:t>
      </w:r>
      <w:r>
        <w:rPr>
          <w:color w:val="000000"/>
        </w:rPr>
        <w:t xml:space="preserve"> </w:t>
      </w:r>
      <w:r>
        <w:rPr>
          <w:rFonts w:ascii="Times New Roman;sans-serif" w:hAnsi="Times New Roman;sans-serif"/>
          <w:b w:val="false"/>
          <w:color w:val="000000"/>
          <w:sz w:val="20"/>
        </w:rPr>
        <w:t>GH200 Grace Hopper Superchip, which combines our Arm-based Grace CPU with the Hopper GPU, a case study for the need for energy-efficient compute for AI training and inference.</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Renesas</w:t>
      </w:r>
      <w:r>
        <w:rPr>
          <w:color w:val="000000"/>
        </w:rPr>
        <w:t xml:space="preserve"> </w:t>
      </w:r>
      <w:r>
        <w:rPr>
          <w:rFonts w:ascii="Times New Roman;sans-serif" w:hAnsi="Times New Roman;sans-serif"/>
          <w:b w:val="false"/>
          <w:color w:val="000000"/>
          <w:sz w:val="20"/>
        </w:rPr>
        <w:t xml:space="preserve">announced its New Ultra-High Performance MCUs that include Arm Helium Technology to boost AI performance on edge and end-point devices. </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Meta</w:t>
      </w:r>
      <w:r>
        <w:rPr>
          <w:color w:val="000000"/>
        </w:rPr>
        <w:t xml:space="preserve"> </w:t>
      </w:r>
      <w:r>
        <w:rPr>
          <w:rFonts w:ascii="Times New Roman;sans-serif" w:hAnsi="Times New Roman;sans-serif"/>
          <w:b w:val="false"/>
          <w:color w:val="000000"/>
          <w:sz w:val="20"/>
        </w:rPr>
        <w:t>and Arm announced a collaboration demonstrating PyTorch models running natively on Arm CPUs and NPUs, paving the way for easy deployment of PyTorch models at the edge.</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Google</w:t>
      </w:r>
      <w:r>
        <w:rPr>
          <w:color w:val="000000"/>
        </w:rPr>
        <w:t>’</w:t>
      </w:r>
      <w:r>
        <w:rPr>
          <w:rFonts w:ascii="Times New Roman;sans-serif" w:hAnsi="Times New Roman;sans-serif"/>
          <w:b w:val="false"/>
          <w:color w:val="000000"/>
          <w:sz w:val="20"/>
        </w:rPr>
        <w:t>s new Tensor G3 chip has been upgraded to support on-device generative AI, and includes the latest and most powerful mobile CPU, the Arm Cortex™-X4.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new </w:t>
      </w:r>
      <w:r>
        <w:rPr>
          <w:rFonts w:ascii="Times New Roman;sans-serif" w:hAnsi="Times New Roman;sans-serif"/>
          <w:b/>
          <w:color w:val="000000"/>
          <w:sz w:val="20"/>
        </w:rPr>
        <w:t>Xiaomi</w:t>
      </w:r>
      <w:r>
        <w:rPr>
          <w:color w:val="000000"/>
        </w:rPr>
        <w:t xml:space="preserve"> </w:t>
      </w:r>
      <w:r>
        <w:rPr>
          <w:rFonts w:ascii="Times New Roman;sans-serif" w:hAnsi="Times New Roman;sans-serif"/>
          <w:b w:val="false"/>
          <w:color w:val="000000"/>
          <w:sz w:val="20"/>
        </w:rPr>
        <w:t>14 and 14 Pro will use Qualcomm's Snapdragon 8 Gen 3, which is also based on Arm Cortex-X4 CPU, and will run generative AI directly on the handset.</w:t>
      </w:r>
    </w:p>
    <w:p>
      <w:pPr>
        <w:pStyle w:val="TextBody"/>
        <w:bidi w:val="0"/>
        <w:spacing w:lineRule="auto" w:line="288"/>
        <w:ind w:left="0" w:right="0" w:hanging="360"/>
        <w:jc w:val="left"/>
        <w:rPr/>
      </w:pPr>
      <w:r>
        <w:rPr>
          <w:color w:val="000000"/>
        </w:rPr>
        <w:t>•</w:t>
      </w:r>
      <w:r>
        <w:rPr>
          <w:rFonts w:ascii="Times New Roman;sans-serif" w:hAnsi="Times New Roman;sans-serif"/>
          <w:b/>
          <w:color w:val="000000"/>
          <w:sz w:val="20"/>
        </w:rPr>
        <w:t>Google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rPr>
        <w:t>Qualcomm</w:t>
      </w:r>
      <w:r>
        <w:rPr>
          <w:color w:val="000000"/>
        </w:rPr>
        <w:t xml:space="preserve"> </w:t>
      </w:r>
      <w:r>
        <w:rPr>
          <w:rFonts w:ascii="Times New Roman;sans-serif" w:hAnsi="Times New Roman;sans-serif"/>
          <w:b w:val="false"/>
          <w:color w:val="000000"/>
          <w:sz w:val="20"/>
        </w:rPr>
        <w:t>partnering to bring generative AI experiences to all Android phones, running the algorithm on a combination of the Arm CPU and accelerator.</w:t>
      </w: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8110"/>
                <wp:effectExtent l="0" t="0" r="0" b="0"/>
                <wp:wrapNone/>
                <wp:docPr id="11" name="Frame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286500" cy="20955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6286500" cy="20955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91BD"/>
          <w:sz w:val="20"/>
        </w:rPr>
      </w:pPr>
      <w:r>
        <w:rPr>
          <w:rFonts w:ascii="Times New Roman;sans-serif" w:hAnsi="Times New Roman;sans-serif"/>
          <w:b/>
          <w:color w:val="0091BD"/>
          <w:sz w:val="20"/>
        </w:rPr>
        <w:t>Arm growing share in our target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Arm is making significant progress across its target end markets, with new product and ecosystem announcements, market leaders licensing Arm technology for their next chips, design wins at major OEMs, and with the latest Arm technology being deployed into high-volume applications.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Cloud Compute</w:t>
      </w:r>
    </w:p>
    <w:p>
      <w:pPr>
        <w:pStyle w:val="TextBody"/>
        <w:bidi w:val="0"/>
        <w:spacing w:lineRule="auto" w:line="288" w:before="0" w:after="0"/>
        <w:jc w:val="left"/>
        <w:rPr/>
      </w:pPr>
      <w:r>
        <w:rPr>
          <w:rFonts w:ascii="Times New Roman;sans-serif" w:hAnsi="Times New Roman;sans-serif"/>
          <w:b w:val="false"/>
          <w:color w:val="231F20"/>
          <w:sz w:val="20"/>
        </w:rPr>
        <w:t xml:space="preserve">Arm continues to gain market share within the cloud compute market as our customers increasingly adopt and deploy Arm CPUs into their cloud server chips driven by the need for power efficient computing. We are licensing our Neoverse CPU and </w:t>
      </w:r>
      <w:r>
        <w:rPr>
          <w:rFonts w:ascii="Times New Roman;sans-serif" w:hAnsi="Times New Roman;sans-serif"/>
          <w:b w:val="false"/>
          <w:color w:val="000000"/>
          <w:sz w:val="20"/>
        </w:rPr>
        <w:t xml:space="preserve">Compute Subsystem </w:t>
      </w:r>
      <w:r>
        <w:rPr>
          <w:rFonts w:ascii="Times New Roman;sans-serif" w:hAnsi="Times New Roman;sans-serif"/>
          <w:b w:val="false"/>
          <w:color w:val="231F20"/>
          <w:sz w:val="20"/>
        </w:rPr>
        <w:t xml:space="preserve">technologies to both Cloud Service Providers (CSPs) and semiconductor companies developing chips for CSPs, and are continuing to invest in the software and developer ecosystem to make it easiest to develop chips and software for Arm-based cloud infrastructure.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During the quarter and in early Q3</w:t>
      </w:r>
      <w:r>
        <w:rPr>
          <w:rFonts w:ascii="Times New Roman;sans-serif" w:hAnsi="Times New Roman;sans-serif"/>
          <w:b w:val="false"/>
          <w:color w:val="000000"/>
          <w:sz w:val="20"/>
        </w:rPr>
        <w:t>, we made several announcements to drive our strategy forward, including: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Arm Neoverse CSS, a faster, lower-risk path to custom-built SoCs for infrastructure, but still allowing partners to retain flexibility to focus on innovation and differentiation.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Arm Total Design, an ecosystem committed to frictionless delivery of custom SoCs based on Neoverse CSS that includes leading ASIC design houses, IP vendors, EDA tools providers, foundries and firmware developers - </w:t>
      </w:r>
      <w:r>
        <w:rPr>
          <w:rFonts w:ascii="Times New Roman;sans-serif" w:hAnsi="Times New Roman;sans-serif"/>
          <w:b w:val="false"/>
          <w:color w:val="231F20"/>
          <w:sz w:val="20"/>
        </w:rPr>
        <w:t>partners include Broadcom, Cadence, Intel Foundry Services, Socionext, Synopsys and TSMC.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Automotive</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automotive semiconductor market is one of Arm's fastest growing opportunities and where we have been rapidly gaining market share. Arm's strategy is to have our Automotive Enhanced (AE) CPUs and GPUs adopted as a platform for the software defined vehicle, and to have Arm technology designed into the next generation in-vehicle infotainment (IVI) systems, advanced driving assistance system (ADAS) products, and electronic control units (ECUs) at leading automotive OEMs and suppliers.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a leading automotive technology developer as well as a semiconductor customer who has recently entered the automotive ADAS chip market, both licensed a wide range of Arm's automotive enhanced CPUs and GPUs to gain access to the existing Arm automotive developer ecosystem.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end of the quarter,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Renesas unveiled the fifth generation of its R-Car family of chips, including two new Arm-based MCU product lines providing solutions that meet the high computing performance and real-time processing requirements of the future automotive market. Renesas has committed to supporting market demands and making Arm-based products available to its customers.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NXP announced the S32M2 motor controller series of automotive solutions, based on the Arm Cortex-M family of processors, and targeting energy-efficient functions within an electric vehicle.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Together, Renesas and NXP are the two largest automotive MCU providers, and by choosing to use Arm CPUs, system developers will be able to take advantage of the vast Arm software ecosystem within the automotive market.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8110"/>
                <wp:effectExtent l="0" t="0" r="0" b="0"/>
                <wp:wrapNone/>
                <wp:docPr id="13" name="Frame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6</w:t>
                      </w:r>
                    </w:p>
                  </w:txbxContent>
                </v:textbox>
                <w10:wrap type="none"/>
              </v:rect>
            </w:pict>
          </mc:Fallback>
        </mc:AlternateContent>
      </w:r>
    </w:p>
    <w:p>
      <w:pPr>
        <w:pStyle w:val="TextBody"/>
        <w:bidi w:val="0"/>
        <w:spacing w:before="0" w:after="0"/>
        <w:jc w:val="center"/>
        <w:rPr/>
      </w:pPr>
      <w:r>
        <w:rPr/>
        <w:drawing>
          <wp:inline distT="0" distB="0" distL="0" distR="0">
            <wp:extent cx="6286500" cy="20955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6286500" cy="20955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IoT/Embedded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Arm is already the leading CPU architecture for IoT devices and embedded computers. One of the Arm Total Access agreements signed this quarter was with a major semiconductor company developing high-performance embedded computing chips. In addition, Arm signed a license for high-performance processors to a company developing satellite and ground unit communications.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Shortly after the end of the quarter, Renesas announced the world’s most powerful family of microcontrollers, the RA8 series, based on the Arm Cortex-M85 processor. The Cortex-M85 integrates Arm Helium technology which provides a 4x performance acceleration for machine learning algorithms and is essential as AI becomes increasingly important in edge and end-point devices.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Smartphone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 high performance, pervasive Arm compute in smartphone and consumer electronics only continues to grow. Arm's strategy is to develop and license more advanced technology such as CPUs based on its Armv9 architecture, and platforms that deliver additional functionality, higher performance, and higher energy efficiency in mobile and consumer computing devices. Arm’s customers and end device consumers continue to demand these latest and greatest advances.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Arm signed multiple high-value, long-term licenses with leading OEMs and semiconductor companies developing chips for consumer electronics products, including the two new Arm Total Access agreements.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Q2 FYE24, analyst reports indicate that shipments of smartphone handset were down approximately 5% year-over-year, and this was reflected in lower royalty revenue recognised. However, industry analysts are beginning to see signs of recovery in smartphone sales, with fiscal Q2 shipments up approximately 7% sequentially from Q1.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and in early Q3,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Mediatek announced the Dimensity 9300, its latest mobile chip with a one-of-a-kind All Big Core design targeting flagship smartphones. The Dimensity 9300 is powered by four Arm Cortex-X4 cores, four Arm Cortex-A720 cores and Arm Immortalis™-G720. It is designed for significantly improved performance for on-device generative AI processing, including running large language models on a smartphone.</w:t>
      </w:r>
    </w:p>
    <w:p>
      <w:pPr>
        <w:pStyle w:val="TextBody"/>
        <w:bidi w:val="0"/>
        <w:spacing w:lineRule="auto" w:line="288"/>
        <w:ind w:left="0" w:right="0" w:hanging="360"/>
        <w:jc w:val="left"/>
        <w:rPr/>
      </w:pPr>
      <w:r>
        <w:rPr>
          <w:color w:val="000000"/>
        </w:rPr>
        <w:t>•</w:t>
      </w:r>
      <w:r>
        <w:rPr>
          <w:rFonts w:ascii="Times New Roman;sans-serif" w:hAnsi="Times New Roman;sans-serif"/>
          <w:b w:val="false"/>
          <w:color w:val="000000"/>
          <w:sz w:val="20"/>
        </w:rPr>
        <w:t>Microsoft introduced new services for app developers to accelerate the porting and optimization of apps and programs to run on natively on Arm-based Windows devices.</w:t>
      </w: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8110"/>
                <wp:effectExtent l="0" t="0" r="0" b="0"/>
                <wp:wrapNone/>
                <wp:docPr id="15" name="Frame1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Financial Overview</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(US GAAP unless otherwise stated)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Industry context</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Semiconductors are indispensable to everyday life. In today’s technology-driven world, semiconductors are the enablers of the devices and infrastructure that facilitate virtually everything people do. As consumers and enterprises continue to demand more from their devices, and as new technologies, such as AI, create new markets and use cases, the pervasiveness of high-performance and energy-efficient semiconductors will continue to expand for decades to come.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semiconductor industry has declined for the past several quarters driven by an inventory correction; OEMs stock-piled large numbers of chips following shortages during the pandemic, and as end-market demand weakened OEMs reduced their purchases of new chips in order to deplete their existing inventories. This inventory correction has primarily impacted consumer electronic products such as PCs, laptops and smartphones, as well as industrial equipment and IoT devices. While recent reports from industry analysts suggest that the industry has started to show signs of recovery, the trajectory of the recovery remains uncertain.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Total revenue</w:t>
      </w:r>
    </w:p>
    <w:p>
      <w:pPr>
        <w:pStyle w:val="TextBody"/>
        <w:bidi w:val="0"/>
        <w:spacing w:lineRule="auto" w:line="288" w:before="0" w:after="0"/>
        <w:jc w:val="left"/>
        <w:rPr/>
      </w:pPr>
      <w:r>
        <w:rPr>
          <w:rFonts w:ascii="Times New Roman;sans-serif" w:hAnsi="Times New Roman;sans-serif"/>
          <w:b w:val="false"/>
          <w:color w:val="231F20"/>
          <w:sz w:val="20"/>
        </w:rPr>
        <w:t xml:space="preserve">Total revenue in Q2 FYE24 was $806 million, an increase of 28% from the same period in the prior year, with strong license and other revenue more than offsetting a small decline in royalty revenue. This is better than we had expected at the beginning of the quarter, and is primarily due to </w:t>
      </w:r>
      <w:r>
        <w:rPr>
          <w:rFonts w:ascii="Times New Roman;sans-serif" w:hAnsi="Times New Roman;sans-serif"/>
          <w:b w:val="false"/>
          <w:color w:val="000000"/>
          <w:sz w:val="20"/>
        </w:rPr>
        <w:t xml:space="preserve">multiple high-value, long-term license agreements signed with leading technology companies </w:t>
      </w:r>
      <w:r>
        <w:rPr>
          <w:rFonts w:ascii="Times New Roman;sans-serif" w:hAnsi="Times New Roman;sans-serif"/>
          <w:b w:val="false"/>
          <w:color w:val="231F20"/>
          <w:sz w:val="20"/>
        </w:rPr>
        <w:t xml:space="preserve">who are developing chips across all of our target markets from premium smartphones to servers to IoT devices.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License and other revenue</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License and other revenue for Q2 FYE24 was $388 million, up 106% year-over-year. While this strong growth was the result of continuing demand for the latest Arm technology, it’s important to remember that the application of accounting standards can result in significant portions of multi-year licensing contracts to be recognized as revenue immediately, often as much as half of a deal’s total value. As this dynamic can cause revenue volatility period-to-period, we believe it is helpful to evaluate our licensing and other revenue growth in conjunction with our other reported metrics of annualized contract value ("ACV") and remaining performance obligations ("RPO"). ACV evenly spreads the committed licensing fees over the duration of the contract, while RPO reflects the value of contracts that have been signed and which remain to be recognized as license and other revenue in future periods. </w:t>
      </w:r>
    </w:p>
    <w:p>
      <w:pPr>
        <w:pStyle w:val="TextBody"/>
        <w:bidi w:val="0"/>
        <w:spacing w:before="0" w:after="0"/>
        <w:jc w:val="left"/>
        <w:rPr/>
      </w:pPr>
      <w:r>
        <w:rPr/>
      </w:r>
    </w:p>
    <w:p>
      <w:pPr>
        <w:pStyle w:val="TextBody"/>
        <w:bidi w:val="0"/>
        <w:spacing w:before="0" w:after="0"/>
        <w:jc w:val="left"/>
        <w:rPr/>
      </w:pPr>
      <w:r>
        <w:rPr/>
        <w:drawing>
          <wp:inline distT="0" distB="0" distL="0" distR="0">
            <wp:extent cx="6305550" cy="36195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6305550" cy="3619500"/>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8110"/>
                <wp:effectExtent l="0" t="0" r="0" b="0"/>
                <wp:wrapNone/>
                <wp:docPr id="17" name="Frame1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Annualized contract value</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define annualized contract value as the total annualized committed fees, excluding any potential future royalty revenue, for all signed agreements deemed to be active through the last day of each applicable reporting period. ACV at the end of Q2 FYE24 was $1,108 million, up 3% year-over-year and up 6% sequentially. The sequential growth was our strongest over the last eight quarters and was primarily driven by the high-value license deals, especially Arm Total Access agreements, signed with major technology companies.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Remaining performance obligations</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Remaining performance obligations represent the transaction price allocated to performance obligations that are unsatisfied, or partially unsatisfied, which includes unearned revenue and amounts that will be invoiced and recognized as license and other revenue in future periods. As of the end of Q2 FYE24, RPO was $2,414 million, up 38% year-over year and up 44% sequentially, driven by the high-value license deals and the renewal of a long-term customer agreement. We expect to recognize approximately 28% of RPO as revenue over the next 12 months, 21% over the subsequent 13-to 24-month period, and the remainder thereafter.</w:t>
      </w:r>
    </w:p>
    <w:p>
      <w:pPr>
        <w:pStyle w:val="TextBody"/>
        <w:bidi w:val="0"/>
        <w:spacing w:before="0" w:after="0"/>
        <w:jc w:val="left"/>
        <w:rPr/>
      </w:pPr>
      <w:r>
        <w:rPr/>
      </w:r>
    </w:p>
    <w:p>
      <w:pPr>
        <w:pStyle w:val="TextBody"/>
        <w:bidi w:val="0"/>
        <w:spacing w:before="0" w:after="0"/>
        <w:jc w:val="center"/>
        <w:rPr/>
      </w:pPr>
      <w:r>
        <w:rPr/>
        <w:drawing>
          <wp:inline distT="0" distB="0" distL="0" distR="0">
            <wp:extent cx="4572000" cy="310515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4572000" cy="31051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Licenses signed</w:t>
      </w:r>
    </w:p>
    <w:p>
      <w:pPr>
        <w:pStyle w:val="TextBody"/>
        <w:bidi w:val="0"/>
        <w:spacing w:lineRule="auto" w:line="288" w:before="0" w:after="0"/>
        <w:jc w:val="left"/>
        <w:rPr/>
      </w:pPr>
      <w:r>
        <w:rPr>
          <w:rFonts w:ascii="Times New Roman;sans-serif" w:hAnsi="Times New Roman;sans-serif"/>
          <w:b w:val="false"/>
          <w:color w:val="231F20"/>
          <w:sz w:val="20"/>
        </w:rPr>
        <w:t xml:space="preserve">During the quarter, Arm signed two additional Arm Total Access agreements, taking the total number of extant licenses to 22, which includes more than half of our top 20 customers. The two new Arm Total Access agreements were signed </w:t>
      </w:r>
      <w:r>
        <w:rPr>
          <w:rFonts w:ascii="Times New Roman;sans-serif" w:hAnsi="Times New Roman;sans-serif"/>
          <w:b w:val="false"/>
          <w:color w:val="000000"/>
          <w:sz w:val="20"/>
        </w:rPr>
        <w:t>with a leading OEM developing their own chips and a leading semiconductor company, both targeting smartphones and consumer electronics devices, as well as other markets.</w:t>
      </w:r>
      <w:r>
        <w:rPr>
          <w:color w:val="231F20"/>
        </w:rPr>
        <w:t xml:space="preserve"> </w:t>
      </w:r>
      <w:r>
        <w:rPr>
          <w:rFonts w:ascii="Times New Roman;sans-serif" w:hAnsi="Times New Roman;sans-serif"/>
          <w:b w:val="false"/>
          <w:color w:val="231F20"/>
          <w:sz w:val="20"/>
        </w:rPr>
        <w:t>In addition, Arm signed two extensions for existing Arm Total Access agreements. Arm Total Access agreements are typically multi-year commitments to Arm CPUs and related technologies, and many of Arm's long-term customers now have Arm Total Access agreements; 17 of the 22 have been Arm customers for more than a decade, demonstrating the enduring nature of the Arm architecture.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The Arm Flexible Access program enables startups to take advantage of the benefits of the broad Arm ecosystem as they enter into new markets. These agreements need to be renewed annually, and in Q2 the company had over 40 renewals and 18 new agreements signed, leading to one net addition, bringing the total number of extant licensees to 212</w:t>
      </w:r>
      <w:r>
        <w:rPr>
          <w:rFonts w:ascii="Times New Roman;sans-serif" w:hAnsi="Times New Roman;sans-serif"/>
          <w:b w:val="false"/>
          <w:color w:val="231F20"/>
          <w:sz w:val="13"/>
        </w:rPr>
        <w:t>1</w:t>
      </w:r>
      <w:r>
        <w:rPr>
          <w:rFonts w:ascii="Times New Roman;sans-serif" w:hAnsi="Times New Roman;sans-serif"/>
          <w:b w:val="false"/>
          <w:color w:val="231F20"/>
          <w:sz w:val="20"/>
        </w:rPr>
        <w:t xml:space="preserve">. The companies that renewed existing agreements or signed new agreements during the quarter are developing products for a wide range of applications including multiple AI accelerators, augmented reality headset, automotive application, sensors, wearables, and wireless communication equipment. </w:t>
      </w:r>
    </w:p>
    <w:p>
      <w:pPr>
        <w:pStyle w:val="TextBody"/>
        <w:bidi w:val="0"/>
        <w:spacing w:lineRule="auto" w:line="268"/>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For the quarter ending June 30, 2023 (Q1 FYE24), t</w:t>
      </w:r>
      <w:r>
        <w:rPr>
          <w:rFonts w:ascii="Times New Roman;sans-serif" w:hAnsi="Times New Roman;sans-serif"/>
          <w:b w:val="false"/>
          <w:color w:val="231F20"/>
          <w:sz w:val="16"/>
        </w:rPr>
        <w:t>he number of Flexible Access agreements has been corrected to 211 from 214 (as previously reported in Arm's final prospectus (IPO Prospectus) filed on September 14, 2023 with the U.S. Securities and Exchange Commission pursuant to Rule 424(b)(4) under the Securities Act of 1933, as amended, relating to our Registration Statement on Form F-1) to account for certain customer license terminations and a consolidation of customer licenses due to an acquisition.</w:t>
      </w: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8110"/>
                <wp:effectExtent l="0" t="0" r="0" b="0"/>
                <wp:wrapNone/>
                <wp:docPr id="19" name="Frame1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9</w:t>
                      </w:r>
                    </w:p>
                  </w:txbxContent>
                </v:textbox>
                <w10:wrap type="none"/>
              </v:rect>
            </w:pict>
          </mc:Fallback>
        </mc:AlternateContent>
      </w:r>
    </w:p>
    <w:p>
      <w:pPr>
        <w:pStyle w:val="TextBody"/>
        <w:bidi w:val="0"/>
        <w:spacing w:before="0" w:after="0"/>
        <w:jc w:val="left"/>
        <w:rPr/>
      </w:pPr>
      <w:r>
        <w:rPr/>
        <w:drawing>
          <wp:inline distT="0" distB="0" distL="0" distR="0">
            <wp:extent cx="3105150" cy="333375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3105150" cy="3333750"/>
                    </a:xfrm>
                    <a:prstGeom prst="rect">
                      <a:avLst/>
                    </a:prstGeom>
                  </pic:spPr>
                </pic:pic>
              </a:graphicData>
            </a:graphic>
          </wp:inline>
        </w:drawing>
      </w:r>
      <w:r>
        <w:rPr/>
        <w:drawing>
          <wp:inline distT="0" distB="0" distL="0" distR="0">
            <wp:extent cx="3105150" cy="33337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3105150" cy="3333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Royalty revenue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 was $418 million, down 5% year-over-year, reflecting the ongoing weakness in the smartphone market, offset by relative strength in other growth markets such as cloud compute and automotive applications.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Looking into the details and based on our analysis:</w:t>
      </w:r>
    </w:p>
    <w:p>
      <w:pPr>
        <w:pStyle w:val="TextBody"/>
        <w:bidi w:val="0"/>
        <w:spacing w:lineRule="auto" w:line="288" w:before="0" w:after="0"/>
        <w:ind w:left="0" w:right="0" w:hanging="720"/>
        <w:jc w:val="left"/>
        <w:rPr/>
      </w:pPr>
      <w:r>
        <w:rPr>
          <w:color w:val="000000"/>
        </w:rPr>
        <w:t>•</w:t>
      </w:r>
      <w:r>
        <w:rPr>
          <w:rFonts w:ascii="Times New Roman;sans-serif" w:hAnsi="Times New Roman;sans-serif"/>
          <w:b/>
          <w:color w:val="000000"/>
          <w:sz w:val="20"/>
        </w:rPr>
        <w:t>Smartphone:</w:t>
      </w:r>
      <w:r>
        <w:rPr>
          <w:color w:val="000000"/>
        </w:rPr>
        <w:t xml:space="preserve"> </w:t>
      </w:r>
      <w:r>
        <w:rPr>
          <w:rFonts w:ascii="Times New Roman;sans-serif" w:hAnsi="Times New Roman;sans-serif"/>
          <w:b w:val="false"/>
          <w:color w:val="000000"/>
          <w:sz w:val="20"/>
        </w:rPr>
        <w:t>Royalty revenue was negatively impacted by the high levels of smartphone chip inventory that had been built up in prior quarters, partially offset by higher royalty rates from smartphones using chipsets based on our latest Armv9 architecture.</w:t>
      </w:r>
    </w:p>
    <w:p>
      <w:pPr>
        <w:pStyle w:val="TextBody"/>
        <w:bidi w:val="0"/>
        <w:spacing w:lineRule="auto" w:line="288" w:before="0" w:after="0"/>
        <w:ind w:left="0" w:right="0" w:hanging="720"/>
        <w:jc w:val="left"/>
        <w:rPr/>
      </w:pPr>
      <w:r>
        <w:rPr>
          <w:color w:val="000000"/>
        </w:rPr>
        <w:t>•</w:t>
      </w:r>
      <w:r>
        <w:rPr>
          <w:rFonts w:ascii="Times New Roman;sans-serif" w:hAnsi="Times New Roman;sans-serif"/>
          <w:b/>
          <w:color w:val="000000"/>
          <w:sz w:val="20"/>
        </w:rPr>
        <w:t>Cloud Compute:</w:t>
      </w:r>
      <w:r>
        <w:rPr>
          <w:color w:val="000000"/>
        </w:rPr>
        <w:t xml:space="preserve"> </w:t>
      </w:r>
      <w:r>
        <w:rPr>
          <w:rFonts w:ascii="Times New Roman;sans-serif" w:hAnsi="Times New Roman;sans-serif"/>
          <w:b w:val="false"/>
          <w:color w:val="000000"/>
          <w:sz w:val="20"/>
        </w:rPr>
        <w:t>Royalty revenue grew double-digits, benefiting from ramping cloud compute chips and higher royalty rates from Armv9-based chips; infrastructure continues to be the fastest growing area for Arm.</w:t>
      </w:r>
    </w:p>
    <w:p>
      <w:pPr>
        <w:pStyle w:val="TextBody"/>
        <w:bidi w:val="0"/>
        <w:spacing w:lineRule="auto" w:line="288" w:before="0" w:after="0"/>
        <w:ind w:left="0" w:right="0" w:hanging="720"/>
        <w:jc w:val="left"/>
        <w:rPr/>
      </w:pPr>
      <w:r>
        <w:rPr>
          <w:color w:val="000000"/>
        </w:rPr>
        <w:t>•</w:t>
      </w:r>
      <w:r>
        <w:rPr>
          <w:rFonts w:ascii="Times New Roman;sans-serif" w:hAnsi="Times New Roman;sans-serif"/>
          <w:b/>
          <w:color w:val="000000"/>
          <w:sz w:val="20"/>
        </w:rPr>
        <w:t xml:space="preserve">Automotive: </w:t>
      </w:r>
      <w:r>
        <w:rPr>
          <w:rFonts w:ascii="Times New Roman;sans-serif" w:hAnsi="Times New Roman;sans-serif"/>
          <w:b w:val="false"/>
          <w:color w:val="000000"/>
          <w:sz w:val="20"/>
        </w:rPr>
        <w:t>Automotive continues to deliver very strong quarters with royalty revenue from ADAS more than doubling on the same period a year ago.</w:t>
      </w:r>
    </w:p>
    <w:p>
      <w:pPr>
        <w:pStyle w:val="TextBody"/>
        <w:bidi w:val="0"/>
        <w:spacing w:lineRule="auto" w:line="288" w:before="0" w:after="0"/>
        <w:ind w:left="0" w:right="0" w:hanging="720"/>
        <w:jc w:val="left"/>
        <w:rPr/>
      </w:pPr>
      <w:r>
        <w:rPr>
          <w:color w:val="000000"/>
        </w:rPr>
        <w:t>•</w:t>
      </w:r>
      <w:r>
        <w:rPr>
          <w:rFonts w:ascii="Times New Roman;sans-serif" w:hAnsi="Times New Roman;sans-serif"/>
          <w:b/>
          <w:color w:val="000000"/>
          <w:sz w:val="20"/>
        </w:rPr>
        <w:t xml:space="preserve">IoT/Embedded: </w:t>
      </w:r>
      <w:r>
        <w:rPr>
          <w:rFonts w:ascii="Times New Roman;sans-serif" w:hAnsi="Times New Roman;sans-serif"/>
          <w:b w:val="false"/>
          <w:color w:val="000000"/>
          <w:sz w:val="20"/>
        </w:rPr>
        <w:t>Royalty revenue from the IoT market was approximately flat as the market goes through inventory corrections due to soft end-market demand.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Arm’s customers reported that they had shipped 7.1 billion Arm-based chips in the prior period. This is a reduction of 6% year-over-year, reflecting the weakness in high volume markets such as IoT and embedded applications, offset by growth in higher-value, but lower-volume markets such as cloud servers and automotive chips. This takes the cumulative number of Arm-based chips shipped to more than 272.5 billion.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Gross profit and margin</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Cost of sales in Q2 FYE24 were $46 million, resulting in a Gross Profit of $760 million and a 94.3% Gross Margin. Non-GAAP cost of sales were $26 million, resulting in a non-GAAP Gross Profit of $780 million and a 96.8% Gross Margin.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Operating expense and margin</w:t>
      </w:r>
    </w:p>
    <w:p>
      <w:pPr>
        <w:pStyle w:val="TextBody"/>
        <w:bidi w:val="0"/>
        <w:spacing w:lineRule="auto" w:line="288" w:before="0" w:after="0"/>
        <w:jc w:val="left"/>
        <w:rPr/>
      </w:pPr>
      <w:r>
        <w:rPr>
          <w:rFonts w:ascii="Times New Roman;sans-serif" w:hAnsi="Times New Roman;sans-serif"/>
          <w:b w:val="false"/>
          <w:color w:val="231F20"/>
          <w:sz w:val="20"/>
        </w:rPr>
        <w:t xml:space="preserve">Total operating expense in Q2 FYE24 was $916 million, including $490 million of share-based compensation cost (equity-settled) and </w:t>
      </w:r>
      <w:r>
        <w:rPr>
          <w:rFonts w:ascii="Times New Roman;sans-serif" w:hAnsi="Times New Roman;sans-serif"/>
          <w:b w:val="false"/>
          <w:color w:val="000000"/>
          <w:sz w:val="20"/>
        </w:rPr>
        <w:t>$27 million</w:t>
      </w:r>
      <w:r>
        <w:rPr>
          <w:color w:val="231F20"/>
        </w:rPr>
        <w:t xml:space="preserve"> </w:t>
      </w:r>
      <w:r>
        <w:rPr>
          <w:rFonts w:ascii="Times New Roman;sans-serif" w:hAnsi="Times New Roman;sans-serif"/>
          <w:b w:val="false"/>
          <w:color w:val="231F20"/>
          <w:sz w:val="20"/>
        </w:rPr>
        <w:t xml:space="preserve">for costs associated with the recent Arm IPO. Total non-GAAP operating expense of $399 million was down 2% year-over-year, due to a combination of a </w:t>
      </w:r>
      <w:r>
        <w:rPr>
          <w:rFonts w:ascii="Times New Roman;sans-serif" w:hAnsi="Times New Roman;sans-serif"/>
          <w:b w:val="false"/>
          <w:color w:val="000000"/>
          <w:sz w:val="20"/>
        </w:rPr>
        <w:t>$40 million</w:t>
      </w:r>
      <w:r>
        <w:rPr>
          <w:color w:val="231F20"/>
        </w:rPr>
        <w:t xml:space="preserve"> </w:t>
      </w:r>
      <w:r>
        <w:rPr>
          <w:rFonts w:ascii="Times New Roman;sans-serif" w:hAnsi="Times New Roman;sans-serif"/>
          <w:b w:val="false"/>
          <w:color w:val="231F20"/>
          <w:sz w:val="20"/>
        </w:rPr>
        <w:t>favorable reversal of a litigation provision, and a change in mix of share-based compensation from primarily cash-settled (or liability-classified) in Q2 FYE23, to primarily equity-settled in Q2 FYE24, which benefited the year-over-year non-GAAP comparison. For more detail on share-based compensation cost see table in GAAP to Non-GAAP Reconciliation.</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231F20"/>
          <w:sz w:val="20"/>
        </w:rPr>
      </w:pPr>
      <w:r>
        <w:rPr>
          <w:rFonts w:ascii="Times New Roman;sans-serif" w:hAnsi="Times New Roman;sans-serif"/>
          <w:b w:val="false"/>
          <w:color w:val="231F20"/>
          <w:sz w:val="20"/>
        </w:rPr>
        <w:t>Research and development (R&amp;D) expense was $626 million, representing 77.7% of revenue. Non-GAAP R&amp;D expense was $283 million, representing 35.1% of revenue, and up 13% year-over-year. Growth was driven by an 18% increase in engineering headcount, offset by the change in mix of share-based compensation cost from cash-settled to equity-settled.</w:t>
      </w: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8110"/>
                <wp:effectExtent l="0" t="0" r="0" b="0"/>
                <wp:wrapNone/>
                <wp:docPr id="22" name="Frame1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Selling, general and administrative (SG&amp;A) expense was $290 million, representing 36.0% of revenue. Non-GAAP SG&amp;A expense was $116 million, representing 14.4% of revenue, down 27% year-over-year primarily due to the reversal of the litigation provision.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GAAP operating profit showed a loss of $156 million compared with a profit of $183 million for the same period a year ago. The increase in revenue was more than offset by the investment in engineering, higher share-based compensation costs and IPO-related costs. These items were partially offset by the reversal of the litigation provision.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Non-GAAP operating profit of $381 million was up 92% year-over-year and represents a 47.3% non-GAAP operating margin, compared with 31.4% for the same period last year.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Total share-based compensation cost (equity-settled) was $509 million with $19 million in cost of sales, $343 million in R&amp;D and $147 million in SG&amp;A. Share-based compensation costs were higher in Q2 than is expected in future quarters as the IPO triggered a one-time expense for previously granted shares. The future run-rate of share based compensation cost will depend on a number of factors, including the share price, but is currently expected to be between $150 million to $200 million per quarter.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For Q2 FYE23, adding back cash-settled share-based compensation cost of $47 million would have resulted in non-GAAP operating profit for the period of $245 million. For Q2 FYE24, excluding the favorable reversal of the litigation provision of $40 million and adding back cash-settled share-based compensation cost of $9 million would have resulted in non-GAAP operating profit for the period of $350 million, a 43% year-over-year increase in underlying non-GAAP operating profit and representing a 43.4% non-GAAP operating margin.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Income before income tax, taxation, share count and earnings per share</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Income before income tax in Q2 FYE24 showed a loss of $119 million compared with a profit $152 million in Q2 FYE23. Non-GAAP Income before income taxes was $423 million, up 86% year-over-year.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Company's effective tax rate for the quarter was 7.6% (non-GAAP 10.2%), which benefited from the one-time higher share-based compensation cost and its impact on profitability in the quarter. We expect the non-GAAP effective tax rate to be in the mid-teens on a go-forward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Net income in Q2 FYE24 showed a loss of $110 million compared with a profit of $114 million in Q2 FYE23. Non-GAAP net income was $380 million, up 113% year-over-year.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Q2 FYE24 fully diluted earnings per share showed a loss of $0.11 per share (non-GAAP showed an income of $0.36 per share) compared with Q2 FYE23, which showed an income of $0.11 (non-GAAP showed an income of $0.17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On a GAAP basis, due to our loss position in the quarter, both basic and diluted shares were the same at 1,025,312,845 because including equity-classified awards would have been anti-dilutive. On a non-GAAP basis our fully diluted share count was 1,042,978,494.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Free cash flow</w: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Non-GAAP free cash flow was $169 million for the quarter, with non-GAAP free cash flow for the trailing four quarters totaling $860 million, up 291% year-over-year. At the end of Q2 FYE24, Arm’s cash and cash equivalents, and short term investments, totaled $2,206 million, up 8% from $2,049 million in the prior quarter and 60% year-over-year.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8110"/>
                <wp:effectExtent l="0" t="0" r="0" b="0"/>
                <wp:wrapNone/>
                <wp:docPr id="23" name="Frame1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91BD"/>
          <w:sz w:val="20"/>
        </w:rPr>
      </w:pPr>
      <w:r>
        <w:rPr>
          <w:rFonts w:ascii="Times New Roman;sans-serif" w:hAnsi="Times New Roman;sans-serif"/>
          <w:b/>
          <w:color w:val="0091BD"/>
          <w:sz w:val="20"/>
        </w:rPr>
        <w:t>In closing</w: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We are delighted with Arm's first quarter as a listed company, which has demonstrated the strength of our business model and the robustness of our diversified products and end markets. Thank you for taking the time to review our letter, and we look forward to speaking to you on our call later today.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Sincerely,</w:t>
      </w:r>
    </w:p>
    <w:tbl>
      <w:tblPr>
        <w:tblW w:w="4049" w:type="dxa"/>
        <w:jc w:val="left"/>
        <w:tblInd w:w="0" w:type="dxa"/>
        <w:tblLayout w:type="fixed"/>
        <w:tblCellMar>
          <w:top w:w="28" w:type="dxa"/>
          <w:left w:w="28" w:type="dxa"/>
          <w:bottom w:w="28" w:type="dxa"/>
          <w:right w:w="28" w:type="dxa"/>
        </w:tblCellMar>
      </w:tblPr>
      <w:tblGrid>
        <w:gridCol w:w="737"/>
        <w:gridCol w:w="649"/>
        <w:gridCol w:w="653"/>
        <w:gridCol w:w="588"/>
        <w:gridCol w:w="588"/>
        <w:gridCol w:w="834"/>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Rene Haas, </w:t>
            </w:r>
          </w:p>
          <w:p>
            <w:pPr>
              <w:pStyle w:val="TableContents"/>
              <w:bidi w:val="0"/>
              <w:spacing w:lineRule="auto" w:line="362"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Chief Executive Officer</w:t>
            </w:r>
          </w:p>
        </w:tc>
        <w:tc>
          <w:tcPr>
            <w:tcW w:w="2010"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Jason Child, </w:t>
            </w:r>
          </w:p>
          <w:p>
            <w:pPr>
              <w:pStyle w:val="TableContents"/>
              <w:bidi w:val="0"/>
              <w:spacing w:lineRule="auto" w:line="362"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Chief Financial Officer</w:t>
            </w:r>
          </w:p>
        </w:tc>
      </w:tr>
    </w:tbl>
    <w:p>
      <w:pPr>
        <w:pStyle w:val="TextBody"/>
        <w:bidi w:val="0"/>
        <w:spacing w:lineRule="auto" w:line="288" w:before="0" w:after="0"/>
        <w:jc w:val="both"/>
        <w:rPr/>
      </w:pPr>
      <w:r>
        <w:rPr/>
        <w:drawing>
          <wp:inline distT="0" distB="0" distL="0" distR="0">
            <wp:extent cx="1828800" cy="18288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1828800" cy="1828800"/>
                    </a:xfrm>
                    <a:prstGeom prst="rect">
                      <a:avLst/>
                    </a:prstGeom>
                  </pic:spPr>
                </pic:pic>
              </a:graphicData>
            </a:graphic>
          </wp:inline>
        </w:drawing>
      </w:r>
      <w:r>
        <w:rPr>
          <w:color w:val="000000"/>
        </w:rPr>
        <w:t>            </w:t>
      </w:r>
      <w:r>
        <w:rPr/>
        <w:drawing>
          <wp:inline distT="0" distB="0" distL="0" distR="0">
            <wp:extent cx="1828800" cy="18288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1828800" cy="1828800"/>
                    </a:xfrm>
                    <a:prstGeom prst="rect">
                      <a:avLst/>
                    </a:prstGeom>
                  </pic:spPr>
                </pic:pic>
              </a:graphicData>
            </a:graphic>
          </wp:inline>
        </w:drawing>
      </w:r>
    </w:p>
    <w:p>
      <w:pPr>
        <w:pStyle w:val="TextBody"/>
        <w:bidi w:val="0"/>
        <w:spacing w:before="0" w:after="0"/>
        <w:jc w:val="both"/>
        <w:rPr/>
      </w:pPr>
      <w:r>
        <w:rPr/>
      </w:r>
    </w:p>
    <w:tbl>
      <w:tblPr>
        <w:tblW w:w="4667" w:type="dxa"/>
        <w:jc w:val="left"/>
        <w:tblInd w:w="0" w:type="dxa"/>
        <w:tblLayout w:type="fixed"/>
        <w:tblCellMar>
          <w:top w:w="28" w:type="dxa"/>
          <w:left w:w="28" w:type="dxa"/>
          <w:bottom w:w="28" w:type="dxa"/>
          <w:right w:w="28" w:type="dxa"/>
        </w:tblCellMar>
      </w:tblPr>
      <w:tblGrid>
        <w:gridCol w:w="870"/>
        <w:gridCol w:w="765"/>
        <w:gridCol w:w="766"/>
        <w:gridCol w:w="663"/>
        <w:gridCol w:w="663"/>
        <w:gridCol w:w="940"/>
      </w:tblGrid>
      <w:tr>
        <w:trPr/>
        <w:tc>
          <w:tcPr>
            <w:tcW w:w="8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91BD"/>
                <w:sz w:val="20"/>
              </w:rPr>
            </w:pPr>
            <w:r>
              <w:rPr>
                <w:rFonts w:ascii="Times New Roman;sans-serif" w:hAnsi="Times New Roman;sans-serif"/>
                <w:b/>
                <w:color w:val="0091BD"/>
                <w:sz w:val="20"/>
              </w:rPr>
              <w:t xml:space="preserve">Investor Contact </w:t>
            </w:r>
          </w:p>
          <w:p>
            <w:pPr>
              <w:pStyle w:val="TableContents"/>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Ian Thornton</w:t>
            </w:r>
          </w:p>
          <w:p>
            <w:pPr>
              <w:pStyle w:val="TableContents"/>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Investor.relations@arm.com</w:t>
            </w:r>
          </w:p>
        </w:tc>
        <w:tc>
          <w:tcPr>
            <w:tcW w:w="22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91BD"/>
                <w:sz w:val="20"/>
              </w:rPr>
            </w:pPr>
            <w:r>
              <w:rPr>
                <w:rFonts w:ascii="Times New Roman;sans-serif" w:hAnsi="Times New Roman;sans-serif"/>
                <w:b/>
                <w:color w:val="0091BD"/>
                <w:sz w:val="20"/>
              </w:rPr>
              <w:t xml:space="preserve">Media Contact </w:t>
            </w:r>
          </w:p>
          <w:p>
            <w:pPr>
              <w:pStyle w:val="TableContents"/>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Phil Hughes</w:t>
            </w:r>
          </w:p>
          <w:p>
            <w:pPr>
              <w:pStyle w:val="TableContents"/>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Global-PRteam@arm.com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8110"/>
                <wp:effectExtent l="0" t="0" r="0" b="0"/>
                <wp:wrapNone/>
                <wp:docPr id="26" name="Frame1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12</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Income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13"/>
        <w:gridCol w:w="1386"/>
        <w:gridCol w:w="1407"/>
        <w:gridCol w:w="270"/>
        <w:gridCol w:w="747"/>
        <w:gridCol w:w="147"/>
        <w:gridCol w:w="145"/>
        <w:gridCol w:w="145"/>
        <w:gridCol w:w="145"/>
        <w:gridCol w:w="290"/>
        <w:gridCol w:w="689"/>
        <w:gridCol w:w="162"/>
        <w:gridCol w:w="109"/>
        <w:gridCol w:w="109"/>
        <w:gridCol w:w="109"/>
        <w:gridCol w:w="259"/>
        <w:gridCol w:w="736"/>
        <w:gridCol w:w="146"/>
        <w:gridCol w:w="133"/>
        <w:gridCol w:w="133"/>
        <w:gridCol w:w="133"/>
        <w:gridCol w:w="284"/>
        <w:gridCol w:w="677"/>
        <w:gridCol w:w="231"/>
      </w:tblGrid>
      <w:tr>
        <w:trPr/>
        <w:tc>
          <w:tcPr>
            <w:tcW w:w="161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September 30,</w:t>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from external customers</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993 </w:t>
            </w:r>
          </w:p>
        </w:tc>
        <w:tc>
          <w:tcPr>
            <w:tcW w:w="23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from related parties</w:t>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329 </w:t>
            </w:r>
          </w:p>
        </w:tc>
        <w:tc>
          <w:tcPr>
            <w:tcW w:w="23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23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Gross profit </w:t>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w:t>
            </w:r>
          </w:p>
        </w:tc>
        <w:tc>
          <w:tcPr>
            <w:tcW w:w="23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3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23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3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3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Income (loss) before income taxes </w:t>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benefit (expense) </w:t>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23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Basic </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0.33 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0.33 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1,025,312,845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1,025,273,638</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1,025,312,845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1,027,048,150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1,025,273,638</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1,026,475,177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8110"/>
                <wp:effectExtent l="0" t="0" r="0" b="0"/>
                <wp:wrapNone/>
                <wp:docPr id="27" name="Frame1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25"/>
        <w:gridCol w:w="2474"/>
        <w:gridCol w:w="2504"/>
        <w:gridCol w:w="242"/>
        <w:gridCol w:w="689"/>
        <w:gridCol w:w="135"/>
        <w:gridCol w:w="109"/>
        <w:gridCol w:w="109"/>
        <w:gridCol w:w="109"/>
        <w:gridCol w:w="196"/>
        <w:gridCol w:w="556"/>
        <w:gridCol w:w="157"/>
      </w:tblGrid>
      <w:tr>
        <w:trPr/>
        <w:tc>
          <w:tcPr>
            <w:tcW w:w="2925"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(including receivables from related parties of $270 and $402 as of September 30, 2023 and March 31, 2023, respectively)</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assets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3,442 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assets:</w:t>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 of use assets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investments (including investments held at fair value of $578 and $592 as of September 30, 2023 and March 31, 2023, respectively)</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Non-current portion of contract assets </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assets</w:t>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3,329 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6,810 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6,866 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benefits and share-based compensation</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liabilities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 (including contract liabilities from related parties of $119 and $135 as of September 30, 2023 and March 31, 2023, respectively)</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 (including payables to related parties of $17 as of September 30, 2023 and March 31, 2023)</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liabilities:</w:t>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portion of accrued compensation and share-based compensation</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portion of contract liabilities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portion of operating lease liabilities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liabilities</w:t>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11)</w:t>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8110"/>
                <wp:effectExtent l="0" t="0" r="0" b="0"/>
                <wp:wrapNone/>
                <wp:docPr id="28" name="Frame1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45"/>
        <w:gridCol w:w="2388"/>
        <w:gridCol w:w="2401"/>
        <w:gridCol w:w="278"/>
        <w:gridCol w:w="791"/>
        <w:gridCol w:w="156"/>
        <w:gridCol w:w="109"/>
        <w:gridCol w:w="109"/>
        <w:gridCol w:w="109"/>
        <w:gridCol w:w="241"/>
        <w:gridCol w:w="685"/>
        <w:gridCol w:w="193"/>
      </w:tblGrid>
      <w:tr>
        <w:trPr/>
        <w:tc>
          <w:tcPr>
            <w:tcW w:w="2745"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7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Ordinary shares, $0.001 par value, 1,088,334,144 and 1,025,234,000 shares authorized, 1,025,234,000 issued and outstanding as of September 30, 2023 and March 31, 2023, respectively.</w:t>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2,457 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10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4,051 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shareholders’ equity</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6,810 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6,866 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8110"/>
                <wp:effectExtent l="0" t="0" r="0" b="0"/>
                <wp:wrapNone/>
                <wp:docPr id="29" name="Frame1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10"/>
        <w:gridCol w:w="1579"/>
        <w:gridCol w:w="1585"/>
        <w:gridCol w:w="242"/>
        <w:gridCol w:w="689"/>
        <w:gridCol w:w="135"/>
        <w:gridCol w:w="135"/>
        <w:gridCol w:w="135"/>
        <w:gridCol w:w="135"/>
        <w:gridCol w:w="242"/>
        <w:gridCol w:w="596"/>
        <w:gridCol w:w="135"/>
        <w:gridCol w:w="109"/>
        <w:gridCol w:w="109"/>
        <w:gridCol w:w="109"/>
        <w:gridCol w:w="228"/>
        <w:gridCol w:w="650"/>
        <w:gridCol w:w="126"/>
        <w:gridCol w:w="126"/>
        <w:gridCol w:w="126"/>
        <w:gridCol w:w="126"/>
        <w:gridCol w:w="228"/>
        <w:gridCol w:w="561"/>
        <w:gridCol w:w="189"/>
      </w:tblGrid>
      <w:tr>
        <w:trPr/>
        <w:tc>
          <w:tcPr>
            <w:tcW w:w="191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September 30,</w:t>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for) operating activities:</w:t>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for) operating activities:</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(loss) from equity investments, net </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cost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expense</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operating activities, net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(including receivables from related parties)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assets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benefits and share-based compensation</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 (including contract liabilities from related parties)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liabilities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 (including payables to related parties)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Net cash provided by (used for) operating activities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for) investing activities</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short-term investments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maturity of short-term investments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equity investments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intangible assets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for) investing activities</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for) financing activities</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intangible asset obligations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 net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withholding tax on vested shares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Net cash provided by (used for) financing activities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 and cash equivalents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decrease in cash and cash equivalents </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cash equivalents at the beginning of the period </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the end of the period</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operating, investing and financing activities:</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Non-cash additions in property and equipment </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additions in intangible assets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additions to equity investments from conversion of certain receivables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additions in operating lease right of use assets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Non-cash additions of operating lease liabilities </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distributions to shareholders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withholding tax on vested shares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reclassification of share-based compensation costs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8110"/>
                <wp:effectExtent l="0" t="0" r="0" b="0"/>
                <wp:wrapNone/>
                <wp:docPr id="30" name="Frame1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Financial and Operating Metrics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following key performance indicators and non-GAAP financial measures to analyze our business performance and financial forecasts and to develop strategic plans, which we believe provide useful information to the market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the key financial and operating metrics:</w:t>
      </w:r>
    </w:p>
    <w:tbl>
      <w:tblPr>
        <w:tblW w:w="10205" w:type="dxa"/>
        <w:jc w:val="center"/>
        <w:tblInd w:w="0" w:type="dxa"/>
        <w:tblLayout w:type="fixed"/>
        <w:tblCellMar>
          <w:top w:w="28" w:type="dxa"/>
          <w:left w:w="28" w:type="dxa"/>
          <w:bottom w:w="28" w:type="dxa"/>
          <w:right w:w="28" w:type="dxa"/>
        </w:tblCellMar>
      </w:tblPr>
      <w:tblGrid>
        <w:gridCol w:w="2135"/>
        <w:gridCol w:w="1760"/>
        <w:gridCol w:w="1766"/>
        <w:gridCol w:w="268"/>
        <w:gridCol w:w="187"/>
        <w:gridCol w:w="187"/>
        <w:gridCol w:w="187"/>
        <w:gridCol w:w="187"/>
        <w:gridCol w:w="187"/>
        <w:gridCol w:w="268"/>
        <w:gridCol w:w="187"/>
        <w:gridCol w:w="187"/>
        <w:gridCol w:w="109"/>
        <w:gridCol w:w="109"/>
        <w:gridCol w:w="109"/>
        <w:gridCol w:w="228"/>
        <w:gridCol w:w="630"/>
        <w:gridCol w:w="123"/>
        <w:gridCol w:w="118"/>
        <w:gridCol w:w="118"/>
        <w:gridCol w:w="118"/>
        <w:gridCol w:w="226"/>
        <w:gridCol w:w="627"/>
        <w:gridCol w:w="184"/>
      </w:tblGrid>
      <w:tr>
        <w:trPr/>
        <w:tc>
          <w:tcPr>
            <w:tcW w:w="213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6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for Number of Arm-based Chips, Number of extant Arm Total Access and Arm Flexible Access licenses, and Total number of employees and engineers)</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September 30,</w:t>
            </w:r>
          </w:p>
        </w:tc>
      </w:tr>
      <w:tr>
        <w:trPr/>
        <w:tc>
          <w:tcPr>
            <w:tcW w:w="5661" w:type="dxa"/>
            <w:gridSpan w:val="3"/>
            <w:vMerge w:val="continue"/>
            <w:tcBorders/>
            <w:tcMar>
              <w:top w:w="0" w:type="dxa"/>
              <w:left w:w="0" w:type="dxa"/>
              <w:bottom w:w="0" w:type="dxa"/>
              <w:right w:w="0" w:type="dxa"/>
            </w:tcMar>
            <w:vAlign w:val="center"/>
          </w:tcPr>
          <w:p>
            <w:pPr>
              <w:pStyle w:val="Normal"/>
              <w:bidi w:val="0"/>
              <w:jc w:val="left"/>
              <w:rPr/>
            </w:pPr>
            <w:r>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License and other revenue</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Royalty revenue</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operating income (1)</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from continuing operations</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net income (1)</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free cash flow (1)</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w:t>
            </w:r>
          </w:p>
        </w:tc>
      </w:tr>
      <w:tr>
        <w:trPr/>
        <w:tc>
          <w:tcPr>
            <w:tcW w:w="5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metrics:</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Arm-based chips reported as shipped (billions)</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r>
      <w:tr>
        <w:trPr/>
        <w:tc>
          <w:tcPr>
            <w:tcW w:w="5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metrics:</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number of Arm-based chips reported as shipped (billions)</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242.0</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extant Arm Total Access licenses (2)</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extant Arm Flexible Access licenses (2)(3)</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Annualized contract value</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Remaining performance obligation</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employees (at end of period)</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6,629</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5,679</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engineers</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5,318</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non-engineers</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w:t>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Non-GAAP operating income, Non-GAAP net income from continuing operations and Non-GAAP free cash flow are non-GAAP financial measures. For more information regarding our use of these measures and a reconciliation of these measures to the most directly comparable GAAP financial measures, see “—GAAP to Non-GAAP Reconciliation” below.</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As of the last day of the applicable period.</w:t>
      </w:r>
    </w:p>
    <w:p>
      <w:pPr>
        <w:pStyle w:val="TextBody"/>
        <w:bidi w:val="0"/>
        <w:spacing w:lineRule="auto" w:line="288" w:before="0" w:after="0"/>
        <w:ind w:left="0" w:right="0" w:hanging="270"/>
        <w:jc w:val="both"/>
        <w:rPr/>
      </w:pPr>
      <w:r>
        <w:rPr>
          <w:rFonts w:ascii="Times New Roman;sans-serif" w:hAnsi="Times New Roman;sans-serif"/>
          <w:b w:val="false"/>
          <w:color w:val="000000"/>
          <w:sz w:val="16"/>
        </w:rPr>
        <w:t>(3)    For the quarter ended June 30, 2023 (Q1 FYE24), t</w:t>
      </w:r>
      <w:r>
        <w:rPr>
          <w:rFonts w:ascii="Times New Roman;sans-serif" w:hAnsi="Times New Roman;sans-serif"/>
          <w:b w:val="false"/>
          <w:color w:val="231F20"/>
          <w:sz w:val="16"/>
        </w:rPr>
        <w:t>he number of Flexible Access agreements has been corrected to 211 from 214 (as previously reported in our IPO Prospectus) to account for certain customer license terminations and a consolidation of customer licenses due to an acquisition.</w:t>
      </w:r>
    </w:p>
    <w:p>
      <w:pPr>
        <w:pStyle w:val="TextBody"/>
        <w:bidi w:val="0"/>
        <w:spacing w:before="0" w:after="0"/>
        <w:jc w:val="both"/>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Number of Arm-based chips reported as shipped - for the period and cumulative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quarter, most of our customers, and those contracted through Arm China, furnish us (directly or via Arm China) with royalty reports setting forth the actual number of Arm-powered chips they shipped in the immediately preceding quarter. Royalty reports received in the 12-month period from April 1 to March 31 of each year relate to chip shipments made in the period from January 1 to December 31 of each year. We also perform various procedures to assess customer data related to royalties for reasonableness, and our license agreements generally include rights for us to audit the books and records of our customers to verify certain types of customer data.</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the number of chips reported as shipped by our customers as a key performance indicator because it represents the acceptance of our products by companies who use chips in their products (e.g., our customers’ customers). The number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8110"/>
                <wp:effectExtent l="0" t="0" r="0" b="0"/>
                <wp:wrapNone/>
                <wp:docPr id="31" name="Frame2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17</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of chips shipped also provides insight into chip pricing and volumes in different end markets, which helps inform our pricing models and competitive positioning.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cumulative number of Arm-based chips reported as shipped are from inception to date. We consider the cumulative number of Arm-based chips reported as shipped by our customers as a key performance indicator because it represents the scale of expansion of Arm-based products.</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Number of extant Arm Total Access and Arm Flexible Access licenses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quarter, we track the number of extant Arm Total Access and Arm Flexible Access licenses with our customers, and those contracted through Arm China. We believe that, over time, many of our customers will transition to either an Arm Total Access or Arm Flexible Access license to access our products. This transition enables us and our customers to focus less on contract negotiations and more on how our products can be deployed in our customers’ future chips.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number of extant Arm Total Access and Arm Flexible Access licenses as key performance indicators as they represents the increasing collaboration between us and our customers, which could be a leading indicator to more chips being designed with our products and, accordingly, more recurring royalty revenue in the future, improving our long-term market share.</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Annualized contract value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quarter, we track the annualized contract value (“ACV”) relating to licensing agreements signed with our customers and those contracted through Arm China per the aggregate license fee as shared under the IPLA.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TLA, are deemed to be active for, and annualized over, three years based on the historical licensing patterns of our customers. The aggregate license fee shared by Arm China is also deemed to be active for, and annualized over, three years.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Remaining performance obligations</w: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Remaining performance obligations ("RPO") represent the transaction price allocated to performance obligations that are unsatisfied, or partially unsatisfied, which includes unearned revenue and amounts that will be invoiced and recognized as revenue in future periods.</w:t>
      </w:r>
    </w:p>
    <w:p>
      <w:pPr>
        <w:pStyle w:val="TextBody"/>
        <w:bidi w:val="0"/>
        <w:spacing w:lineRule="auto" w:line="288" w:before="120" w:after="12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Arm has elected to exclude potential future royalty receipts from the disclosure of remaining performance obligations. Revenue recognition occurs upon delivery or beginning of license term, whichever is later. </w: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color w:val="0091BD"/>
          <w:sz w:val="20"/>
        </w:rPr>
      </w:pPr>
      <w:r>
        <w:rPr>
          <w:rFonts w:ascii="Times New Roman;sans-serif" w:hAnsi="Times New Roman;sans-serif"/>
          <w:b/>
          <w:color w:val="0091BD"/>
          <w:sz w:val="20"/>
        </w:rPr>
        <w:t>Non-GAAP financial measures</w:t>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results determined in accordance with GAAP, we utilize and present financial measures that are not calculated and presented in accordance with GAAP. Our non-GAAP financial measures include non-GAAP cost of sales, non-GAAP gross profit, non-GAAP gross profit margin, non-GAAP research and development, non-GAAP selling, general and administrative, non-GAAP operating expense, non-GAAP operating income, non-GAAP operating profit margin, non-GAAP income (loss) from equity investments, net, non-GAAP interest income, net, non-GAAP other non-operating income (loss), net, non-GAAP income before income taxes, net, non-GAAP net income, non-GAAP basic and diluted net income per share attributable to ordinary shareholders, and free cash flow. We believe these non-GAAP financial measures provide useful information to investors and others in understanding and evaluating our results of operations, as well as provide a useful measure for period-to-period comparisons of our business performance. Moreover, we have included these non-GAAP financial measures because they are key measurements used by our management internally to make operating decisions, including those related to analyzing operating expenses, evaluating performance, and performing strategic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8110"/>
                <wp:effectExtent l="0" t="0" r="0" b="0"/>
                <wp:wrapNone/>
                <wp:docPr id="32" name="Frame2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18</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planning and annual budgeting.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presented herein exclude acquisition-related intangible asset amortization, share-based compensation cost associated with equity awards where our intent is to issue equity upon vesting (in lieu of cash settlement), costs associated with disposal activities, impairment of long-lived assets, restructuring and related costs, public company readiness costs, other operating income (expenses), net, (income) loss from equity method investments, and income tax effect on non-GAAP adjustments. We exclude these items from our non-GAAP financial measures because they are non-cash in nature, or because the amount and timing of these items is unpredictable and not driven by core results of operations, which renders comparisons with prior periods and competitors less meaningful.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Investors should consider non-GAAP financial measures alongside other financial performance measures, including operating income, net income and our other GAAP results. For more information regarding our use of these measures and a reconciliation to the most directly comparable GAAP financial measure, see “—GAAP to Non-GAAP Reconciliation.”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8110"/>
                <wp:effectExtent l="0" t="0" r="0" b="0"/>
                <wp:wrapNone/>
                <wp:docPr id="33" name="Frame2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GAAP to Non-GAAP results:</w:t>
      </w:r>
    </w:p>
    <w:tbl>
      <w:tblPr>
        <w:tblW w:w="11674"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43"/>
        <w:gridCol w:w="597"/>
        <w:gridCol w:w="301"/>
        <w:gridCol w:w="409"/>
        <w:gridCol w:w="848"/>
        <w:gridCol w:w="229"/>
        <w:gridCol w:w="295"/>
        <w:gridCol w:w="635"/>
        <w:gridCol w:w="166"/>
        <w:gridCol w:w="211"/>
        <w:gridCol w:w="437"/>
        <w:gridCol w:w="118"/>
        <w:gridCol w:w="109"/>
        <w:gridCol w:w="231"/>
        <w:gridCol w:w="480"/>
        <w:gridCol w:w="130"/>
        <w:gridCol w:w="109"/>
        <w:gridCol w:w="393"/>
        <w:gridCol w:w="814"/>
        <w:gridCol w:w="219"/>
        <w:gridCol w:w="109"/>
        <w:gridCol w:w="273"/>
        <w:gridCol w:w="565"/>
        <w:gridCol w:w="153"/>
        <w:gridCol w:w="269"/>
        <w:gridCol w:w="557"/>
        <w:gridCol w:w="150"/>
        <w:gridCol w:w="337"/>
        <w:gridCol w:w="661"/>
        <w:gridCol w:w="188"/>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153" w:type="dxa"/>
            <w:gridSpan w:val="9"/>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 Results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Acquisition-related intangible asset amortization</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 compensation costs (equity settled) (1)(2)(3)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 company readiness costs</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(loss) from equity investments, net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 effects on non-GAAP adjustments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Non-GAAP Results</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Gross profit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Basic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0.37 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1,025,312,845</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1,025,312,845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1,025,312,845</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1,042,978,494</w:t>
            </w:r>
          </w:p>
        </w:tc>
      </w:tr>
    </w:tbl>
    <w:p>
      <w:pPr>
        <w:pStyle w:val="TextBody"/>
        <w:bidi w:val="0"/>
        <w:spacing w:lineRule="auto" w:line="288" w:before="24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Total share-based compensation cost, including both cash and equity settled awards, was $518 million for the three months ended September 30, 2023. For non-GAAP purposes, we adjust for those awards that are currently liability-classified but will be equity settled after the initial public offering. Liability-classified awards are remeasured at the end of each reporting period through the date of settlement to ensure that the expense recognized for each award is equivalent to the amount to be paid in cash or equity settled after the initial public offering.</w: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8110"/>
                <wp:effectExtent l="0" t="0" r="0" b="0"/>
                <wp:wrapNone/>
                <wp:docPr id="34" name="Frame2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674"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47"/>
        <w:gridCol w:w="588"/>
        <w:gridCol w:w="306"/>
        <w:gridCol w:w="409"/>
        <w:gridCol w:w="848"/>
        <w:gridCol w:w="229"/>
        <w:gridCol w:w="302"/>
        <w:gridCol w:w="625"/>
        <w:gridCol w:w="169"/>
        <w:gridCol w:w="211"/>
        <w:gridCol w:w="437"/>
        <w:gridCol w:w="118"/>
        <w:gridCol w:w="109"/>
        <w:gridCol w:w="231"/>
        <w:gridCol w:w="480"/>
        <w:gridCol w:w="130"/>
        <w:gridCol w:w="109"/>
        <w:gridCol w:w="393"/>
        <w:gridCol w:w="814"/>
        <w:gridCol w:w="219"/>
        <w:gridCol w:w="109"/>
        <w:gridCol w:w="273"/>
        <w:gridCol w:w="565"/>
        <w:gridCol w:w="153"/>
        <w:gridCol w:w="269"/>
        <w:gridCol w:w="557"/>
        <w:gridCol w:w="150"/>
        <w:gridCol w:w="337"/>
        <w:gridCol w:w="661"/>
        <w:gridCol w:w="188"/>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c>
          <w:tcPr>
            <w:tcW w:w="3153" w:type="dxa"/>
            <w:gridSpan w:val="9"/>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 Results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Acquisition-related intangible asset amortization</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 compensation costs (equity settled) (1)(2)(3)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 company readiness costs</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(loss) from equity investments, net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 effects on non-GAAP adjustments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Non-GAAP Results</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1,027,048,150</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1,027,048,150</w:t>
            </w:r>
          </w:p>
        </w:tc>
      </w:tr>
    </w:tbl>
    <w:p>
      <w:pPr>
        <w:pStyle w:val="TextBody"/>
        <w:bidi w:val="0"/>
        <w:spacing w:lineRule="auto" w:line="288" w:before="24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Total share-based compensation cost, including both cash and equity settled awards, was $46 million for the three months ended September 30, 2022. In the three months ended September 30, 2022, the share-based compensation income of $1 million pertains to a decrease in fair value of certain liability-classified awards that will be settled in equity at the time of vesting. For non-GAAP purposes, we adjust for those awards that are currently liability-classified but will be equity settled after the initial public offering. Liability-classified awards are remeasured at the end of each reporting period through the date of settlement to ensure that the expense recognized for each award is equivalent to the amount to be paid in cash or equity settled after the initial public offering.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8110"/>
                <wp:effectExtent l="0" t="0" r="0" b="0"/>
                <wp:wrapNone/>
                <wp:docPr id="35" name="Frame2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674"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25"/>
        <w:gridCol w:w="638"/>
        <w:gridCol w:w="278"/>
        <w:gridCol w:w="409"/>
        <w:gridCol w:w="848"/>
        <w:gridCol w:w="229"/>
        <w:gridCol w:w="295"/>
        <w:gridCol w:w="635"/>
        <w:gridCol w:w="166"/>
        <w:gridCol w:w="211"/>
        <w:gridCol w:w="437"/>
        <w:gridCol w:w="118"/>
        <w:gridCol w:w="109"/>
        <w:gridCol w:w="231"/>
        <w:gridCol w:w="480"/>
        <w:gridCol w:w="130"/>
        <w:gridCol w:w="109"/>
        <w:gridCol w:w="393"/>
        <w:gridCol w:w="814"/>
        <w:gridCol w:w="219"/>
        <w:gridCol w:w="109"/>
        <w:gridCol w:w="273"/>
        <w:gridCol w:w="565"/>
        <w:gridCol w:w="153"/>
        <w:gridCol w:w="269"/>
        <w:gridCol w:w="557"/>
        <w:gridCol w:w="150"/>
        <w:gridCol w:w="291"/>
        <w:gridCol w:w="656"/>
        <w:gridCol w:w="239"/>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Six Months Ended September 30, 2023</w:t>
            </w:r>
          </w:p>
        </w:tc>
        <w:tc>
          <w:tcPr>
            <w:tcW w:w="3153" w:type="dxa"/>
            <w:gridSpan w:val="9"/>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 Results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Acquisition-related intangible asset amortization</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 compensation costs (equity settled) (1)(2)(3)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 company readiness costs</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(loss) from equity investments, net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 effects on non-GAAP adjustments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Non-GAAP Results</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Gross profit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Basic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0.61 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0.60 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1,025,273,638</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1,025,273,638</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1,025,273,638</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1,035,798,696</w:t>
            </w:r>
          </w:p>
        </w:tc>
      </w:tr>
    </w:tbl>
    <w:p>
      <w:pPr>
        <w:pStyle w:val="TextBody"/>
        <w:bidi w:val="0"/>
        <w:spacing w:lineRule="auto" w:line="288" w:before="24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Total share-based compensation cost, including both cash and equity settled awards, was $676 million for the six months ended September 30, 2023. For non-GAAP purposes, we adjust for those awards that are currently liability-classified but will be equity settled after the initial public offering. Liability-classified awards are remeasured at the end of each reporting period through the date of settlement to ensure that the expense recognized for each award is equivalent to the amount to be paid in cash or equity settled after the initial public offering.</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8110"/>
                <wp:effectExtent l="0" t="0" r="0" b="0"/>
                <wp:wrapNone/>
                <wp:docPr id="36" name="Frame2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both"/>
        <w:rPr/>
      </w:pPr>
      <w:r>
        <w:rPr/>
      </w:r>
    </w:p>
    <w:tbl>
      <w:tblPr>
        <w:tblW w:w="11674"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25"/>
        <w:gridCol w:w="638"/>
        <w:gridCol w:w="278"/>
        <w:gridCol w:w="409"/>
        <w:gridCol w:w="848"/>
        <w:gridCol w:w="229"/>
        <w:gridCol w:w="302"/>
        <w:gridCol w:w="625"/>
        <w:gridCol w:w="169"/>
        <w:gridCol w:w="211"/>
        <w:gridCol w:w="437"/>
        <w:gridCol w:w="118"/>
        <w:gridCol w:w="109"/>
        <w:gridCol w:w="231"/>
        <w:gridCol w:w="480"/>
        <w:gridCol w:w="130"/>
        <w:gridCol w:w="109"/>
        <w:gridCol w:w="393"/>
        <w:gridCol w:w="814"/>
        <w:gridCol w:w="219"/>
        <w:gridCol w:w="109"/>
        <w:gridCol w:w="273"/>
        <w:gridCol w:w="565"/>
        <w:gridCol w:w="153"/>
        <w:gridCol w:w="269"/>
        <w:gridCol w:w="557"/>
        <w:gridCol w:w="150"/>
        <w:gridCol w:w="291"/>
        <w:gridCol w:w="656"/>
        <w:gridCol w:w="239"/>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Six Months Ended September 30, 2022</w:t>
            </w:r>
          </w:p>
        </w:tc>
        <w:tc>
          <w:tcPr>
            <w:tcW w:w="3153" w:type="dxa"/>
            <w:gridSpan w:val="9"/>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 Results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Acquisition-related intangible asset amortization</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 compensation costs (equity settled) (1)(2)(3)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 company readiness costs</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(loss) from equity investments, net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 effects on non-GAAP adjustments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Non-GAAP Results</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0.33 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0.33 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0.40 </w:t>
            </w:r>
          </w:p>
        </w:tc>
        <w:tc>
          <w:tcPr>
            <w:tcW w:w="23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1,025,234,000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1,026,475,177</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1,026,475,177</w:t>
            </w:r>
          </w:p>
        </w:tc>
      </w:tr>
    </w:tbl>
    <w:p>
      <w:pPr>
        <w:pStyle w:val="TextBody"/>
        <w:bidi w:val="0"/>
        <w:spacing w:lineRule="auto" w:line="288" w:before="24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Total share-based compensation cost, including both cash and equity settled awards, was $59 million for the six months ended September 30, 2022. In the six months ended September 30, 2022, the share-based compensation income of $8 million pertains to a decrease in fair value of certain liability-classified awards that will be settled in equity at the time of vesting. For non-GAAP purposes, we adjust for those awards that are currently liability-classified but will be equity settled after the initial public offering. Liability-classified awards are remeasured at the end of each reporting period through the date of settlement to ensure that the expense recognized for each award is equivalent to the amount to be paid in cash or equity settled after the initial public offering.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8110"/>
                <wp:effectExtent l="0" t="0" r="0" b="0"/>
                <wp:wrapNone/>
                <wp:docPr id="37" name="Frame2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GAAP to Non-GAAP Reconciliation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(2) A summary of share-based compensation cost recognized on the Condensed Consolidated Income Statements is as follows:</w:t>
      </w:r>
    </w:p>
    <w:tbl>
      <w:tblPr>
        <w:tblW w:w="9647" w:type="dxa"/>
        <w:jc w:val="left"/>
        <w:tblInd w:w="0" w:type="dxa"/>
        <w:tblLayout w:type="fixed"/>
        <w:tblCellMar>
          <w:top w:w="28" w:type="dxa"/>
          <w:left w:w="28" w:type="dxa"/>
          <w:bottom w:w="28" w:type="dxa"/>
          <w:right w:w="28" w:type="dxa"/>
        </w:tblCellMar>
      </w:tblPr>
      <w:tblGrid>
        <w:gridCol w:w="1069"/>
        <w:gridCol w:w="938"/>
        <w:gridCol w:w="947"/>
        <w:gridCol w:w="109"/>
        <w:gridCol w:w="109"/>
        <w:gridCol w:w="109"/>
        <w:gridCol w:w="367"/>
        <w:gridCol w:w="810"/>
        <w:gridCol w:w="189"/>
        <w:gridCol w:w="189"/>
        <w:gridCol w:w="189"/>
        <w:gridCol w:w="189"/>
        <w:gridCol w:w="367"/>
        <w:gridCol w:w="628"/>
        <w:gridCol w:w="189"/>
        <w:gridCol w:w="109"/>
        <w:gridCol w:w="109"/>
        <w:gridCol w:w="109"/>
        <w:gridCol w:w="335"/>
        <w:gridCol w:w="741"/>
        <w:gridCol w:w="173"/>
        <w:gridCol w:w="173"/>
        <w:gridCol w:w="173"/>
        <w:gridCol w:w="173"/>
        <w:gridCol w:w="335"/>
        <w:gridCol w:w="574"/>
        <w:gridCol w:w="245"/>
      </w:tblGrid>
      <w:tr>
        <w:trPr/>
        <w:tc>
          <w:tcPr>
            <w:tcW w:w="106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 A summary of share-based compensation liability-classified cost recognized on the Condensed Consolidated Income Statements is as follows:</w:t>
      </w:r>
    </w:p>
    <w:tbl>
      <w:tblPr>
        <w:tblW w:w="9644" w:type="dxa"/>
        <w:jc w:val="left"/>
        <w:tblInd w:w="0" w:type="dxa"/>
        <w:tblLayout w:type="fixed"/>
        <w:tblCellMar>
          <w:top w:w="28" w:type="dxa"/>
          <w:left w:w="28" w:type="dxa"/>
          <w:bottom w:w="28" w:type="dxa"/>
          <w:right w:w="28" w:type="dxa"/>
        </w:tblCellMar>
      </w:tblPr>
      <w:tblGrid>
        <w:gridCol w:w="1069"/>
        <w:gridCol w:w="938"/>
        <w:gridCol w:w="947"/>
        <w:gridCol w:w="109"/>
        <w:gridCol w:w="109"/>
        <w:gridCol w:w="109"/>
        <w:gridCol w:w="415"/>
        <w:gridCol w:w="504"/>
        <w:gridCol w:w="214"/>
        <w:gridCol w:w="214"/>
        <w:gridCol w:w="214"/>
        <w:gridCol w:w="214"/>
        <w:gridCol w:w="415"/>
        <w:gridCol w:w="711"/>
        <w:gridCol w:w="214"/>
        <w:gridCol w:w="109"/>
        <w:gridCol w:w="109"/>
        <w:gridCol w:w="109"/>
        <w:gridCol w:w="356"/>
        <w:gridCol w:w="609"/>
        <w:gridCol w:w="183"/>
        <w:gridCol w:w="183"/>
        <w:gridCol w:w="183"/>
        <w:gridCol w:w="183"/>
        <w:gridCol w:w="356"/>
        <w:gridCol w:w="609"/>
        <w:gridCol w:w="259"/>
      </w:tblGrid>
      <w:tr>
        <w:trPr/>
        <w:tc>
          <w:tcPr>
            <w:tcW w:w="106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Non-GAAP free cash flow to Net cash provided by operating activities, the most directly comparable GAAP cash flow measure:</w:t>
      </w:r>
    </w:p>
    <w:p>
      <w:pPr>
        <w:pStyle w:val="TextBody"/>
        <w:bidi w:val="0"/>
        <w:spacing w:before="0" w:after="0"/>
        <w:jc w:val="center"/>
        <w:rPr/>
      </w:pPr>
      <w:r>
        <w:rPr/>
      </w:r>
    </w:p>
    <w:tbl>
      <w:tblPr>
        <w:tblW w:w="9829" w:type="dxa"/>
        <w:jc w:val="center"/>
        <w:tblInd w:w="0" w:type="dxa"/>
        <w:tblLayout w:type="fixed"/>
        <w:tblCellMar>
          <w:top w:w="28" w:type="dxa"/>
          <w:left w:w="28" w:type="dxa"/>
          <w:bottom w:w="28" w:type="dxa"/>
          <w:right w:w="28" w:type="dxa"/>
        </w:tblCellMar>
      </w:tblPr>
      <w:tblGrid>
        <w:gridCol w:w="1255"/>
        <w:gridCol w:w="1100"/>
        <w:gridCol w:w="1110"/>
        <w:gridCol w:w="367"/>
        <w:gridCol w:w="810"/>
        <w:gridCol w:w="189"/>
        <w:gridCol w:w="189"/>
        <w:gridCol w:w="189"/>
        <w:gridCol w:w="189"/>
        <w:gridCol w:w="367"/>
        <w:gridCol w:w="628"/>
        <w:gridCol w:w="189"/>
        <w:gridCol w:w="109"/>
        <w:gridCol w:w="109"/>
        <w:gridCol w:w="109"/>
        <w:gridCol w:w="305"/>
        <w:gridCol w:w="675"/>
        <w:gridCol w:w="157"/>
        <w:gridCol w:w="157"/>
        <w:gridCol w:w="157"/>
        <w:gridCol w:w="157"/>
        <w:gridCol w:w="305"/>
        <w:gridCol w:w="784"/>
        <w:gridCol w:w="223"/>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for:</w:t>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intangible assets</w:t>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intangible asset obligations</w:t>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free cash flow</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8110"/>
                <wp:effectExtent l="0" t="0" r="0" b="0"/>
                <wp:wrapNone/>
                <wp:docPr id="38" name="Frame2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24</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This shareholder letter contains forward-looking statements that reflect our plans, beliefs, expectations and current views with respect to, among other things, future events and financial performance. Our actual results could differ materially from the forward-looking statements included herein. Statements regarding our future and projections relating to revenue, cost of sales expenses, costs, income (loss), and potential growth opportunities are typical of such statements. Factors that could cause or contribute to such differences include, but are not limited to, those discussed in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IPO Prospectus.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contains forward-looking statements within the meaning of Section 27A of the Securities Act of 1933, as amended, and Section 21E of the Securities Exchange Act of 1934, as amended, relating to our operations, results of operations and other matters that are based on our current expectations, estimates, assumptions and projections. Forward-looking statements are based on our management’s beliefs and assumptions and on information currently available to our management. In some cases, you can identify forward-looking statements by the words “may,” “might,” “will,” “could,” “would,” “should,” “expect,” “is/are likely to,” “intend,” “plan,” “objective,” “anticipate,” “believe,” “estimate,” “predict,” “potential,” “target,” “continue” and “ongoing,” or the negative of these terms or other comparable terminology intended to identify statements about the future. The forward-looking statements and opinions are based upon current expectations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important factors that may cause our actual results, levels of activity, performance or achievements to be materially different from the information expressed or implied by these forward-looking statements. We caution that you should not place undue reliance on any of our forward-looking statements. We undertake no obligation to update forward-looking statements to reflect developments or information obtained after the date hereof and disclaim any obligation to do so except as required by applicable laws.</w:t>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8110"/>
                <wp:effectExtent l="0" t="0" r="0" b="0"/>
                <wp:wrapNone/>
                <wp:docPr id="39" name="Frame2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Page 25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9382</Words>
  <Characters>52037</Characters>
  <CharactersWithSpaces>60692</CharactersWithSpaces>
  <Paragraphs>1875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