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9" w:lineRule="exact"/>
        <w:rPr>
          <w:sz w:val="24"/>
          <w:szCs w:val="24"/>
          <w:color w:val="auto"/>
        </w:rPr>
      </w:pPr>
    </w:p>
    <w:p>
      <w:pPr>
        <w:jc w:val="center"/>
        <w:ind w:right="460"/>
        <w:spacing w:after="0" w:line="239"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5180"/>
        <w:spacing w:after="0" w:line="210" w:lineRule="auto"/>
        <w:rPr>
          <w:sz w:val="20"/>
          <w:szCs w:val="20"/>
          <w:color w:val="auto"/>
        </w:rPr>
      </w:pPr>
      <w:r>
        <w:rPr>
          <w:rFonts w:ascii="Times New Roman" w:cs="Times New Roman" w:eastAsia="Times New Roman" w:hAnsi="Times New Roman"/>
          <w:sz w:val="18"/>
          <w:szCs w:val="18"/>
          <w:b w:val="1"/>
          <w:bCs w:val="1"/>
          <w:color w:val="auto"/>
        </w:rPr>
        <w:t>Cambridge</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Press Release dated </w:t>
            </w:r>
            <w:r>
              <w:rPr>
                <w:rFonts w:ascii="Times New Roman" w:cs="Times New Roman" w:eastAsia="Times New Roman" w:hAnsi="Times New Roman"/>
                <w:sz w:val="18"/>
                <w:szCs w:val="18"/>
                <w:color w:val="000000"/>
              </w:rPr>
              <w:t>February 5, 2025</w:t>
            </w:r>
          </w:p>
        </w:tc>
      </w:tr>
      <w:tr>
        <w:trPr>
          <w:trHeight w:val="20"/>
        </w:trPr>
        <w:tc>
          <w:tcPr>
            <w:tcW w:w="22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1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Shareholder Letter dated </w:t>
            </w:r>
            <w:r>
              <w:rPr>
                <w:rFonts w:ascii="Times New Roman" w:cs="Times New Roman" w:eastAsia="Times New Roman" w:hAnsi="Times New Roman"/>
                <w:sz w:val="18"/>
                <w:szCs w:val="18"/>
                <w:color w:val="000000"/>
              </w:rPr>
              <w:t>February 5, 2025</w:t>
            </w:r>
          </w:p>
        </w:tc>
      </w:tr>
      <w:tr>
        <w:trPr>
          <w:trHeight w:val="1040"/>
        </w:trPr>
        <w:tc>
          <w:tcPr>
            <w:tcW w:w="2260" w:type="dxa"/>
            <w:vAlign w:val="bottom"/>
            <w:tcBorders>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440" w:type="dxa"/>
            <w:vAlign w:val="bottom"/>
          </w:tcPr>
          <w:p>
            <w:pPr>
              <w:spacing w:after="0"/>
              <w:rPr>
                <w:sz w:val="21"/>
                <w:szCs w:val="21"/>
                <w:color w:val="auto"/>
              </w:rPr>
            </w:pP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440" w:type="dxa"/>
            <w:vAlign w:val="bottom"/>
          </w:tcPr>
          <w:p>
            <w:pPr>
              <w:spacing w:after="0"/>
              <w:rPr>
                <w:sz w:val="16"/>
                <w:szCs w:val="16"/>
                <w:color w:val="auto"/>
              </w:rPr>
            </w:pPr>
          </w:p>
        </w:tc>
        <w:tc>
          <w:tcPr>
            <w:tcW w:w="2540" w:type="dxa"/>
            <w:vAlign w:val="bottom"/>
          </w:tcPr>
          <w:p>
            <w:pPr>
              <w:ind w:left="176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Arm Holdings plc Reports Results for the Third Quarter of the Fiscal Year Ended 2025</w:t>
      </w:r>
    </w:p>
    <w:p>
      <w:pPr>
        <w:spacing w:after="0" w:line="25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Cambridge, England, Feb. 5, 2025: </w:t>
      </w:r>
      <w:r>
        <w:rPr>
          <w:rFonts w:ascii="Times New Roman" w:cs="Times New Roman" w:eastAsia="Times New Roman" w:hAnsi="Times New Roman"/>
          <w:sz w:val="22"/>
          <w:szCs w:val="22"/>
          <w:color w:val="auto"/>
        </w:rPr>
        <w:t>Arm Holdings plc (NASDAQ: ARM), the company that is building the future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computing, has today published a letter to its shareholders containing the company’s results for its fiscal third quarter for FYE25, which ended Dec. 31, 2024. The letter is available on its investor relations website (https://investors.arm.com/financials/quarterly-annual-results). The shareholder letter will also be furnished to the Securities and Exchange Commission (SEC) on a Form 6-K and will be available on the SEC website at http://www.sec.gov.</w:t>
      </w:r>
    </w:p>
    <w:p>
      <w:pPr>
        <w:spacing w:after="0" w:line="20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Arm will host an audio webcast to discuss its results at 14:00 PT / 17:00 ET / 22:00 GMT today, Feb. 5. The live webcast will be available at https://edge.media-server.com/mmc/p/z9eimkvh/ and a replay will be at https://investors.arm.com/financials/quarterly-annual-results.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Arm</w:t>
      </w:r>
    </w:p>
    <w:p>
      <w:pPr>
        <w:spacing w:after="0" w:line="18"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1"/>
          <w:szCs w:val="21"/>
          <w:color w:val="auto"/>
        </w:rPr>
        <w:t>Arm is the industry’s highest-performing and most power-efficient compute platform with unmatched scale that touches 100 percent of the connected global population. To meet the insatiable demand for compute, Arm is delivering advanced solutions that allow the world’s leading technology companies to unleash the unprecedented experiences and capabilities of AI. Together with the world’s largest computing ecosystem and 20 million software developers, we are building the future of AI on Arm.</w:t>
      </w:r>
    </w:p>
    <w:p>
      <w:pPr>
        <w:spacing w:after="0" w:line="204"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22"/>
          <w:szCs w:val="22"/>
          <w:color w:val="auto"/>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1995-2025 Arm Limited.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Media</w:t>
      </w:r>
    </w:p>
    <w:p>
      <w:pPr>
        <w:spacing w:after="0" w:line="218" w:lineRule="auto"/>
        <w:rPr>
          <w:sz w:val="20"/>
          <w:szCs w:val="20"/>
          <w:color w:val="auto"/>
        </w:rPr>
      </w:pPr>
      <w:r>
        <w:rPr>
          <w:rFonts w:ascii="Times New Roman" w:cs="Times New Roman" w:eastAsia="Times New Roman" w:hAnsi="Times New Roman"/>
          <w:sz w:val="22"/>
          <w:szCs w:val="22"/>
          <w:color w:val="auto"/>
        </w:rPr>
        <w:t>Kristen Ray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Kristen.Ray@arm.com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Investors</w:t>
      </w:r>
    </w:p>
    <w:p>
      <w:pPr>
        <w:spacing w:after="0" w:line="223" w:lineRule="auto"/>
        <w:rPr>
          <w:sz w:val="20"/>
          <w:szCs w:val="20"/>
          <w:color w:val="auto"/>
        </w:rPr>
      </w:pPr>
      <w:r>
        <w:rPr>
          <w:rFonts w:ascii="Times New Roman" w:cs="Times New Roman" w:eastAsia="Times New Roman" w:hAnsi="Times New Roman"/>
          <w:sz w:val="22"/>
          <w:szCs w:val="22"/>
          <w:color w:val="auto"/>
        </w:rPr>
        <w:t>Arm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Investor.Relations@arm.com</w:t>
      </w:r>
    </w:p>
    <w:p>
      <w:pPr>
        <w:sectPr>
          <w:pgSz w:w="11900" w:h="16838" w:orient="portrait"/>
          <w:cols w:equalWidth="0" w:num="1">
            <w:col w:w="11180"/>
          </w:cols>
          <w:pgMar w:left="320" w:top="140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657850" cy="7320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0139"/>
          </w:cols>
          <w:pgMar w:left="320" w:top="927" w:right="1440" w:bottom="1440" w:gutter="0" w:footer="0" w:header="0"/>
          <w:type w:val="continuous"/>
        </w:sectPr>
      </w:pPr>
    </w:p>
    <w:bookmarkStart w:id="4" w:name="page5"/>
    <w:bookmarkEnd w:id="4"/>
    <w:p>
      <w:pPr>
        <w:ind w:left="40" w:right="120"/>
        <w:spacing w:after="0" w:line="27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08088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0885" cy="471805"/>
                    </a:xfrm>
                    <a:prstGeom prst="rect">
                      <a:avLst/>
                    </a:prstGeom>
                    <a:noFill/>
                  </pic:spPr>
                </pic:pic>
              </a:graphicData>
            </a:graphic>
          </wp:anchor>
        </w:drawing>
        <w:t>Arm will be hosting a conference call via an audio webcast to discuss earnings at 14:00 Pacific Time (17:00 Eastern Time, 22:00 GMT) on Wednesday, February 5, 2025. A replay of and a transcript of the call will be available the following day.</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webcast and replay can be accessed at: https://edge.media-server.com/mmc/p/z9eimkvh</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4FF"/>
        </w:rPr>
        <w:t>Dear Shareholder,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AI demand continues to drive strong momentum for the Arm ecosystem, which is built on the world's most pervasive compute platform. We are pleased to report record total revenue and record royalty revenue for the third quarter of fiscal 2025. Drivers of our record revenue include the adoption and deployment of our latest high performance Armv9 architecture, early Compute Subsystems (CSS) shipments, IoT royalty improvement, and our partners' latest custom silicon data center projects. Licensing demand remains strong as our partners make long-term commitments to more, and more powerful, energy-efficient Arm technology, including AI training and inferencing.</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has translated to an excellent financial performance for the quarter. Q3 revenue was an all-time high and exceeded the high end of our guidance range on record royalty revenue and better-than-expected licensing revenue. Our continued revenue strength has allowed us to accelerate the development of future technologies with a record level of R&amp;D investment while also delivering non-GAAP EPS above the high end of our guidance. These healthy financial results stem from our strategy to invest relentlessly in our leading technologies for long-term growth across multiple end-market opportunities.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AI growth from the edge to the cloud is creating demand for more energy-efficient compute. </w:t>
      </w:r>
      <w:r>
        <w:rPr>
          <w:rFonts w:ascii="Times New Roman" w:cs="Times New Roman" w:eastAsia="Times New Roman" w:hAnsi="Times New Roman"/>
          <w:sz w:val="18"/>
          <w:szCs w:val="18"/>
          <w:color w:val="auto"/>
        </w:rPr>
        <w:t>New AI hardware, the rise of AI agents,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emergence of smaller, lighter language models are unlocking edge AI use-cases in smartphones, PCs, consumer electronics, automotive and industrial devices that are often distant from the cloud and untethered from the power grid. More on-device processing on the Armv9 architecture allows a far faster user experience, improved user privacy, and fewer energy-intensive interactions with the cloud. The recently announced Arm-based Samsung Galaxy S25 brings context-aware multimodal AI agents, which combine voice video, and text input to manage tasks without switching apps, to a mobile device for the first time.</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AI-led cloud demand continues to increase led by large-scale AI training and inference. In January, we joined the Stargate Project. As a key technology partner alongside Microsoft, NVIDIA, Oracle, and OpenAI, Arm’s technologies are set to play a critical role in one of the largest AI infrastructure investments to date. The Stargate Project intends to spend $500 billion over the next four years building cloud AI infrastructure for OpenAI in the United States.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announced a strategic partnership with OpenAI and SoftBank Group called Cristal intelligence. The partnership is set to enable AI agents that solve increasingly complex problems for knowledge work and strengthen Arm’s role in the evolving AI ecosystem. The Arm compute platform, powered by Kleidi AI software libraries for compute acceleration, delivers the performance, scalability, and energy efficiency needed to meet the growing computational demands of AI agents from edge to cloud.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CES, NVIDIA announced Project DIGITS, which combines the Arm-based Grace CPU and the Blackwell GPU into the GB10 Superchip that powers the world's smallest AI supercomputer. The Grace CPU is based on Arm CSS for Client and includes 20 power-efficient Arm Cortex-X925 and Cortex-A725 CPU cores. With Project DIGITS, developers, data scientists, and AI researchers will be more easily able to build inference models before deploying them into the cloud. These announcements further cement Arm's position at the very center of the AI ecosystem.</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Increasing chip complexity and demand for custom silicon are driving royalty revenue growth. </w:t>
      </w:r>
      <w:r>
        <w:rPr>
          <w:rFonts w:ascii="Times New Roman" w:cs="Times New Roman" w:eastAsia="Times New Roman" w:hAnsi="Times New Roman"/>
          <w:sz w:val="18"/>
          <w:szCs w:val="18"/>
          <w:color w:val="auto"/>
        </w:rPr>
        <w:t>AI-enabled devices require significantly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compute performance yet also energy efficiency and rapid time-to-market. Arm compute platforms enable more complex AI chips developed on faster cadences across smartphones, cloud servers, edge IoT, automotive, and networking devices. Companies are building sophisticated edge devices based on Arm CPU, GPU, and NPU technologies.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Rising chip complexity is also leading partners to customize silicon to their specific workload requirements on the latest Armv9 and CSS technologies. AWS, Google, Microsoft and others are optimizing Arm-based chips for the data center to run AI and general-purpose compute workloads. AWS recently announced more than 50% of new CPU capacity installed over the past two years was on Graviton. Over 90% of AWS’s top 1000 EC2 customers use Graviton.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242" w:right="339" w:bottom="1440" w:gutter="0" w:footer="0" w:header="0"/>
        </w:sectPr>
      </w:pPr>
    </w:p>
    <w:bookmarkStart w:id="5" w:name="page6"/>
    <w:bookmarkEnd w:id="5"/>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Compute Subsystems are reducing customers’ time-to-market and development costs. </w:t>
      </w:r>
      <w:r>
        <w:rPr>
          <w:rFonts w:ascii="Times New Roman" w:cs="Times New Roman" w:eastAsia="Times New Roman" w:hAnsi="Times New Roman"/>
          <w:sz w:val="18"/>
          <w:szCs w:val="18"/>
          <w:color w:val="auto"/>
        </w:rPr>
        <w:t>Arm CSS is now shipping in volume and driving our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 revenue in the mobile and cloud markets. The rising complexity of today's leading-edge chips is increasing chip investment requirement and production time. Arm CSS, which are pre-integrated and pre-verified configurations of Arm technology, deliver significantly higher value to partners by reducing development costs and time-to-market. Partner demand for Arm CSS has been stronger than initially anticipated. CSS is now materially contributing to our overall royalty growth and we expect Arm CSS to become the product of choice for many of our partners to license for future chip designs.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Consumers and enterprises are now adopting products based on Arm CSS. New flagship smartphones from Oppo and Vivo take advantage of MediaTek's new Dimensity 9400 system-on-chip ("SoC"). This SoC is based on our CSS for Client, which includes the Arm Cortex-X925 CPU and the Immortalis-G925 GPU. It boasts a nearly 50% improvement in time-to-first-token and a nearly 40% improvement in AI/ML performance compared to its predecessor. The Microsoft Azure Cobalt 100 for data centers is based on Arm Neoverse CSS, offers a 50% better price performance ratio than prior generations, and is now running both internal workloads, including Microsoft Teams, and external workloads from partner companies.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Arm has an unprecedented ecosystem of software and design partners. </w:t>
      </w:r>
      <w:r>
        <w:rPr>
          <w:rFonts w:ascii="Times New Roman" w:cs="Times New Roman" w:eastAsia="Times New Roman" w:hAnsi="Times New Roman"/>
          <w:sz w:val="18"/>
          <w:szCs w:val="18"/>
          <w:color w:val="auto"/>
        </w:rPr>
        <w:t>Arm's ecosystem of more than 20 million software developers is the largest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compute ecosystem in the world. We continue to increase investment in our ecosystem, which serves as a virtuous cycle by attracting more software developers and driving more demand for Arm's compute platform. During the quarter, Arm and Meta announced the integration of ExecuTorch, which is a PyTorch framework optimized for Arm’s energy-efficient architecture to accelerate AI inference at the edge to meet the growing demand for on-device intelligence.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ecosystem growth includes significant momentum in the automotive industry. A focal point at CES was NVIDIA's DRIVE AGX Thor, which now allows software engineers to develop applications in the cloud and run them in the car on the same Arm Neoverse platform. This will save manufacturers time and expense and further enhances the usability and stickiness of the Arm ecosystem. All major global automakers, including BMW, Honda, Rivian, Nuro, and Mercedes, rely on Arm’s energy efficient and safe platform to power automated driving, parking, advanced autonomous capabilities and also feature-rich cockpit experiences in their latest vehicles.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 will be embedded everywhere. It is driving growth across our entire ecosystem. Partners require more compute for the AI models of today and tomorrow within the most energy-efficient solutions possible, which are often custom Arm-based designs. Robust demand for these increasingly complex chips is driving partners to reduce development times using Arm compute platforms. We expect Arm’s solutions to these challenges from the edge to the cloud and from CPU to GPU to power growth in the world’s most popular compute ecosystem for decades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08088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885" cy="617220"/>
                    </a:xfrm>
                    <a:prstGeom prst="rect">
                      <a:avLst/>
                    </a:prstGeom>
                    <a:noFill/>
                  </pic:spPr>
                </pic:pic>
              </a:graphicData>
            </a:graphic>
          </wp:anchor>
        </w:drawing>
      </w:r>
    </w:p>
    <w:p>
      <w:pPr>
        <w:spacing w:after="0" w:line="254" w:lineRule="exact"/>
        <w:rPr>
          <w:sz w:val="20"/>
          <w:szCs w:val="20"/>
          <w:color w:val="auto"/>
        </w:rPr>
      </w:pPr>
    </w:p>
    <w:p>
      <w:pPr>
        <w:jc w:val="both"/>
        <w:ind w:left="40" w:right="120"/>
        <w:spacing w:after="0" w:line="266" w:lineRule="auto"/>
        <w:rPr>
          <w:sz w:val="20"/>
          <w:szCs w:val="20"/>
          <w:color w:val="auto"/>
        </w:rPr>
      </w:pPr>
      <w:r>
        <w:rPr>
          <w:rFonts w:ascii="Times New Roman" w:cs="Times New Roman" w:eastAsia="Times New Roman" w:hAnsi="Times New Roman"/>
          <w:sz w:val="18"/>
          <w:szCs w:val="18"/>
          <w:color w:val="auto"/>
        </w:rPr>
        <w:t>"Arm delivered record third quarter revenue driven by continued strong adoption of Armv9 and CSS compute platforms," said Rene Haas, CEO. "With our high-performance, energy efficient, flexible technology, Arm is a key enabler in advancing AI innovation and transforming the user experience, from the edge to the cloud."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Sincerely,</w:t>
      </w:r>
    </w:p>
    <w:p>
      <w:pPr>
        <w:sectPr>
          <w:pgSz w:w="11900" w:h="16838" w:orient="portrait"/>
          <w:cols w:equalWidth="0" w:num="1">
            <w:col w:w="11240"/>
          </w:cols>
          <w:pgMar w:left="320" w:top="1170" w:right="339" w:bottom="1440" w:gutter="0" w:footer="0" w:header="0"/>
        </w:sect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Rene Haas,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8"/>
          <w:szCs w:val="18"/>
          <w:color w:val="231F20"/>
        </w:rPr>
        <w:t>Jason Child,</w:t>
      </w:r>
    </w:p>
    <w:p>
      <w:pPr>
        <w:spacing w:after="0" w:line="63" w:lineRule="exact"/>
        <w:rPr>
          <w:sz w:val="20"/>
          <w:szCs w:val="20"/>
          <w:color w:val="auto"/>
        </w:rPr>
      </w:pPr>
    </w:p>
    <w:p>
      <w:pPr>
        <w:sectPr>
          <w:pgSz w:w="11900" w:h="16838" w:orient="portrait"/>
          <w:cols w:equalWidth="0" w:num="2">
            <w:col w:w="4940" w:space="720"/>
            <w:col w:w="5580"/>
          </w:cols>
          <w:pgMar w:left="320" w:top="117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Chief Executive Officer</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Times New Roman" w:cs="Times New Roman" w:eastAsia="Times New Roman" w:hAnsi="Times New Roman"/>
          <w:sz w:val="17"/>
          <w:szCs w:val="17"/>
          <w:color w:val="231F20"/>
        </w:rPr>
        <w:t>Chief Financial Officer</w:t>
      </w:r>
    </w:p>
    <w:p>
      <w:pPr>
        <w:spacing w:after="0" w:line="124" w:lineRule="exact"/>
        <w:rPr>
          <w:sz w:val="20"/>
          <w:szCs w:val="20"/>
          <w:color w:val="auto"/>
        </w:rPr>
      </w:pPr>
    </w:p>
    <w:p>
      <w:pPr>
        <w:sectPr>
          <w:pgSz w:w="11900" w:h="16838" w:orient="portrait"/>
          <w:cols w:equalWidth="0" w:num="2">
            <w:col w:w="4940" w:space="720"/>
            <w:col w:w="5580"/>
          </w:cols>
          <w:pgMar w:left="320" w:top="117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0091BD"/>
        </w:rPr>
        <w:t>Investor Contact</w:t>
      </w:r>
    </w:p>
    <w:p>
      <w:pPr>
        <w:spacing w:after="0" w:line="20" w:lineRule="exact"/>
        <w:rPr>
          <w:sz w:val="20"/>
          <w:szCs w:val="20"/>
          <w:color w:val="auto"/>
        </w:rPr>
      </w:pPr>
      <w:r>
        <w:rPr>
          <w:sz w:val="20"/>
          <w:szCs w:val="20"/>
          <w:color w:val="auto"/>
        </w:rPr>
        <w:br w:type="column"/>
      </w:r>
    </w:p>
    <w:p>
      <w:pPr>
        <w:jc w:val="center"/>
        <w:ind w:right="4420"/>
        <w:spacing w:after="0"/>
        <w:rPr>
          <w:sz w:val="20"/>
          <w:szCs w:val="20"/>
          <w:color w:val="auto"/>
        </w:rPr>
      </w:pPr>
      <w:r>
        <w:rPr>
          <w:rFonts w:ascii="Times New Roman" w:cs="Times New Roman" w:eastAsia="Times New Roman" w:hAnsi="Times New Roman"/>
          <w:sz w:val="18"/>
          <w:szCs w:val="18"/>
          <w:b w:val="1"/>
          <w:bCs w:val="1"/>
          <w:color w:val="0091BD"/>
        </w:rPr>
        <w:t>Media Contact</w:t>
      </w:r>
    </w:p>
    <w:p>
      <w:pPr>
        <w:spacing w:after="0" w:line="67" w:lineRule="exact"/>
        <w:rPr>
          <w:sz w:val="20"/>
          <w:szCs w:val="20"/>
          <w:color w:val="auto"/>
        </w:rPr>
      </w:pPr>
    </w:p>
    <w:p>
      <w:pPr>
        <w:sectPr>
          <w:pgSz w:w="11900" w:h="16838" w:orient="portrait"/>
          <w:cols w:equalWidth="0" w:num="2">
            <w:col w:w="4940" w:space="720"/>
            <w:col w:w="5580"/>
          </w:cols>
          <w:pgMar w:left="320" w:top="117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Investor.Relations@arm.com</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Times New Roman" w:cs="Times New Roman" w:eastAsia="Times New Roman" w:hAnsi="Times New Roman"/>
          <w:sz w:val="17"/>
          <w:szCs w:val="17"/>
          <w:color w:val="231F20"/>
        </w:rPr>
        <w:t>Global-PRteam@arm.com</w:t>
      </w:r>
    </w:p>
    <w:p>
      <w:pPr>
        <w:spacing w:after="0" w:line="211" w:lineRule="exact"/>
        <w:rPr>
          <w:sz w:val="20"/>
          <w:szCs w:val="20"/>
          <w:color w:val="auto"/>
        </w:rPr>
      </w:pPr>
    </w:p>
    <w:p>
      <w:pPr>
        <w:sectPr>
          <w:pgSz w:w="11900" w:h="16838" w:orient="portrait"/>
          <w:cols w:equalWidth="0" w:num="2">
            <w:col w:w="4940" w:space="720"/>
            <w:col w:w="5580"/>
          </w:cols>
          <w:pgMar w:left="320" w:top="11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17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0091BD"/>
        </w:rPr>
        <w:t>Q3 FYE25 Financial Overview</w:t>
      </w:r>
    </w:p>
    <w:p>
      <w:pPr>
        <w:spacing w:after="0" w:line="256" w:lineRule="exact"/>
        <w:rPr>
          <w:sz w:val="20"/>
          <w:szCs w:val="20"/>
          <w:color w:val="auto"/>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Arm's Q3 results demonstrated strong year-over-year revenue growth. Total revenue rose 19% year-over-year to a record $983 million on record royalty revenue and continued strength in license revenue.</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Royalty revenue rose 23% year-over-year to </w:t>
      </w:r>
      <w:r>
        <w:rPr>
          <w:rFonts w:ascii="Times New Roman" w:cs="Times New Roman" w:eastAsia="Times New Roman" w:hAnsi="Times New Roman"/>
          <w:sz w:val="18"/>
          <w:szCs w:val="18"/>
          <w:color w:val="231F20"/>
        </w:rPr>
        <w:t>$580 million, driven primarily</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8"/>
          <w:szCs w:val="18"/>
          <w:color w:val="231F20"/>
        </w:rPr>
        <w:t>c</w:t>
      </w:r>
      <w:r>
        <w:rPr>
          <w:rFonts w:ascii="Times New Roman" w:cs="Times New Roman" w:eastAsia="Times New Roman" w:hAnsi="Times New Roman"/>
          <w:sz w:val="18"/>
          <w:szCs w:val="18"/>
          <w:color w:val="auto"/>
        </w:rPr>
        <w:t>ontinued adoption of the Armv9 architecture, the ramp of chips based on Arm CSS, IoT improvement, and increased usage of Arm-based chips in data centers.</w:t>
      </w:r>
    </w:p>
    <w:p>
      <w:pPr>
        <w:spacing w:after="0" w:line="188"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License and other revenue </w:t>
      </w:r>
      <w:r>
        <w:rPr>
          <w:rFonts w:ascii="Times New Roman" w:cs="Times New Roman" w:eastAsia="Times New Roman" w:hAnsi="Times New Roman"/>
          <w:sz w:val="18"/>
          <w:szCs w:val="18"/>
          <w:color w:val="000000"/>
        </w:rPr>
        <w:t>rose</w:t>
      </w:r>
      <w:r>
        <w:rPr>
          <w:rFonts w:ascii="Times New Roman" w:cs="Times New Roman" w:eastAsia="Times New Roman" w:hAnsi="Times New Roman"/>
          <w:sz w:val="18"/>
          <w:szCs w:val="18"/>
          <w:color w:val="231F20"/>
        </w:rPr>
        <w:t xml:space="preserve"> 14% year-over-year to </w:t>
      </w:r>
      <w:r>
        <w:rPr>
          <w:rFonts w:ascii="Times New Roman" w:cs="Times New Roman" w:eastAsia="Times New Roman" w:hAnsi="Times New Roman"/>
          <w:sz w:val="18"/>
          <w:szCs w:val="18"/>
          <w:color w:val="000000"/>
        </w:rPr>
        <w:t>$403 million d</w:t>
      </w:r>
      <w:r>
        <w:rPr>
          <w:rFonts w:ascii="Times New Roman" w:cs="Times New Roman" w:eastAsia="Times New Roman" w:hAnsi="Times New Roman"/>
          <w:sz w:val="18"/>
          <w:szCs w:val="18"/>
          <w:color w:val="231F20"/>
        </w:rPr>
        <w:t>ue to normal fluctuations in the timing and size of multiple high-value license agreements and contributions from backlog.</w:t>
      </w:r>
    </w:p>
    <w:p>
      <w:pPr>
        <w:spacing w:after="0" w:line="188" w:lineRule="exact"/>
        <w:rPr>
          <w:rFonts w:ascii="Times New Roman" w:cs="Times New Roman" w:eastAsia="Times New Roman" w:hAnsi="Times New Roman"/>
          <w:sz w:val="18"/>
          <w:szCs w:val="18"/>
          <w:color w:val="231F20"/>
        </w:rPr>
      </w:pPr>
    </w:p>
    <w:p>
      <w:pPr>
        <w:jc w:val="both"/>
        <w:ind w:left="340" w:hanging="332"/>
        <w:spacing w:after="0" w:line="266"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Annualized contract value (ACV), a metric for normalized license and other revenue, grew 9% year-over-year to $1,270 million. Remaining performance obligations (RPO) declined (3)% quarter-over-quarter to $2,325 million. </w:t>
      </w:r>
      <w:r>
        <w:rPr>
          <w:rFonts w:ascii="Times New Roman" w:cs="Times New Roman" w:eastAsia="Times New Roman" w:hAnsi="Times New Roman"/>
          <w:sz w:val="18"/>
          <w:szCs w:val="18"/>
          <w:color w:val="231F20"/>
        </w:rPr>
        <w:t>The Company expects to recognize approximately 28%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remaining performance obligations as revenue over the next 12 months, 17% over the subsequent 13-to 24-month period, and the remainder thereafter.</w:t>
      </w:r>
    </w:p>
    <w:p>
      <w:pPr>
        <w:spacing w:after="0" w:line="202"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During the quarter, Arm signed one additional Arm Total Access agreement, which increased the total number of extant licenses to 40, including more than half of our top 30 customers. The Arm Flexible Access program now has 295 customers.</w:t>
      </w:r>
    </w:p>
    <w:p>
      <w:pPr>
        <w:spacing w:after="0" w:line="188"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GAAP gross profit was $955 million in Q3. Non-GAAP gross profit was $964 million, which equates to a non-GAAP gross margin of 98.1%.</w:t>
      </w:r>
    </w:p>
    <w:p>
      <w:pPr>
        <w:spacing w:after="0" w:line="252"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expenses were $780 million. </w:t>
      </w:r>
      <w:r>
        <w:rPr>
          <w:rFonts w:ascii="Times New Roman" w:cs="Times New Roman" w:eastAsia="Times New Roman" w:hAnsi="Times New Roman"/>
          <w:sz w:val="18"/>
          <w:szCs w:val="18"/>
          <w:color w:val="000000"/>
        </w:rPr>
        <w:t>Non-GAAP operating expenses of</w:t>
      </w:r>
      <w:r>
        <w:rPr>
          <w:rFonts w:ascii="Times New Roman" w:cs="Times New Roman" w:eastAsia="Times New Roman" w:hAnsi="Times New Roman"/>
          <w:sz w:val="18"/>
          <w:szCs w:val="18"/>
          <w:color w:val="231F20"/>
        </w:rPr>
        <w:t xml:space="preserve"> $522 million </w:t>
      </w:r>
      <w:r>
        <w:rPr>
          <w:rFonts w:ascii="Times New Roman" w:cs="Times New Roman" w:eastAsia="Times New Roman" w:hAnsi="Times New Roman"/>
          <w:sz w:val="18"/>
          <w:szCs w:val="18"/>
          <w:color w:val="000000"/>
        </w:rPr>
        <w:t>rose 19%</w:t>
      </w:r>
      <w:r>
        <w:rPr>
          <w:rFonts w:ascii="Times New Roman" w:cs="Times New Roman" w:eastAsia="Times New Roman" w:hAnsi="Times New Roman"/>
          <w:sz w:val="18"/>
          <w:szCs w:val="18"/>
          <w:color w:val="231F20"/>
        </w:rPr>
        <w:t xml:space="preserve"> year-over-year, driven primarily by a 19% year-over-year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in engineering headcount.</w:t>
      </w:r>
    </w:p>
    <w:p>
      <w:pPr>
        <w:spacing w:after="0" w:line="188"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income was $175 million. </w:t>
      </w:r>
      <w:r>
        <w:rPr>
          <w:rFonts w:ascii="Times New Roman" w:cs="Times New Roman" w:eastAsia="Times New Roman" w:hAnsi="Times New Roman"/>
          <w:sz w:val="18"/>
          <w:szCs w:val="18"/>
          <w:color w:val="000000"/>
        </w:rPr>
        <w:t>Non-GAAP operating income was $442 million. Non-GAAP operating margin increased to</w:t>
      </w:r>
      <w:r>
        <w:rPr>
          <w:rFonts w:ascii="Times New Roman" w:cs="Times New Roman" w:eastAsia="Times New Roman" w:hAnsi="Times New Roman"/>
          <w:sz w:val="18"/>
          <w:szCs w:val="18"/>
          <w:color w:val="231F20"/>
        </w:rPr>
        <w:t xml:space="preserve"> 45.0%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43.8% in the prior year period.</w:t>
      </w:r>
    </w:p>
    <w:p>
      <w:pPr>
        <w:spacing w:after="0" w:line="188" w:lineRule="exact"/>
        <w:rPr>
          <w:rFonts w:ascii="Times New Roman" w:cs="Times New Roman" w:eastAsia="Times New Roman" w:hAnsi="Times New Roman"/>
          <w:sz w:val="18"/>
          <w:szCs w:val="18"/>
          <w:color w:val="231F20"/>
        </w:rPr>
      </w:pPr>
    </w:p>
    <w:p>
      <w:pPr>
        <w:jc w:val="both"/>
        <w:ind w:left="340" w:hanging="332"/>
        <w:spacing w:after="0" w:line="266"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GAAP effective tax rate expense was </w:t>
      </w:r>
      <w:r>
        <w:rPr>
          <w:rFonts w:ascii="Times New Roman" w:cs="Times New Roman" w:eastAsia="Times New Roman" w:hAnsi="Times New Roman"/>
          <w:sz w:val="18"/>
          <w:szCs w:val="18"/>
          <w:color w:val="000000"/>
        </w:rPr>
        <w:t>6.0%.</w:t>
      </w:r>
      <w:r>
        <w:rPr>
          <w:rFonts w:ascii="Times New Roman" w:cs="Times New Roman" w:eastAsia="Times New Roman" w:hAnsi="Times New Roman"/>
          <w:sz w:val="18"/>
          <w:szCs w:val="18"/>
          <w:color w:val="231F20"/>
        </w:rPr>
        <w:t xml:space="preserve"> GAAP net income was $252 million, and </w:t>
      </w:r>
      <w:r>
        <w:rPr>
          <w:rFonts w:ascii="Times New Roman" w:cs="Times New Roman" w:eastAsia="Times New Roman" w:hAnsi="Times New Roman"/>
          <w:sz w:val="18"/>
          <w:szCs w:val="18"/>
          <w:color w:val="000000"/>
        </w:rPr>
        <w:t>GAAP</w:t>
      </w:r>
      <w:r>
        <w:rPr>
          <w:rFonts w:ascii="Times New Roman" w:cs="Times New Roman" w:eastAsia="Times New Roman" w:hAnsi="Times New Roman"/>
          <w:sz w:val="18"/>
          <w:szCs w:val="18"/>
          <w:color w:val="231F20"/>
        </w:rPr>
        <w:t xml:space="preserve"> fully diluted earnings per share ("EPS") was $0.24 compared with $0.08 in the same period a year ago. The non-GAAP effective tax rate expense was 15.9%. Non-GAAP net income was $417 million, and non-GAAP fully diluted EPS was </w:t>
      </w:r>
      <w:r>
        <w:rPr>
          <w:rFonts w:ascii="Times New Roman" w:cs="Times New Roman" w:eastAsia="Times New Roman" w:hAnsi="Times New Roman"/>
          <w:sz w:val="18"/>
          <w:szCs w:val="18"/>
          <w:color w:val="000000"/>
        </w:rPr>
        <w:t>$0.39</w:t>
      </w:r>
      <w:r>
        <w:rPr>
          <w:rFonts w:ascii="Times New Roman" w:cs="Times New Roman" w:eastAsia="Times New Roman" w:hAnsi="Times New Roman"/>
          <w:sz w:val="18"/>
          <w:szCs w:val="18"/>
          <w:color w:val="231F20"/>
        </w:rPr>
        <w:t xml:space="preserve"> compared with </w:t>
      </w:r>
      <w:r>
        <w:rPr>
          <w:rFonts w:ascii="Times New Roman" w:cs="Times New Roman" w:eastAsia="Times New Roman" w:hAnsi="Times New Roman"/>
          <w:sz w:val="18"/>
          <w:szCs w:val="18"/>
          <w:color w:val="000000"/>
        </w:rPr>
        <w:t>$0.31</w:t>
      </w:r>
      <w:r>
        <w:rPr>
          <w:rFonts w:ascii="Times New Roman" w:cs="Times New Roman" w:eastAsia="Times New Roman" w:hAnsi="Times New Roman"/>
          <w:sz w:val="18"/>
          <w:szCs w:val="18"/>
          <w:color w:val="231F20"/>
        </w:rPr>
        <w:t xml:space="preserve"> in the same period a year ago.</w:t>
      </w:r>
    </w:p>
    <w:p>
      <w:pPr>
        <w:spacing w:after="0" w:line="202"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Free cash flow (FCF) for Q3 was </w:t>
      </w:r>
      <w:r>
        <w:rPr>
          <w:rFonts w:ascii="Times New Roman" w:cs="Times New Roman" w:eastAsia="Times New Roman" w:hAnsi="Times New Roman"/>
          <w:sz w:val="18"/>
          <w:szCs w:val="18"/>
          <w:color w:val="231F20"/>
        </w:rPr>
        <w:t>$349 million and for the trailing twelve months was $573 million. FCF for Q3 improved sequentially on higher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income and an improvement in working capital.</w:t>
      </w:r>
    </w:p>
    <w:p>
      <w:pPr>
        <w:spacing w:after="0" w:line="188"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Cash and cash equivalents and short-term investments totaled </w:t>
      </w:r>
      <w:r>
        <w:rPr>
          <w:rFonts w:ascii="Times New Roman" w:cs="Times New Roman" w:eastAsia="Times New Roman" w:hAnsi="Times New Roman"/>
          <w:sz w:val="18"/>
          <w:szCs w:val="18"/>
          <w:color w:val="000000"/>
        </w:rPr>
        <w:t>$2,671 million</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091BD"/>
        </w:rPr>
        <w:t>Guidance and Results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460" w:type="dxa"/>
            <w:vAlign w:val="bottom"/>
            <w:tcBorders>
              <w:top w:val="single" w:sz="8" w:color="auto"/>
              <w:left w:val="single" w:sz="8" w:color="auto"/>
              <w:right w:val="single" w:sz="8" w:color="auto"/>
            </w:tcBorders>
            <w:vMerge w:val="restart"/>
            <w:shd w:val="clear" w:color="auto" w:fill="0091BD"/>
          </w:tcPr>
          <w:p>
            <w:pPr>
              <w:ind w:left="80"/>
              <w:spacing w:after="0"/>
              <w:rPr>
                <w:sz w:val="20"/>
                <w:szCs w:val="20"/>
                <w:color w:val="auto"/>
              </w:rPr>
            </w:pPr>
            <w:r>
              <w:rPr>
                <w:rFonts w:ascii="Times New Roman" w:cs="Times New Roman" w:eastAsia="Times New Roman" w:hAnsi="Times New Roman"/>
                <w:sz w:val="18"/>
                <w:szCs w:val="18"/>
                <w:b w:val="1"/>
                <w:bCs w:val="1"/>
                <w:color w:val="FFFFFF"/>
              </w:rPr>
              <w:t>Quarterly Guidance &amp; Results</w:t>
            </w:r>
          </w:p>
        </w:tc>
        <w:tc>
          <w:tcPr>
            <w:tcW w:w="2260" w:type="dxa"/>
            <w:vAlign w:val="bottom"/>
            <w:tcBorders>
              <w:top w:val="single" w:sz="8" w:color="auto"/>
              <w:right w:val="single" w:sz="8" w:color="auto"/>
            </w:tcBorders>
            <w:shd w:val="clear" w:color="auto" w:fill="0091BD"/>
          </w:tcPr>
          <w:p>
            <w:pPr>
              <w:ind w:left="760"/>
              <w:spacing w:after="0"/>
              <w:rPr>
                <w:sz w:val="20"/>
                <w:szCs w:val="20"/>
                <w:color w:val="auto"/>
              </w:rPr>
            </w:pPr>
            <w:r>
              <w:rPr>
                <w:rFonts w:ascii="Times New Roman" w:cs="Times New Roman" w:eastAsia="Times New Roman" w:hAnsi="Times New Roman"/>
                <w:sz w:val="18"/>
                <w:szCs w:val="18"/>
                <w:b w:val="1"/>
                <w:bCs w:val="1"/>
                <w:color w:val="FFFFFF"/>
              </w:rPr>
              <w:t>Q3 FYE25</w:t>
            </w:r>
          </w:p>
        </w:tc>
        <w:tc>
          <w:tcPr>
            <w:tcW w:w="2280" w:type="dxa"/>
            <w:vAlign w:val="bottom"/>
            <w:tcBorders>
              <w:top w:val="single" w:sz="8" w:color="auto"/>
              <w:right w:val="single" w:sz="8" w:color="auto"/>
            </w:tcBorders>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Q3 FYE25</w:t>
            </w:r>
          </w:p>
        </w:tc>
        <w:tc>
          <w:tcPr>
            <w:tcW w:w="2260" w:type="dxa"/>
            <w:vAlign w:val="bottom"/>
            <w:tcBorders>
              <w:top w:val="single" w:sz="8" w:color="auto"/>
              <w:right w:val="single" w:sz="8" w:color="auto"/>
            </w:tcBorders>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rPr>
              <w:t>Q4 FYE25</w:t>
            </w:r>
          </w:p>
        </w:tc>
        <w:tc>
          <w:tcPr>
            <w:tcW w:w="0" w:type="dxa"/>
            <w:vAlign w:val="bottom"/>
          </w:tcPr>
          <w:p>
            <w:pPr>
              <w:spacing w:after="0"/>
              <w:rPr>
                <w:sz w:val="1"/>
                <w:szCs w:val="1"/>
                <w:color w:val="auto"/>
              </w:rPr>
            </w:pPr>
          </w:p>
        </w:tc>
      </w:tr>
      <w:tr>
        <w:trPr>
          <w:trHeight w:val="144"/>
        </w:trPr>
        <w:tc>
          <w:tcPr>
            <w:tcW w:w="4460" w:type="dxa"/>
            <w:vAlign w:val="bottom"/>
            <w:tcBorders>
              <w:left w:val="single" w:sz="8" w:color="auto"/>
              <w:right w:val="single" w:sz="8" w:color="auto"/>
            </w:tcBorders>
            <w:vMerge w:val="continue"/>
            <w:shd w:val="clear" w:color="auto" w:fill="0091BD"/>
          </w:tcPr>
          <w:p>
            <w:pPr>
              <w:spacing w:after="0"/>
              <w:rPr>
                <w:sz w:val="12"/>
                <w:szCs w:val="12"/>
                <w:color w:val="auto"/>
              </w:rPr>
            </w:pPr>
          </w:p>
        </w:tc>
        <w:tc>
          <w:tcPr>
            <w:tcW w:w="2260" w:type="dxa"/>
            <w:vAlign w:val="bottom"/>
            <w:tcBorders>
              <w:right w:val="single" w:sz="8" w:color="auto"/>
            </w:tcBorders>
            <w:vMerge w:val="restart"/>
            <w:shd w:val="clear" w:color="auto" w:fill="0091BD"/>
          </w:tcPr>
          <w:p>
            <w:pPr>
              <w:ind w:left="80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2280" w:type="dxa"/>
            <w:vAlign w:val="bottom"/>
            <w:tcBorders>
              <w:right w:val="single" w:sz="8" w:color="auto"/>
            </w:tcBorders>
            <w:vMerge w:val="restart"/>
            <w:shd w:val="clear" w:color="auto" w:fill="0091BD"/>
          </w:tcPr>
          <w:p>
            <w:pPr>
              <w:ind w:left="900"/>
              <w:spacing w:after="0"/>
              <w:rPr>
                <w:sz w:val="20"/>
                <w:szCs w:val="20"/>
                <w:color w:val="auto"/>
              </w:rPr>
            </w:pPr>
            <w:r>
              <w:rPr>
                <w:rFonts w:ascii="Times New Roman" w:cs="Times New Roman" w:eastAsia="Times New Roman" w:hAnsi="Times New Roman"/>
                <w:sz w:val="18"/>
                <w:szCs w:val="18"/>
                <w:b w:val="1"/>
                <w:bCs w:val="1"/>
                <w:color w:val="FFFFFF"/>
              </w:rPr>
              <w:t>Results</w:t>
            </w:r>
          </w:p>
        </w:tc>
        <w:tc>
          <w:tcPr>
            <w:tcW w:w="226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Guidance</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bottom w:val="single" w:sz="8" w:color="0091BD"/>
              <w:right w:val="single" w:sz="8" w:color="auto"/>
            </w:tcBorders>
            <w:shd w:val="clear" w:color="auto" w:fill="0091BD"/>
          </w:tcPr>
          <w:p>
            <w:pPr>
              <w:spacing w:after="0"/>
              <w:rPr>
                <w:sz w:val="10"/>
                <w:szCs w:val="10"/>
                <w:color w:val="auto"/>
              </w:rPr>
            </w:pPr>
          </w:p>
        </w:tc>
        <w:tc>
          <w:tcPr>
            <w:tcW w:w="226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28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26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4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E48"/>
              </w:rPr>
              <w:t>Revenue</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$920m - $970m</w:t>
            </w:r>
          </w:p>
        </w:tc>
        <w:tc>
          <w:tcPr>
            <w:tcW w:w="22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w w:val="99"/>
              </w:rPr>
              <w:t>$983m</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$1,175m - $1,275m</w:t>
            </w:r>
          </w:p>
        </w:tc>
        <w:tc>
          <w:tcPr>
            <w:tcW w:w="0" w:type="dxa"/>
            <w:vAlign w:val="bottom"/>
          </w:tcPr>
          <w:p>
            <w:pPr>
              <w:spacing w:after="0"/>
              <w:rPr>
                <w:sz w:val="1"/>
                <w:szCs w:val="1"/>
                <w:color w:val="auto"/>
              </w:rPr>
            </w:pP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8"/>
                <w:szCs w:val="18"/>
                <w:color w:val="231F20"/>
              </w:rPr>
              <w:t xml:space="preserve">Non-GAAP operating expense </w:t>
            </w:r>
            <w:r>
              <w:rPr>
                <w:rFonts w:ascii="Times New Roman" w:cs="Times New Roman" w:eastAsia="Times New Roman" w:hAnsi="Times New Roman"/>
                <w:sz w:val="23"/>
                <w:szCs w:val="23"/>
                <w:color w:val="231F20"/>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~$525m</w:t>
            </w:r>
          </w:p>
        </w:tc>
        <w:tc>
          <w:tcPr>
            <w:tcW w:w="22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w w:val="99"/>
              </w:rPr>
              <w:t>$522m</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~$590m</w:t>
            </w:r>
          </w:p>
        </w:tc>
        <w:tc>
          <w:tcPr>
            <w:tcW w:w="0" w:type="dxa"/>
            <w:vAlign w:val="bottom"/>
          </w:tcPr>
          <w:p>
            <w:pPr>
              <w:spacing w:after="0"/>
              <w:rPr>
                <w:sz w:val="1"/>
                <w:szCs w:val="1"/>
                <w:color w:val="auto"/>
              </w:rPr>
            </w:pPr>
          </w:p>
        </w:tc>
      </w:tr>
      <w:tr>
        <w:trPr>
          <w:trHeight w:val="290"/>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fully diluted earnings per share </w:t>
            </w:r>
            <w:r>
              <w:rPr>
                <w:rFonts w:ascii="Times New Roman" w:cs="Times New Roman" w:eastAsia="Times New Roman" w:hAnsi="Times New Roman"/>
                <w:sz w:val="23"/>
                <w:szCs w:val="23"/>
                <w:color w:val="231F20"/>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$0.32 - $0.36</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$0.39</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$0.48 - $0.56</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vMerge w:val="restart"/>
            <w:shd w:val="clear" w:color="auto" w:fill="0091BD"/>
          </w:tcPr>
          <w:p>
            <w:pPr>
              <w:ind w:left="80"/>
              <w:spacing w:after="0"/>
              <w:rPr>
                <w:sz w:val="20"/>
                <w:szCs w:val="20"/>
                <w:color w:val="auto"/>
              </w:rPr>
            </w:pPr>
            <w:r>
              <w:rPr>
                <w:rFonts w:ascii="Times New Roman" w:cs="Times New Roman" w:eastAsia="Times New Roman" w:hAnsi="Times New Roman"/>
                <w:sz w:val="18"/>
                <w:szCs w:val="18"/>
                <w:b w:val="1"/>
                <w:bCs w:val="1"/>
                <w:color w:val="FFFFFF"/>
              </w:rPr>
              <w:t>Annual Guidance</w:t>
            </w:r>
          </w:p>
        </w:tc>
        <w:tc>
          <w:tcPr>
            <w:tcW w:w="2260" w:type="dxa"/>
            <w:vAlign w:val="bottom"/>
            <w:tcBorders>
              <w:right w:val="single" w:sz="8" w:color="auto"/>
            </w:tcBorders>
            <w:shd w:val="clear" w:color="auto" w:fill="0091BD"/>
          </w:tcPr>
          <w:p>
            <w:pPr>
              <w:ind w:left="620"/>
              <w:spacing w:after="0" w:line="169" w:lineRule="exact"/>
              <w:rPr>
                <w:sz w:val="20"/>
                <w:szCs w:val="20"/>
                <w:color w:val="auto"/>
              </w:rPr>
            </w:pPr>
            <w:r>
              <w:rPr>
                <w:rFonts w:ascii="Times New Roman" w:cs="Times New Roman" w:eastAsia="Times New Roman" w:hAnsi="Times New Roman"/>
                <w:sz w:val="18"/>
                <w:szCs w:val="18"/>
                <w:b w:val="1"/>
                <w:bCs w:val="1"/>
                <w:color w:val="FFFFFF"/>
              </w:rPr>
              <w:t>FYE25 Prior</w:t>
            </w:r>
          </w:p>
        </w:tc>
        <w:tc>
          <w:tcPr>
            <w:tcW w:w="2280" w:type="dxa"/>
            <w:vAlign w:val="bottom"/>
            <w:tcBorders>
              <w:right w:val="single" w:sz="8" w:color="auto"/>
            </w:tcBorders>
            <w:shd w:val="clear" w:color="auto" w:fill="0091BD"/>
          </w:tcPr>
          <w:p>
            <w:pPr>
              <w:spacing w:after="0"/>
              <w:rPr>
                <w:sz w:val="14"/>
                <w:szCs w:val="14"/>
                <w:color w:val="auto"/>
              </w:rPr>
            </w:pPr>
          </w:p>
        </w:tc>
        <w:tc>
          <w:tcPr>
            <w:tcW w:w="2260" w:type="dxa"/>
            <w:vAlign w:val="bottom"/>
            <w:tcBorders>
              <w:right w:val="single" w:sz="8" w:color="auto"/>
            </w:tcBorders>
            <w:shd w:val="clear" w:color="auto" w:fill="0091BD"/>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FFFFFF"/>
              </w:rPr>
              <w:t>FYE25 Current</w:t>
            </w:r>
          </w:p>
        </w:tc>
        <w:tc>
          <w:tcPr>
            <w:tcW w:w="0" w:type="dxa"/>
            <w:vAlign w:val="bottom"/>
          </w:tcPr>
          <w:p>
            <w:pPr>
              <w:spacing w:after="0"/>
              <w:rPr>
                <w:sz w:val="1"/>
                <w:szCs w:val="1"/>
                <w:color w:val="auto"/>
              </w:rPr>
            </w:pPr>
          </w:p>
        </w:tc>
      </w:tr>
      <w:tr>
        <w:trPr>
          <w:trHeight w:val="148"/>
        </w:trPr>
        <w:tc>
          <w:tcPr>
            <w:tcW w:w="4460" w:type="dxa"/>
            <w:vAlign w:val="bottom"/>
            <w:tcBorders>
              <w:left w:val="single" w:sz="8" w:color="auto"/>
              <w:right w:val="single" w:sz="8" w:color="auto"/>
            </w:tcBorders>
            <w:vMerge w:val="continue"/>
            <w:shd w:val="clear" w:color="auto" w:fill="0091BD"/>
          </w:tcPr>
          <w:p>
            <w:pPr>
              <w:spacing w:after="0"/>
              <w:rPr>
                <w:sz w:val="12"/>
                <w:szCs w:val="12"/>
                <w:color w:val="auto"/>
              </w:rPr>
            </w:pPr>
          </w:p>
        </w:tc>
        <w:tc>
          <w:tcPr>
            <w:tcW w:w="2260" w:type="dxa"/>
            <w:vAlign w:val="bottom"/>
            <w:tcBorders>
              <w:right w:val="single" w:sz="8" w:color="auto"/>
            </w:tcBorders>
            <w:vMerge w:val="restart"/>
            <w:shd w:val="clear" w:color="auto" w:fill="0091BD"/>
          </w:tcPr>
          <w:p>
            <w:pPr>
              <w:ind w:left="74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2280" w:type="dxa"/>
            <w:vAlign w:val="bottom"/>
            <w:tcBorders>
              <w:right w:val="single" w:sz="8" w:color="auto"/>
            </w:tcBorders>
            <w:shd w:val="clear" w:color="auto" w:fill="0091BD"/>
          </w:tcPr>
          <w:p>
            <w:pPr>
              <w:spacing w:after="0"/>
              <w:rPr>
                <w:sz w:val="12"/>
                <w:szCs w:val="12"/>
                <w:color w:val="auto"/>
              </w:rPr>
            </w:pPr>
          </w:p>
        </w:tc>
        <w:tc>
          <w:tcPr>
            <w:tcW w:w="226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Guidance</w:t>
            </w:r>
          </w:p>
        </w:tc>
        <w:tc>
          <w:tcPr>
            <w:tcW w:w="0" w:type="dxa"/>
            <w:vAlign w:val="bottom"/>
          </w:tcPr>
          <w:p>
            <w:pPr>
              <w:spacing w:after="0"/>
              <w:rPr>
                <w:sz w:val="1"/>
                <w:szCs w:val="1"/>
                <w:color w:val="auto"/>
              </w:rPr>
            </w:pPr>
          </w:p>
        </w:tc>
      </w:tr>
      <w:tr>
        <w:trPr>
          <w:trHeight w:val="92"/>
        </w:trPr>
        <w:tc>
          <w:tcPr>
            <w:tcW w:w="4460" w:type="dxa"/>
            <w:vAlign w:val="bottom"/>
            <w:tcBorders>
              <w:left w:val="single" w:sz="8" w:color="auto"/>
              <w:bottom w:val="single" w:sz="8" w:color="auto"/>
              <w:right w:val="single" w:sz="8" w:color="auto"/>
            </w:tcBorders>
            <w:shd w:val="clear" w:color="auto" w:fill="0091BD"/>
          </w:tcPr>
          <w:p>
            <w:pPr>
              <w:spacing w:after="0"/>
              <w:rPr>
                <w:sz w:val="8"/>
                <w:szCs w:val="8"/>
                <w:color w:val="auto"/>
              </w:rPr>
            </w:pPr>
          </w:p>
        </w:tc>
        <w:tc>
          <w:tcPr>
            <w:tcW w:w="2260" w:type="dxa"/>
            <w:vAlign w:val="bottom"/>
            <w:tcBorders>
              <w:bottom w:val="single" w:sz="8" w:color="auto"/>
              <w:right w:val="single" w:sz="8" w:color="auto"/>
            </w:tcBorders>
            <w:vMerge w:val="continue"/>
            <w:shd w:val="clear" w:color="auto" w:fill="0091BD"/>
          </w:tcPr>
          <w:p>
            <w:pPr>
              <w:spacing w:after="0"/>
              <w:rPr>
                <w:sz w:val="8"/>
                <w:szCs w:val="8"/>
                <w:color w:val="auto"/>
              </w:rPr>
            </w:pPr>
          </w:p>
        </w:tc>
        <w:tc>
          <w:tcPr>
            <w:tcW w:w="2280" w:type="dxa"/>
            <w:vAlign w:val="bottom"/>
            <w:tcBorders>
              <w:bottom w:val="single" w:sz="8" w:color="auto"/>
              <w:right w:val="single" w:sz="8" w:color="auto"/>
            </w:tcBorders>
            <w:shd w:val="clear" w:color="auto" w:fill="0091BD"/>
          </w:tcPr>
          <w:p>
            <w:pPr>
              <w:spacing w:after="0"/>
              <w:rPr>
                <w:sz w:val="8"/>
                <w:szCs w:val="8"/>
                <w:color w:val="auto"/>
              </w:rPr>
            </w:pPr>
          </w:p>
        </w:tc>
        <w:tc>
          <w:tcPr>
            <w:tcW w:w="2260" w:type="dxa"/>
            <w:vAlign w:val="bottom"/>
            <w:tcBorders>
              <w:bottom w:val="single" w:sz="8" w:color="auto"/>
              <w:right w:val="single" w:sz="8" w:color="auto"/>
            </w:tcBorders>
            <w:vMerge w:val="continue"/>
            <w:shd w:val="clear" w:color="auto" w:fill="0091BD"/>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E48"/>
              </w:rPr>
              <w:t>Revenue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$3.80b - $4.10b</w:t>
            </w:r>
          </w:p>
        </w:tc>
        <w:tc>
          <w:tcPr>
            <w:tcW w:w="2280" w:type="dxa"/>
            <w:vAlign w:val="bottom"/>
            <w:tcBorders>
              <w:bottom w:val="single" w:sz="8" w:color="auto"/>
              <w:right w:val="single" w:sz="8" w:color="auto"/>
            </w:tcBorders>
            <w:shd w:val="clear" w:color="auto" w:fill="DBDBDB"/>
          </w:tcPr>
          <w:p>
            <w:pPr>
              <w:spacing w:after="0"/>
              <w:rPr>
                <w:sz w:val="21"/>
                <w:szCs w:val="21"/>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$3.94b - $4.04b</w:t>
            </w:r>
          </w:p>
        </w:tc>
        <w:tc>
          <w:tcPr>
            <w:tcW w:w="0" w:type="dxa"/>
            <w:vAlign w:val="bottom"/>
          </w:tcPr>
          <w:p>
            <w:pPr>
              <w:spacing w:after="0"/>
              <w:rPr>
                <w:sz w:val="1"/>
                <w:szCs w:val="1"/>
                <w:color w:val="auto"/>
              </w:rPr>
            </w:pPr>
          </w:p>
        </w:tc>
      </w:tr>
      <w:tr>
        <w:trPr>
          <w:trHeight w:val="256"/>
        </w:trPr>
        <w:tc>
          <w:tcPr>
            <w:tcW w:w="4460" w:type="dxa"/>
            <w:vAlign w:val="bottom"/>
            <w:tcBorders>
              <w:left w:val="single" w:sz="8" w:color="auto"/>
              <w:bottom w:val="single" w:sz="8" w:color="auto"/>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18"/>
                <w:szCs w:val="18"/>
                <w:color w:val="231F20"/>
              </w:rPr>
              <w:t xml:space="preserve">Non-GAAP operating expense </w:t>
            </w:r>
            <w:r>
              <w:rPr>
                <w:rFonts w:ascii="Times New Roman" w:cs="Times New Roman" w:eastAsia="Times New Roman" w:hAnsi="Times New Roman"/>
                <w:sz w:val="23"/>
                <w:szCs w:val="23"/>
                <w:color w:val="231F20"/>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~$2.05b</w:t>
            </w:r>
          </w:p>
        </w:tc>
        <w:tc>
          <w:tcPr>
            <w:tcW w:w="2280" w:type="dxa"/>
            <w:vAlign w:val="bottom"/>
            <w:tcBorders>
              <w:bottom w:val="single" w:sz="8" w:color="auto"/>
              <w:right w:val="single" w:sz="8" w:color="auto"/>
            </w:tcBorders>
            <w:shd w:val="clear" w:color="auto" w:fill="DBDBDB"/>
          </w:tcPr>
          <w:p>
            <w:pPr>
              <w:spacing w:after="0"/>
              <w:rPr>
                <w:sz w:val="22"/>
                <w:szCs w:val="22"/>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~$2.07b</w:t>
            </w:r>
          </w:p>
        </w:tc>
        <w:tc>
          <w:tcPr>
            <w:tcW w:w="0" w:type="dxa"/>
            <w:vAlign w:val="bottom"/>
          </w:tcPr>
          <w:p>
            <w:pPr>
              <w:spacing w:after="0"/>
              <w:rPr>
                <w:sz w:val="1"/>
                <w:szCs w:val="1"/>
                <w:color w:val="auto"/>
              </w:rPr>
            </w:pPr>
          </w:p>
        </w:tc>
      </w:tr>
      <w:tr>
        <w:trPr>
          <w:trHeight w:val="291"/>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fully diluted earnings per share </w:t>
            </w:r>
            <w:r>
              <w:rPr>
                <w:rFonts w:ascii="Times New Roman" w:cs="Times New Roman" w:eastAsia="Times New Roman" w:hAnsi="Times New Roman"/>
                <w:sz w:val="23"/>
                <w:szCs w:val="23"/>
                <w:color w:val="231F20"/>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$1.45 - $1.65</w:t>
            </w:r>
          </w:p>
        </w:tc>
        <w:tc>
          <w:tcPr>
            <w:tcW w:w="2280" w:type="dxa"/>
            <w:vAlign w:val="bottom"/>
            <w:tcBorders>
              <w:bottom w:val="single" w:sz="8" w:color="auto"/>
              <w:right w:val="single" w:sz="8" w:color="auto"/>
            </w:tcBorders>
            <w:shd w:val="clear" w:color="auto" w:fill="DBDBDB"/>
          </w:tcPr>
          <w:p>
            <w:pPr>
              <w:spacing w:after="0"/>
              <w:rPr>
                <w:sz w:val="24"/>
                <w:szCs w:val="24"/>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$1.56 - $1.64</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260" w:right="20" w:hanging="252"/>
        <w:spacing w:after="0" w:line="268" w:lineRule="auto"/>
        <w:tabs>
          <w:tab w:leader="none" w:pos="44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60"/>
          </w:cols>
          <w:pgMar w:left="320" w:top="9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following key performance indicators and non-GAAP financial measures to analyze our business performance and financial forecasts and to develop strategic plans, which we believe provide useful information to investors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197" w:lineRule="exact"/>
        <w:rPr>
          <w:sz w:val="20"/>
          <w:szCs w:val="20"/>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The following table sets forth a summary of the key financial and operating metrics for the three months ended December 31, 2024 (for year-to-date key financial metrics, see the "Condensed Consolidated Income Statements" and "GAAP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Reconciliation" sections below):</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4980" w:type="dxa"/>
            <w:vAlign w:val="bottom"/>
            <w:tcBorders>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40" w:type="dxa"/>
            <w:vAlign w:val="bottom"/>
            <w:tcBorders>
              <w:top w:val="single" w:sz="8" w:color="auto"/>
              <w:bottom w:val="single" w:sz="8" w:color="auto"/>
              <w:right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gridSpan w:val="3"/>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w w:val="98"/>
              </w:rPr>
              <w:t xml:space="preserve">Non-GAAP </w:t>
            </w:r>
            <w:r>
              <w:rPr>
                <w:rFonts w:ascii="Times New Roman" w:cs="Times New Roman" w:eastAsia="Times New Roman" w:hAnsi="Times New Roman"/>
                <w:sz w:val="23"/>
                <w:szCs w:val="23"/>
                <w:b w:val="1"/>
                <w:bCs w:val="1"/>
                <w:color w:val="auto"/>
                <w:w w:val="98"/>
                <w:vertAlign w:val="superscript"/>
              </w:rPr>
              <w:t>(1)(3)</w:t>
            </w:r>
          </w:p>
        </w:tc>
        <w:tc>
          <w:tcPr>
            <w:tcW w:w="88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where indicated)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FYE24</w:t>
            </w:r>
          </w:p>
        </w:tc>
        <w:tc>
          <w:tcPr>
            <w:tcW w:w="1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Y/Y%</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Q3 FYE25</w:t>
            </w:r>
          </w:p>
        </w:tc>
        <w:tc>
          <w:tcPr>
            <w:tcW w:w="1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FYE24</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18"/>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$983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$983</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$824</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0" w:type="dxa"/>
            <w:vAlign w:val="bottom"/>
          </w:tcPr>
          <w:p>
            <w:pPr>
              <w:spacing w:after="0"/>
              <w:rPr>
                <w:sz w:val="1"/>
                <w:szCs w:val="1"/>
                <w:color w:val="auto"/>
              </w:rPr>
            </w:pPr>
          </w:p>
        </w:tc>
      </w:tr>
      <w:tr>
        <w:trPr>
          <w:trHeight w:val="229"/>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403</w:t>
            </w:r>
          </w:p>
        </w:tc>
        <w:tc>
          <w:tcPr>
            <w:tcW w:w="1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354</w:t>
            </w:r>
          </w:p>
        </w:tc>
        <w:tc>
          <w:tcPr>
            <w:tcW w:w="160" w:type="dxa"/>
            <w:vAlign w:val="bottom"/>
          </w:tcPr>
          <w:p>
            <w:pPr>
              <w:spacing w:after="0"/>
              <w:rPr>
                <w:sz w:val="19"/>
                <w:szCs w:val="19"/>
                <w:color w:val="auto"/>
              </w:rPr>
            </w:pPr>
          </w:p>
        </w:tc>
        <w:tc>
          <w:tcPr>
            <w:tcW w:w="8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Royalty revenue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580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580</w:t>
            </w:r>
          </w:p>
        </w:tc>
        <w:tc>
          <w:tcPr>
            <w:tcW w:w="1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470</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955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788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964</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798</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97.2%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95.6%</w:t>
            </w:r>
          </w:p>
        </w:tc>
        <w:tc>
          <w:tcPr>
            <w:tcW w:w="10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98.1%</w:t>
            </w:r>
          </w:p>
        </w:tc>
        <w:tc>
          <w:tcPr>
            <w:tcW w:w="1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96.8%</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(780)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(654)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(522)</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(437)</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175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134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442</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361</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16.3%</w:t>
            </w:r>
          </w:p>
        </w:tc>
        <w:tc>
          <w:tcPr>
            <w:tcW w:w="10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43.8%</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417</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324</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earnings/(loss) per share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$0.39</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$0.31</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423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349</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251</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 trailing twelve months (TTM)</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573</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724</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metrics </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Q3 FYE25</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FYE24</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Annualized contract value (in millions)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$1,160</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Remaining performance obligations (in millions)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$2,433</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7,923</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6,870</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number of engineers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6,594</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5,520</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extant Arm Total Access licenses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extant Arm Flexible Access licenses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295</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218</w:t>
            </w:r>
          </w:p>
        </w:tc>
        <w:tc>
          <w:tcPr>
            <w:tcW w:w="1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60" w:right="20" w:hanging="252"/>
        <w:spacing w:after="0" w:line="261" w:lineRule="auto"/>
        <w:tabs>
          <w:tab w:leader="none" w:pos="369"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operating income (loss), Non-GAAP net income,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last day of the applicable period.</w:t>
      </w:r>
    </w:p>
    <w:p>
      <w:pPr>
        <w:spacing w:after="0" w:line="4" w:lineRule="exact"/>
        <w:rPr>
          <w:rFonts w:ascii="Times New Roman" w:cs="Times New Roman" w:eastAsia="Times New Roman" w:hAnsi="Times New Roman"/>
          <w:sz w:val="14"/>
          <w:szCs w:val="14"/>
          <w:color w:val="auto"/>
        </w:rPr>
      </w:pPr>
    </w:p>
    <w:p>
      <w:pPr>
        <w:jc w:val="both"/>
        <w:ind w:left="260" w:hanging="252"/>
        <w:spacing w:after="0" w:line="247" w:lineRule="auto"/>
        <w:tabs>
          <w:tab w:leader="none" w:pos="36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Q3 FYE24 non-GAAP operating expense, non-GAAP operating income, non-GAAP operating margin, non-GAAP net income, and non-GAAP diluted earnings per share are net of non-GAAP adjustment of $23 million for employer taxes related to share-based compensation ("SBC") equity-classified awards, net of the research and development ("R&amp;D") tax incentive associated with these taxes and income tax effect on non-GAAP adjustments. These amounts are dependent on our stock price at the time of vesting and as a result, these taxes may vary in any particular period independent of the financial and operating performance of our business. To improve comparability of our results, this net expense has been recast.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40"/>
          </w:cols>
          <w:pgMar w:left="320" w:top="11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0091BD"/>
        </w:rPr>
        <w:t>Total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major product offerings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License and other revenue</w:t>
      </w:r>
    </w:p>
    <w:p>
      <w:pPr>
        <w:spacing w:after="0" w:line="227" w:lineRule="exact"/>
        <w:rPr>
          <w:sz w:val="20"/>
          <w:szCs w:val="20"/>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Intellectual property license </w:t>
      </w:r>
      <w:r>
        <w:rPr>
          <w:rFonts w:ascii="Times New Roman" w:cs="Times New Roman" w:eastAsia="Times New Roman" w:hAnsi="Times New Roman"/>
          <w:sz w:val="18"/>
          <w:szCs w:val="18"/>
          <w:color w:val="231F20"/>
        </w:rPr>
        <w:t>— We generally license IP under non-exclusive license agreements that provide usage rights for specific applications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spacing w:after="0" w:line="184"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spacing w:after="0" w:line="18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Software sales, including development systems </w:t>
      </w:r>
      <w:r>
        <w:rPr>
          <w:rFonts w:ascii="Times New Roman" w:cs="Times New Roman" w:eastAsia="Times New Roman" w:hAnsi="Times New Roman"/>
          <w:sz w:val="18"/>
          <w:szCs w:val="18"/>
          <w:color w:val="231F20"/>
        </w:rPr>
        <w:t>— Sales of software, including development systems, which are not specifically designed for a</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given license (such as off-the-shelf software), are recognized upon delivery when control has been transferred and customer can begin to use and benefit from the license.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Professional services </w:t>
      </w:r>
      <w:r>
        <w:rPr>
          <w:rFonts w:ascii="Times New Roman" w:cs="Times New Roman" w:eastAsia="Times New Roman" w:hAnsi="Times New Roman"/>
          <w:sz w:val="18"/>
          <w:szCs w:val="18"/>
          <w:color w:val="231F20"/>
        </w:rPr>
        <w:t>— Services (such as training, professional and design services) that we provide, which are not essential to the functionality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 not create an asset with an alternative use. In certain arrangements, we also provide customers with professional and design services, as a stand-ready obligation, that are recognized on a ratable basis over the term of the contract.</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Support and maintenance </w:t>
      </w:r>
      <w:r>
        <w:rPr>
          <w:rFonts w:ascii="Times New Roman" w:cs="Times New Roman" w:eastAsia="Times New Roman" w:hAnsi="Times New Roman"/>
          <w:sz w:val="18"/>
          <w:szCs w:val="18"/>
          <w:color w:val="231F20"/>
        </w:rPr>
        <w:t>— Support and maintenance is a stand-ready obligation to the customer that is both provided and consumed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simultaneously. Revenue is recognized on a straight-line basis over the period for which support and maintenance is contractually agreed pursuant to the license.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Royalty 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For most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40"/>
          </w:cols>
          <w:pgMar w:left="320" w:top="10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0091BD"/>
        </w:rPr>
        <w:t>Royalty technology mix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Royalty mix by architecture such as Armv9 is estimated at the SoC level based on the architecture of the primary CPU or an approximation of the IP mix and is subject to change based on the availability of additional product detail. Referenced figures based on most recent royalty report data that relates to the prior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Number of extant Arm Total Access and Arm Flexible Access licenses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quarter, we track the number of extant Arm Total Access and Arm Flexible Access licenses with our customers, and those contracted through Arm Technology (China) Co. Limited ("Arm China"). We believe that, over time, many of our customers will transition to either an Arm Total Access or Arm Flexible Access license to access our products. This transition enables us and our customers to focus less on contract negotiations and more on how our products can be deployed in our customers’ future chips.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number of extant Arm Total Access and Arm Flexible Access licenses as key performance indicators as they represent the increasing collaboration between us and our customers, which could be a leading indicator to more chips being designed with our products and, accordingly, more recurring royalty revenue in the future, improving our long-term market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Annualized contract value ("ACV")</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quarter, we track the ACV relating to licensing agreements signed with our customers and those contracted through Arm China per the aggregate license fee as shared under the Intellectual Property License Agreement with Arm China.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Technology License Agreement, are deemed to be active for, and annualized over, three years based on the historical licensing patterns of our customers. The aggregate license fee shared by Arm China is also deemed to be active for, and annualized over, three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Remaining performance obligations ("RPO")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RPO represents the transaction price allocated to performance obligations that are unsatisfied, or partially unsatisfied, which includes unearned revenue and amounts that will be invoiced and recognized as revenue in future periods.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Arm has elected to exclude potential future royalty receipts from the disclosure of RPO. Revenue recognition occurs upon delivery or beginning of license term, whichever is later.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Non-GAAP financial measures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utilize and present financial measures that are not calculated and presented in accordance with GAAP. Our non-GAAP financial measures include non-GAAP cost of sales, non-GAAP gross profit, non-GAAP gross margin, non-GAAP research and development operating expenses, non-GAAP selling, general and administrative operating expenses, non-GAAP impairment of long-lived assets operating expenses, non-GAAP disposal, restructuring and other operating expenses, net, non-GAAP operating expense, non-GAAP operating income (loss), non-GAAP operating margin, non-GAAP net income (loss) from continuing operations, non-GAAP income (loss) from equity investments, net, non-GAAP interest income, net, non-GAAP other non-operating income (loss), net, non-GAAP income before income taxes, non-GAAP income tax benefit (expense), net, non-GAAP net income (loss), non-GAAP basic and diluted net income per share attributable to ordinary shareholders, non-GAAP net income (loss) from continuing operations per share attributable to ordinary shareholders, non-GAAP free cash flow, and non-GAAP free cash flow TTM. We believe these non-GAAP financial measures provide useful information to investors and others in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40"/>
          </w:cols>
          <w:pgMar w:left="320" w:top="1035" w:right="339" w:bottom="1440" w:gutter="0" w:footer="0" w:header="0"/>
        </w:sectPr>
      </w:pPr>
    </w:p>
    <w:bookmarkStart w:id="11" w:name="page12"/>
    <w:bookmarkEnd w:id="11"/>
    <w:p>
      <w:pPr>
        <w:jc w:val="both"/>
        <w:spacing w:after="0" w:line="241" w:lineRule="auto"/>
        <w:rPr>
          <w:sz w:val="20"/>
          <w:szCs w:val="20"/>
          <w:color w:val="auto"/>
        </w:rPr>
      </w:pPr>
      <w:r>
        <w:rPr>
          <w:rFonts w:ascii="Times New Roman" w:cs="Times New Roman" w:eastAsia="Times New Roman" w:hAnsi="Times New Roman"/>
          <w:sz w:val="18"/>
          <w:szCs w:val="18"/>
          <w:color w:val="auto"/>
        </w:rPr>
        <w:t>understanding and evaluating our results of operations, as well as provide a useful measure for period-to-period comparisons of our business performance. Moreover, we have included these non-GAAP financial measures because they are key measurements used by our 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Non-GAAP financial measures presented herein exclude acquisition-related intangible asset amortization,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w:t>
      </w:r>
      <w:r>
        <w:rPr>
          <w:rFonts w:ascii="Times New Roman" w:cs="Times New Roman" w:eastAsia="Times New Roman" w:hAnsi="Times New Roman"/>
          <w:sz w:val="18"/>
          <w:szCs w:val="18"/>
          <w:color w:val="231F20"/>
        </w:rPr>
        <w:t>one-time employee benefit related to the</w:t>
      </w:r>
      <w:r>
        <w:rPr>
          <w:rFonts w:ascii="Times New Roman" w:cs="Times New Roman" w:eastAsia="Times New Roman" w:hAnsi="Times New Roman"/>
          <w:sz w:val="18"/>
          <w:szCs w:val="18"/>
          <w:color w:val="auto"/>
        </w:rPr>
        <w:t xml:space="preserve"> Arm Limited All Employee Plan 2019 (“2019 AEP”), costs associated with disposal activities, impairment of long-lived assets, restructuring and related costs, public company readiness costs, other operating income (expenses), net, (income) loss from equity method investments, gain on disposal of business, and income tax effect on non-GAAP adjustments.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40"/>
          </w:cols>
          <w:pgMar w:left="320" w:top="918"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related parties</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9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sales</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Disposal, restructuring and other operating expenses, net</w:t>
            </w:r>
          </w:p>
        </w:tc>
        <w:tc>
          <w:tcPr>
            <w:tcW w:w="10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net</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50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473"/>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20"/>
          </w:cols>
          <w:pgMar w:left="340" w:top="117"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4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 of $272 and $182 as of December 31, 2024 and March 31, 2024,</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 (including contract assets from related parties of $101 and $22 as of December 31, 2024 and March 31, 2024,</w:t>
            </w:r>
          </w:p>
        </w:tc>
        <w:tc>
          <w:tcPr>
            <w:tcW w:w="20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 (including investments held at fair value of $557 and $573 as of December 31, 2024 and March 31, 2024,</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7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Tax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 of $105 and $107 as of December 31, 2024 and March 31,</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2024, respectively)</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(including payables to related parties of $10 and $7 as of December 31, 2024 and March 31, 2024,</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accrued compensation</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operating lease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0" w:type="dxa"/>
            <w:vAlign w:val="bottom"/>
          </w:tcPr>
          <w:p>
            <w:pPr>
              <w:spacing w:after="0"/>
              <w:rPr>
                <w:sz w:val="1"/>
                <w:szCs w:val="1"/>
                <w:color w:val="auto"/>
              </w:rPr>
            </w:pPr>
          </w:p>
        </w:tc>
      </w:tr>
      <w:tr>
        <w:trPr>
          <w:trHeight w:val="16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$0.001 par value; 1,088 shares authorized, 1,054 shares issued and outstanding as of December 31, 2024; and</w:t>
            </w: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1,088 shares authorized, 1,040 shares issued and outstanding as of March 31, 2024</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02"/>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20"/>
          </w:cols>
          <w:pgMar w:left="340" w:top="117"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operating activities:</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6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for)</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cost</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expense</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assets, net (including contract assets from related parties)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liabilities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 (including payables to related parties)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investing activities</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equity investments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9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Other investing activities, net, including investments in convertible loans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investing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financing activities</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Payments of intangible asset obligations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9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Payments of withholding tax on vested shares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and cash equivalents at the end of the period</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20"/>
          </w:cols>
          <w:pgMar w:left="340" w:top="117" w:right="339" w:bottom="1440" w:gutter="0" w:footer="0" w:header="0"/>
        </w:sectPr>
      </w:pPr>
    </w:p>
    <w:bookmarkStart w:id="15" w:name="page16"/>
    <w:bookmarkEnd w:id="15"/>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GAAP to Non-GAAP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900" w:type="dxa"/>
            <w:vAlign w:val="bottom"/>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9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to SBC, net of</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method</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20" w:type="dxa"/>
            <w:vAlign w:val="bottom"/>
            <w:vMerge w:val="continue"/>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R&amp;D tax</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disposal</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0" w:type="dxa"/>
            <w:vAlign w:val="bottom"/>
          </w:tcPr>
          <w:p>
            <w:pPr>
              <w:jc w:val="center"/>
              <w:ind w:left="28"/>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9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5"/>
                <w:szCs w:val="15"/>
                <w:color w:val="auto"/>
              </w:rPr>
            </w:pPr>
          </w:p>
        </w:tc>
        <w:tc>
          <w:tcPr>
            <w:tcW w:w="82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$983</w:t>
            </w:r>
          </w:p>
        </w:tc>
        <w:tc>
          <w:tcPr>
            <w:tcW w:w="100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$983</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(28)</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85"/>
              </w:rPr>
              <w:t>7</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955</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85"/>
              </w:rPr>
              <w:t>7</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97.2%</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98.1%</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(533)</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154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(247)</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66</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(780)</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220</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175</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227</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17.8%</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39</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28</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26</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0320"/>
          </w:cols>
          <w:pgMar w:left="320" w:top="104" w:right="1259" w:bottom="1440" w:gutter="0" w:footer="0" w:header="0"/>
        </w:sectPr>
      </w:pPr>
    </w:p>
    <w:p>
      <w:pPr>
        <w:spacing w:after="0" w:line="23" w:lineRule="exact"/>
        <w:rPr>
          <w:sz w:val="20"/>
          <w:szCs w:val="20"/>
          <w:color w:val="auto"/>
        </w:rPr>
      </w:pPr>
    </w:p>
    <w:p>
      <w:pPr>
        <w:ind w:left="20" w:right="1120"/>
        <w:spacing w:after="0" w:line="332" w:lineRule="auto"/>
        <w:rPr>
          <w:sz w:val="20"/>
          <w:szCs w:val="20"/>
          <w:color w:val="auto"/>
        </w:rPr>
      </w:pPr>
      <w:r>
        <w:rPr>
          <w:rFonts w:ascii="Times New Roman" w:cs="Times New Roman" w:eastAsia="Times New Roman" w:hAnsi="Times New Roman"/>
          <w:sz w:val="14"/>
          <w:szCs w:val="14"/>
          <w:b w:val="1"/>
          <w:bCs w:val="1"/>
          <w:color w:val="auto"/>
        </w:rPr>
        <w:t xml:space="preserve">Income (loss) before income taxes </w:t>
      </w:r>
      <w:r>
        <w:rPr>
          <w:rFonts w:ascii="Times New Roman" w:cs="Times New Roman" w:eastAsia="Times New Roman" w:hAnsi="Times New Roman"/>
          <w:sz w:val="14"/>
          <w:szCs w:val="14"/>
          <w:color w:val="auto"/>
        </w:rPr>
        <w:t>Income tax benefit (expense)</w:t>
      </w:r>
    </w:p>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p>
      <w:pPr>
        <w:spacing w:after="0" w:line="42" w:lineRule="exact"/>
        <w:rPr>
          <w:sz w:val="20"/>
          <w:szCs w:val="20"/>
          <w:color w:val="auto"/>
        </w:rPr>
      </w:pPr>
    </w:p>
    <w:p>
      <w:pPr>
        <w:ind w:left="180" w:hanging="161"/>
        <w:spacing w:after="0" w:line="253" w:lineRule="auto"/>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268</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227</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496</w:t>
            </w:r>
          </w:p>
        </w:tc>
      </w:tr>
      <w:tr>
        <w:trPr>
          <w:trHeight w:val="19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r>
      <w:tr>
        <w:trPr>
          <w:trHeight w:val="23"/>
        </w:trPr>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$252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$227</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$(39)</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$(63)</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$417</w:t>
            </w:r>
          </w:p>
        </w:tc>
      </w:tr>
      <w:tr>
        <w:trPr>
          <w:trHeight w:val="27"/>
        </w:trPr>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ectPr>
          <w:pgSz w:w="11900" w:h="16838" w:orient="portrait"/>
          <w:cols w:equalWidth="0" w:num="2">
            <w:col w:w="3200" w:space="700"/>
            <w:col w:w="6420"/>
          </w:cols>
          <w:pgMar w:left="320" w:top="104" w:right="1259" w:bottom="1440" w:gutter="0" w:footer="0" w:header="0"/>
          <w:type w:val="continuous"/>
        </w:sectPr>
      </w:pPr>
    </w:p>
    <w:tbl>
      <w:tblPr>
        <w:tblLayout w:type="fixed"/>
        <w:tblInd w:w="20" w:type="dxa"/>
        <w:tblCellMar>
          <w:top w:w="0" w:type="dxa"/>
          <w:left w:w="0" w:type="dxa"/>
          <w:bottom w:w="0" w:type="dxa"/>
          <w:right w:w="0" w:type="dxa"/>
        </w:tblCellMar>
      </w:tblP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560" w:type="dxa"/>
            <w:vAlign w:val="bottom"/>
          </w:tcPr>
          <w:p>
            <w:pPr>
              <w:jc w:val="right"/>
              <w:ind w:right="2508"/>
              <w:spacing w:after="0"/>
              <w:rPr>
                <w:sz w:val="20"/>
                <w:szCs w:val="20"/>
                <w:color w:val="auto"/>
              </w:rPr>
            </w:pPr>
            <w:r>
              <w:rPr>
                <w:rFonts w:ascii="Times New Roman" w:cs="Times New Roman" w:eastAsia="Times New Roman" w:hAnsi="Times New Roman"/>
                <w:sz w:val="14"/>
                <w:szCs w:val="14"/>
                <w:color w:val="auto"/>
              </w:rPr>
              <w:t>$0.24</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560" w:type="dxa"/>
            <w:vAlign w:val="bottom"/>
          </w:tcPr>
          <w:p>
            <w:pPr>
              <w:jc w:val="right"/>
              <w:ind w:right="2508"/>
              <w:spacing w:after="0"/>
              <w:rPr>
                <w:sz w:val="20"/>
                <w:szCs w:val="20"/>
                <w:color w:val="auto"/>
              </w:rPr>
            </w:pPr>
            <w:r>
              <w:rPr>
                <w:rFonts w:ascii="Times New Roman" w:cs="Times New Roman" w:eastAsia="Times New Roman" w:hAnsi="Times New Roman"/>
                <w:sz w:val="14"/>
                <w:szCs w:val="14"/>
                <w:color w:val="auto"/>
              </w:rPr>
              <w:t>$0.24</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35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560" w:type="dxa"/>
            <w:vAlign w:val="bottom"/>
          </w:tcPr>
          <w:p>
            <w:pPr>
              <w:jc w:val="right"/>
              <w:ind w:right="2508"/>
              <w:spacing w:after="0"/>
              <w:rPr>
                <w:sz w:val="20"/>
                <w:szCs w:val="20"/>
                <w:color w:val="auto"/>
              </w:rPr>
            </w:pPr>
            <w:r>
              <w:rPr>
                <w:rFonts w:ascii="Times New Roman" w:cs="Times New Roman" w:eastAsia="Times New Roman" w:hAnsi="Times New Roman"/>
                <w:sz w:val="14"/>
                <w:szCs w:val="14"/>
                <w:color w:val="auto"/>
              </w:rPr>
              <w:t>1,052</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560" w:type="dxa"/>
            <w:vAlign w:val="bottom"/>
          </w:tcPr>
          <w:p>
            <w:pPr>
              <w:jc w:val="right"/>
              <w:ind w:right="2508"/>
              <w:spacing w:after="0"/>
              <w:rPr>
                <w:sz w:val="20"/>
                <w:szCs w:val="20"/>
                <w:color w:val="auto"/>
              </w:rPr>
            </w:pPr>
            <w:r>
              <w:rPr>
                <w:rFonts w:ascii="Times New Roman" w:cs="Times New Roman" w:eastAsia="Times New Roman" w:hAnsi="Times New Roman"/>
                <w:sz w:val="14"/>
                <w:szCs w:val="14"/>
                <w:color w:val="auto"/>
              </w:rPr>
              <w:t>1,064</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r>
    </w:tbl>
    <w:p>
      <w:pPr>
        <w:spacing w:after="0" w:line="149"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SBC cost was $227 million for the three months ended December 31, 2024, all of which relates to equity-classified awards.</w:t>
      </w:r>
    </w:p>
    <w:p>
      <w:pPr>
        <w:spacing w:after="0" w:line="5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0320"/>
          </w:cols>
          <w:pgMar w:left="320" w:top="104" w:right="1259" w:bottom="1440" w:gutter="0" w:footer="0" w:header="0"/>
          <w:type w:val="continuous"/>
        </w:sectPr>
      </w:pPr>
    </w:p>
    <w:bookmarkStart w:id="16" w:name="page17"/>
    <w:bookmarkEnd w:id="16"/>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92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820" w:type="dxa"/>
            <w:vAlign w:val="bottom"/>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jc w:val="center"/>
              <w:ind w:left="9"/>
              <w:spacing w:after="0" w:line="102" w:lineRule="exact"/>
              <w:rPr>
                <w:sz w:val="20"/>
                <w:szCs w:val="20"/>
                <w:color w:val="auto"/>
              </w:rPr>
            </w:pPr>
            <w:r>
              <w:rPr>
                <w:rFonts w:ascii="Times New Roman" w:cs="Times New Roman" w:eastAsia="Times New Roman" w:hAnsi="Times New Roman"/>
                <w:sz w:val="11"/>
                <w:szCs w:val="11"/>
                <w:b w:val="1"/>
                <w:bCs w:val="1"/>
                <w:color w:val="auto"/>
              </w:rPr>
              <w:t>intangible</w:t>
            </w:r>
          </w:p>
        </w:tc>
        <w:tc>
          <w:tcPr>
            <w:tcW w:w="192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compensation to SBC, net of</w:t>
            </w:r>
          </w:p>
        </w:tc>
        <w:tc>
          <w:tcPr>
            <w:tcW w:w="8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9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income</w:t>
            </w:r>
          </w:p>
        </w:tc>
        <w:tc>
          <w:tcPr>
            <w:tcW w:w="94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method</w:t>
            </w:r>
          </w:p>
        </w:tc>
        <w:tc>
          <w:tcPr>
            <w:tcW w:w="9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GAAP</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GAAP</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R&amp;D tax</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readiness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9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10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(2)</w:t>
            </w:r>
          </w:p>
        </w:tc>
        <w:tc>
          <w:tcPr>
            <w:tcW w:w="8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8"/>
              </w:rPr>
              <w:t xml:space="preserve">Results </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$824</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$824</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9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3"/>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788</w:t>
            </w:r>
          </w:p>
        </w:tc>
        <w:tc>
          <w:tcPr>
            <w:tcW w:w="9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798</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95.6%</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96.8%</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(432)</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(216)</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6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Disposal, restructuring and other operating</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9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expenses, net</w:t>
            </w:r>
          </w:p>
        </w:tc>
        <w:tc>
          <w:tcPr>
            <w:tcW w:w="8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(654)</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188</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134</w:t>
            </w:r>
          </w:p>
        </w:tc>
        <w:tc>
          <w:tcPr>
            <w:tcW w:w="9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196</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361</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16.3%</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43.8%</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28</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32"/>
          </w:cols>
          <w:pgMar w:left="328" w:top="104" w:right="339" w:bottom="1440" w:gutter="0" w:footer="0" w:header="0"/>
        </w:sectPr>
      </w:pPr>
    </w:p>
    <w:p>
      <w:pPr>
        <w:spacing w:after="0" w:line="23" w:lineRule="exact"/>
        <w:rPr>
          <w:sz w:val="20"/>
          <w:szCs w:val="20"/>
          <w:color w:val="auto"/>
        </w:rPr>
      </w:pPr>
    </w:p>
    <w:p>
      <w:pPr>
        <w:ind w:left="12" w:right="540"/>
        <w:spacing w:after="0" w:line="332" w:lineRule="auto"/>
        <w:rPr>
          <w:sz w:val="20"/>
          <w:szCs w:val="20"/>
          <w:color w:val="auto"/>
        </w:rPr>
      </w:pPr>
      <w:r>
        <w:rPr>
          <w:rFonts w:ascii="Times New Roman" w:cs="Times New Roman" w:eastAsia="Times New Roman" w:hAnsi="Times New Roman"/>
          <w:sz w:val="14"/>
          <w:szCs w:val="14"/>
          <w:b w:val="1"/>
          <w:bCs w:val="1"/>
          <w:color w:val="auto"/>
        </w:rPr>
        <w:t xml:space="preserve">Income (loss) before income taxes </w:t>
      </w:r>
      <w:r>
        <w:rPr>
          <w:rFonts w:ascii="Times New Roman" w:cs="Times New Roman" w:eastAsia="Times New Roman" w:hAnsi="Times New Roman"/>
          <w:sz w:val="14"/>
          <w:szCs w:val="14"/>
          <w:color w:val="auto"/>
        </w:rPr>
        <w:t>Income tax (expense) benefit</w:t>
      </w:r>
    </w:p>
    <w:p>
      <w:pPr>
        <w:ind w:left="12"/>
        <w:spacing w:after="0"/>
        <w:rPr>
          <w:sz w:val="20"/>
          <w:szCs w:val="20"/>
          <w:color w:val="auto"/>
        </w:rPr>
      </w:pPr>
      <w:r>
        <w:rPr>
          <w:rFonts w:ascii="Times New Roman" w:cs="Times New Roman" w:eastAsia="Times New Roman" w:hAnsi="Times New Roman"/>
          <w:sz w:val="14"/>
          <w:szCs w:val="14"/>
          <w:b w:val="1"/>
          <w:bCs w:val="1"/>
          <w:color w:val="auto"/>
        </w:rPr>
        <w:t>Net income (loss)</w:t>
      </w:r>
    </w:p>
    <w:p>
      <w:pPr>
        <w:spacing w:after="0" w:line="42" w:lineRule="exact"/>
        <w:rPr>
          <w:sz w:val="20"/>
          <w:szCs w:val="20"/>
          <w:color w:val="auto"/>
        </w:rPr>
      </w:pPr>
    </w:p>
    <w:p>
      <w:pPr>
        <w:ind w:left="172" w:hanging="161"/>
        <w:spacing w:after="0" w:line="253" w:lineRule="auto"/>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146</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196</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374</w:t>
            </w:r>
          </w:p>
        </w:tc>
      </w:tr>
      <w:tr>
        <w:trPr>
          <w:trHeight w:val="19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r>
      <w:tr>
        <w:trPr>
          <w:trHeight w:val="23"/>
        </w:trPr>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$196</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$9</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r>
      <w:tr>
        <w:trPr>
          <w:trHeight w:val="27"/>
        </w:trPr>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ectPr>
          <w:pgSz w:w="11900" w:h="16838" w:orient="portrait"/>
          <w:cols w:equalWidth="0" w:num="2">
            <w:col w:w="2612" w:space="380"/>
            <w:col w:w="8240"/>
          </w:cols>
          <w:pgMar w:left="328" w:top="104" w:right="339" w:bottom="1440" w:gutter="0" w:footer="0" w:header="0"/>
          <w:type w:val="continuous"/>
        </w:sectPr>
      </w:pPr>
    </w:p>
    <w:tbl>
      <w:tblPr>
        <w:tblLayout w:type="fixed"/>
        <w:tblInd w:w="12" w:type="dxa"/>
        <w:tblCellMar>
          <w:top w:w="0" w:type="dxa"/>
          <w:left w:w="0" w:type="dxa"/>
          <w:bottom w:w="0" w:type="dxa"/>
          <w:right w:w="0" w:type="dxa"/>
        </w:tblCellMar>
      </w:tblPr>
      <w:tr>
        <w:trPr>
          <w:trHeight w:val="18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40" w:type="dxa"/>
            <w:vAlign w:val="bottom"/>
          </w:tcPr>
          <w:p>
            <w:pPr>
              <w:jc w:val="right"/>
              <w:ind w:right="3448"/>
              <w:spacing w:after="0"/>
              <w:rPr>
                <w:sz w:val="20"/>
                <w:szCs w:val="20"/>
                <w:color w:val="auto"/>
              </w:rPr>
            </w:pPr>
            <w:r>
              <w:rPr>
                <w:rFonts w:ascii="Times New Roman" w:cs="Times New Roman" w:eastAsia="Times New Roman" w:hAnsi="Times New Roman"/>
                <w:sz w:val="14"/>
                <w:szCs w:val="14"/>
                <w:color w:val="auto"/>
              </w:rPr>
              <w:t>$0.08</w:t>
            </w:r>
          </w:p>
        </w:tc>
        <w:tc>
          <w:tcPr>
            <w:tcW w:w="3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40" w:type="dxa"/>
            <w:vAlign w:val="bottom"/>
          </w:tcPr>
          <w:p>
            <w:pPr>
              <w:jc w:val="right"/>
              <w:ind w:right="3448"/>
              <w:spacing w:after="0"/>
              <w:rPr>
                <w:sz w:val="20"/>
                <w:szCs w:val="20"/>
                <w:color w:val="auto"/>
              </w:rPr>
            </w:pPr>
            <w:r>
              <w:rPr>
                <w:rFonts w:ascii="Times New Roman" w:cs="Times New Roman" w:eastAsia="Times New Roman" w:hAnsi="Times New Roman"/>
                <w:sz w:val="14"/>
                <w:szCs w:val="14"/>
                <w:color w:val="auto"/>
              </w:rPr>
              <w:t>$0.08</w:t>
            </w:r>
          </w:p>
        </w:tc>
        <w:tc>
          <w:tcPr>
            <w:tcW w:w="3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202"/>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404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40" w:type="dxa"/>
            <w:vAlign w:val="bottom"/>
          </w:tcPr>
          <w:p>
            <w:pPr>
              <w:jc w:val="right"/>
              <w:ind w:right="3448"/>
              <w:spacing w:after="0"/>
              <w:rPr>
                <w:sz w:val="20"/>
                <w:szCs w:val="20"/>
                <w:color w:val="auto"/>
              </w:rPr>
            </w:pPr>
            <w:r>
              <w:rPr>
                <w:rFonts w:ascii="Times New Roman" w:cs="Times New Roman" w:eastAsia="Times New Roman" w:hAnsi="Times New Roman"/>
                <w:sz w:val="14"/>
                <w:szCs w:val="14"/>
                <w:color w:val="auto"/>
              </w:rPr>
              <w:t>1,027</w:t>
            </w:r>
          </w:p>
        </w:tc>
        <w:tc>
          <w:tcPr>
            <w:tcW w:w="3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40" w:type="dxa"/>
            <w:vAlign w:val="bottom"/>
          </w:tcPr>
          <w:p>
            <w:pPr>
              <w:jc w:val="right"/>
              <w:ind w:right="3448"/>
              <w:spacing w:after="0"/>
              <w:rPr>
                <w:sz w:val="20"/>
                <w:szCs w:val="20"/>
                <w:color w:val="auto"/>
              </w:rPr>
            </w:pPr>
            <w:r>
              <w:rPr>
                <w:rFonts w:ascii="Times New Roman" w:cs="Times New Roman" w:eastAsia="Times New Roman" w:hAnsi="Times New Roman"/>
                <w:sz w:val="14"/>
                <w:szCs w:val="14"/>
                <w:color w:val="auto"/>
              </w:rPr>
              <w:t>1,049</w:t>
            </w:r>
          </w:p>
        </w:tc>
        <w:tc>
          <w:tcPr>
            <w:tcW w:w="3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r>
    </w:tbl>
    <w:p>
      <w:pPr>
        <w:spacing w:after="0" w:line="95" w:lineRule="exact"/>
        <w:rPr>
          <w:sz w:val="20"/>
          <w:szCs w:val="20"/>
          <w:color w:val="auto"/>
        </w:rPr>
      </w:pPr>
    </w:p>
    <w:p>
      <w:pPr>
        <w:jc w:val="both"/>
        <w:ind w:left="252" w:hanging="252"/>
        <w:spacing w:after="0" w:line="261" w:lineRule="auto"/>
        <w:tabs>
          <w:tab w:leader="none" w:pos="35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SBC cost, including both cash and equity settled awards, was </w:t>
      </w:r>
      <w:r>
        <w:rPr>
          <w:rFonts w:ascii="Times New Roman" w:cs="Times New Roman" w:eastAsia="Times New Roman" w:hAnsi="Times New Roman"/>
          <w:sz w:val="14"/>
          <w:szCs w:val="14"/>
          <w:color w:val="231F20"/>
        </w:rPr>
        <w:t>$199 million</w:t>
      </w:r>
      <w:r>
        <w:rPr>
          <w:rFonts w:ascii="Times New Roman" w:cs="Times New Roman" w:eastAsia="Times New Roman" w:hAnsi="Times New Roman"/>
          <w:sz w:val="14"/>
          <w:szCs w:val="14"/>
          <w:color w:val="auto"/>
        </w:rPr>
        <w:t xml:space="preserve"> for the three months ended December 31, 2023. For non-GAAP purposes, we adjusted for those awards that were liability-classified prior to our </w:t>
      </w:r>
      <w:r>
        <w:rPr>
          <w:rFonts w:ascii="Times New Roman" w:cs="Times New Roman" w:eastAsia="Times New Roman" w:hAnsi="Times New Roman"/>
          <w:sz w:val="14"/>
          <w:szCs w:val="14"/>
          <w:color w:val="231F20"/>
        </w:rPr>
        <w:t>initial public offering of ADSs (the “IPO”)</w:t>
      </w:r>
      <w:r>
        <w:rPr>
          <w:rFonts w:ascii="Times New Roman" w:cs="Times New Roman" w:eastAsia="Times New Roman" w:hAnsi="Times New Roman"/>
          <w:sz w:val="14"/>
          <w:szCs w:val="14"/>
          <w:color w:val="auto"/>
        </w:rPr>
        <w:t xml:space="preserve"> but were equity settled after the IPO. Liability-classified awards were remeasured at the end of each reporting period through the date of settlement to ensure that the expense recognized for each award was equivalent to the amount paid in cash or equity settled after the IPO.</w:t>
      </w:r>
    </w:p>
    <w:p>
      <w:pPr>
        <w:ind w:left="252" w:hanging="252"/>
        <w:spacing w:after="0" w:line="263"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income includes $23 million of employer taxes related to SBC, net of the R&amp;D tax incentives and the associated $4 million of income tax effect on non-GAAP adjustments which has been recast across historical periods for trend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32"/>
          </w:cols>
          <w:pgMar w:left="328" w:top="104" w:right="339" w:bottom="1440" w:gutter="0" w:footer="0" w:header="0"/>
          <w:type w:val="continuous"/>
        </w:sectPr>
      </w:pPr>
    </w:p>
    <w:bookmarkStart w:id="17" w:name="page18"/>
    <w:bookmarkEnd w:id="17"/>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December 31, 2024</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900" w:type="dxa"/>
            <w:vAlign w:val="bottom"/>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9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to SBC, net of</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method</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20" w:type="dxa"/>
            <w:vAlign w:val="bottom"/>
            <w:vMerge w:val="continue"/>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R&amp;D tax</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disposal</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0" w:type="dxa"/>
            <w:vAlign w:val="bottom"/>
          </w:tcPr>
          <w:p>
            <w:pPr>
              <w:jc w:val="center"/>
              <w:ind w:left="28"/>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9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5"/>
                <w:szCs w:val="15"/>
                <w:color w:val="auto"/>
              </w:rPr>
            </w:pPr>
          </w:p>
        </w:tc>
        <w:tc>
          <w:tcPr>
            <w:tcW w:w="82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$2,766</w:t>
            </w:r>
          </w:p>
        </w:tc>
        <w:tc>
          <w:tcPr>
            <w:tcW w:w="100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$2,766</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(93)</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20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2,673</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20</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2,699</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96.6%</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97.6%</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(1,525)</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437</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(727)</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170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(2,252)</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607</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157</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(1,483)</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421</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627</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1,216</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15.2%</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44.0%</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53</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89</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89</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13</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00" w:type="dxa"/>
            <w:vAlign w:val="bottom"/>
            <w:gridSpan w:val="2"/>
            <w:vMerge w:val="continue"/>
          </w:tcPr>
          <w:p>
            <w:pPr>
              <w:spacing w:after="0"/>
              <w:rPr>
                <w:sz w:val="15"/>
                <w:szCs w:val="15"/>
                <w:color w:val="auto"/>
              </w:rPr>
            </w:pP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576</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627</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1,318</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(171)</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$582</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$627</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$(53)</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$(171)</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21"/>
        </w:trPr>
        <w:tc>
          <w:tcPr>
            <w:tcW w:w="3900" w:type="dxa"/>
            <w:vAlign w:val="bottom"/>
            <w:gridSpan w:val="2"/>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Net income (loss) per share attributable to ordinary</w:t>
            </w: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39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$0.56</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$0.55</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1,049</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1,062</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SBC cost was $627 million for the nine months ended December 31, 2024, all of which relate to equity-classified awards.</w:t>
      </w:r>
    </w:p>
    <w:p>
      <w:pPr>
        <w:spacing w:after="0" w:line="5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0320"/>
          </w:cols>
          <w:pgMar w:left="320" w:top="104" w:right="1259" w:bottom="1440" w:gutter="0" w:footer="0" w:header="0"/>
        </w:sectPr>
      </w:pPr>
    </w:p>
    <w:bookmarkStart w:id="18" w:name="page19"/>
    <w:bookmarkEnd w:id="18"/>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December 31, 2023</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92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820" w:type="dxa"/>
            <w:vAlign w:val="bottom"/>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jc w:val="center"/>
              <w:ind w:left="9"/>
              <w:spacing w:after="0" w:line="102" w:lineRule="exact"/>
              <w:rPr>
                <w:sz w:val="20"/>
                <w:szCs w:val="20"/>
                <w:color w:val="auto"/>
              </w:rPr>
            </w:pPr>
            <w:r>
              <w:rPr>
                <w:rFonts w:ascii="Times New Roman" w:cs="Times New Roman" w:eastAsia="Times New Roman" w:hAnsi="Times New Roman"/>
                <w:sz w:val="11"/>
                <w:szCs w:val="11"/>
                <w:b w:val="1"/>
                <w:bCs w:val="1"/>
                <w:color w:val="auto"/>
              </w:rPr>
              <w:t>intangible</w:t>
            </w:r>
          </w:p>
        </w:tc>
        <w:tc>
          <w:tcPr>
            <w:tcW w:w="192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compensation to SBC, net of</w:t>
            </w:r>
          </w:p>
        </w:tc>
        <w:tc>
          <w:tcPr>
            <w:tcW w:w="8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9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income</w:t>
            </w:r>
          </w:p>
        </w:tc>
        <w:tc>
          <w:tcPr>
            <w:tcW w:w="94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method</w:t>
            </w:r>
          </w:p>
        </w:tc>
        <w:tc>
          <w:tcPr>
            <w:tcW w:w="9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GAAP</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and per share amounts)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GAAP</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R&amp;D tax</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readiness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9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10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(2)</w:t>
            </w:r>
          </w:p>
        </w:tc>
        <w:tc>
          <w:tcPr>
            <w:tcW w:w="8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4"/>
              </w:rPr>
              <w:t xml:space="preserve">Results </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$2,305</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8"/>
              </w:rPr>
              <w:t>(113)</w:t>
            </w:r>
          </w:p>
        </w:tc>
        <w:tc>
          <w:tcPr>
            <w:tcW w:w="9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3"/>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2,192</w:t>
            </w:r>
          </w:p>
        </w:tc>
        <w:tc>
          <w:tcPr>
            <w:tcW w:w="9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2,229</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95.1%</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96.7%</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(1,395)</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(702)</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6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Disposal, restructuring and other operating</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9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expenses, net</w:t>
            </w:r>
          </w:p>
        </w:tc>
        <w:tc>
          <w:tcPr>
            <w:tcW w:w="8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(2,103)</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818</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89</w:t>
            </w:r>
          </w:p>
        </w:tc>
        <w:tc>
          <w:tcPr>
            <w:tcW w:w="9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3.9%</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44.1%</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80</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32"/>
          </w:cols>
          <w:pgMar w:left="328" w:top="104" w:right="339" w:bottom="1440" w:gutter="0" w:footer="0" w:header="0"/>
        </w:sectPr>
      </w:pPr>
    </w:p>
    <w:p>
      <w:pPr>
        <w:spacing w:after="0" w:line="23" w:lineRule="exact"/>
        <w:rPr>
          <w:sz w:val="20"/>
          <w:szCs w:val="20"/>
          <w:color w:val="auto"/>
        </w:rPr>
      </w:pPr>
    </w:p>
    <w:p>
      <w:pPr>
        <w:ind w:left="12" w:right="540"/>
        <w:spacing w:after="0" w:line="332" w:lineRule="auto"/>
        <w:rPr>
          <w:sz w:val="20"/>
          <w:szCs w:val="20"/>
          <w:color w:val="auto"/>
        </w:rPr>
      </w:pPr>
      <w:r>
        <w:rPr>
          <w:rFonts w:ascii="Times New Roman" w:cs="Times New Roman" w:eastAsia="Times New Roman" w:hAnsi="Times New Roman"/>
          <w:sz w:val="14"/>
          <w:szCs w:val="14"/>
          <w:b w:val="1"/>
          <w:bCs w:val="1"/>
          <w:color w:val="auto"/>
        </w:rPr>
        <w:t xml:space="preserve">Income (loss) before income taxes </w:t>
      </w:r>
      <w:r>
        <w:rPr>
          <w:rFonts w:ascii="Times New Roman" w:cs="Times New Roman" w:eastAsia="Times New Roman" w:hAnsi="Times New Roman"/>
          <w:sz w:val="14"/>
          <w:szCs w:val="14"/>
          <w:color w:val="auto"/>
        </w:rPr>
        <w:t>Income tax (expense) benefit</w:t>
      </w:r>
    </w:p>
    <w:p>
      <w:pPr>
        <w:ind w:left="12"/>
        <w:spacing w:after="0"/>
        <w:rPr>
          <w:sz w:val="20"/>
          <w:szCs w:val="20"/>
          <w:color w:val="auto"/>
        </w:rPr>
      </w:pPr>
      <w:r>
        <w:rPr>
          <w:rFonts w:ascii="Times New Roman" w:cs="Times New Roman" w:eastAsia="Times New Roman" w:hAnsi="Times New Roman"/>
          <w:sz w:val="14"/>
          <w:szCs w:val="14"/>
          <w:b w:val="1"/>
          <w:bCs w:val="1"/>
          <w:color w:val="auto"/>
        </w:rPr>
        <w:t>Net income (loss)</w:t>
      </w:r>
    </w:p>
    <w:p>
      <w:pPr>
        <w:spacing w:after="0" w:line="42" w:lineRule="exact"/>
        <w:rPr>
          <w:sz w:val="20"/>
          <w:szCs w:val="20"/>
          <w:color w:val="auto"/>
        </w:rPr>
      </w:pPr>
    </w:p>
    <w:p>
      <w:pPr>
        <w:ind w:left="172" w:hanging="161"/>
        <w:spacing w:after="0" w:line="253" w:lineRule="auto"/>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154</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851</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8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1,095</w:t>
            </w:r>
          </w:p>
        </w:tc>
      </w:tr>
      <w:tr>
        <w:trPr>
          <w:trHeight w:val="19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(147)</w:t>
            </w:r>
          </w:p>
        </w:tc>
      </w:tr>
      <w:tr>
        <w:trPr>
          <w:trHeight w:val="23"/>
        </w:trPr>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$948</w:t>
            </w:r>
          </w:p>
        </w:tc>
      </w:tr>
      <w:tr>
        <w:trPr>
          <w:trHeight w:val="27"/>
        </w:trPr>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ectPr>
          <w:pgSz w:w="11900" w:h="16838" w:orient="portrait"/>
          <w:cols w:equalWidth="0" w:num="2">
            <w:col w:w="2612" w:space="380"/>
            <w:col w:w="8240"/>
          </w:cols>
          <w:pgMar w:left="328" w:top="104" w:right="339" w:bottom="1440" w:gutter="0" w:footer="0" w:header="0"/>
          <w:type w:val="continuous"/>
        </w:sectPr>
      </w:pPr>
    </w:p>
    <w:tbl>
      <w:tblPr>
        <w:tblLayout w:type="fixed"/>
        <w:tblInd w:w="12" w:type="dxa"/>
        <w:tblCellMar>
          <w:top w:w="0" w:type="dxa"/>
          <w:left w:w="0" w:type="dxa"/>
          <w:bottom w:w="0" w:type="dxa"/>
          <w:right w:w="0" w:type="dxa"/>
        </w:tblCellMar>
      </w:tblPr>
      <w:tr>
        <w:trPr>
          <w:trHeight w:val="18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40" w:type="dxa"/>
            <w:vAlign w:val="bottom"/>
          </w:tcPr>
          <w:p>
            <w:pPr>
              <w:jc w:val="right"/>
              <w:ind w:right="3448"/>
              <w:spacing w:after="0"/>
              <w:rPr>
                <w:sz w:val="20"/>
                <w:szCs w:val="20"/>
                <w:color w:val="auto"/>
              </w:rPr>
            </w:pPr>
            <w:r>
              <w:rPr>
                <w:rFonts w:ascii="Times New Roman" w:cs="Times New Roman" w:eastAsia="Times New Roman" w:hAnsi="Times New Roman"/>
                <w:sz w:val="14"/>
                <w:szCs w:val="14"/>
                <w:color w:val="auto"/>
              </w:rPr>
              <w:t>$0.08</w:t>
            </w:r>
          </w:p>
        </w:tc>
        <w:tc>
          <w:tcPr>
            <w:tcW w:w="3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40" w:type="dxa"/>
            <w:vAlign w:val="bottom"/>
          </w:tcPr>
          <w:p>
            <w:pPr>
              <w:jc w:val="right"/>
              <w:ind w:right="3448"/>
              <w:spacing w:after="0"/>
              <w:rPr>
                <w:sz w:val="20"/>
                <w:szCs w:val="20"/>
                <w:color w:val="auto"/>
              </w:rPr>
            </w:pPr>
            <w:r>
              <w:rPr>
                <w:rFonts w:ascii="Times New Roman" w:cs="Times New Roman" w:eastAsia="Times New Roman" w:hAnsi="Times New Roman"/>
                <w:sz w:val="14"/>
                <w:szCs w:val="14"/>
                <w:color w:val="auto"/>
              </w:rPr>
              <w:t>$0.08</w:t>
            </w:r>
          </w:p>
        </w:tc>
        <w:tc>
          <w:tcPr>
            <w:tcW w:w="3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r>
      <w:tr>
        <w:trPr>
          <w:trHeight w:val="202"/>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404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40" w:type="dxa"/>
            <w:vAlign w:val="bottom"/>
          </w:tcPr>
          <w:p>
            <w:pPr>
              <w:jc w:val="right"/>
              <w:ind w:right="3448"/>
              <w:spacing w:after="0"/>
              <w:rPr>
                <w:sz w:val="20"/>
                <w:szCs w:val="20"/>
                <w:color w:val="auto"/>
              </w:rPr>
            </w:pPr>
            <w:r>
              <w:rPr>
                <w:rFonts w:ascii="Times New Roman" w:cs="Times New Roman" w:eastAsia="Times New Roman" w:hAnsi="Times New Roman"/>
                <w:sz w:val="14"/>
                <w:szCs w:val="14"/>
                <w:color w:val="auto"/>
              </w:rPr>
              <w:t>1,026</w:t>
            </w:r>
          </w:p>
        </w:tc>
        <w:tc>
          <w:tcPr>
            <w:tcW w:w="3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40" w:type="dxa"/>
            <w:vAlign w:val="bottom"/>
          </w:tcPr>
          <w:p>
            <w:pPr>
              <w:jc w:val="right"/>
              <w:ind w:right="3448"/>
              <w:spacing w:after="0"/>
              <w:rPr>
                <w:sz w:val="20"/>
                <w:szCs w:val="20"/>
                <w:color w:val="auto"/>
              </w:rPr>
            </w:pPr>
            <w:r>
              <w:rPr>
                <w:rFonts w:ascii="Times New Roman" w:cs="Times New Roman" w:eastAsia="Times New Roman" w:hAnsi="Times New Roman"/>
                <w:sz w:val="14"/>
                <w:szCs w:val="14"/>
                <w:color w:val="auto"/>
              </w:rPr>
              <w:t>1,040</w:t>
            </w:r>
          </w:p>
        </w:tc>
        <w:tc>
          <w:tcPr>
            <w:tcW w:w="3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r>
    </w:tbl>
    <w:p>
      <w:pPr>
        <w:spacing w:after="0" w:line="311" w:lineRule="exact"/>
        <w:rPr>
          <w:sz w:val="20"/>
          <w:szCs w:val="20"/>
          <w:color w:val="auto"/>
        </w:rPr>
      </w:pPr>
    </w:p>
    <w:p>
      <w:pPr>
        <w:jc w:val="both"/>
        <w:ind w:left="252" w:hanging="252"/>
        <w:spacing w:after="0" w:line="271" w:lineRule="auto"/>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SBC cost, including both cash and equity settled awards, was $875 million for the nine months ended December 31, 2023. For non-GAAP purposes, we adjusted for those awards that were liability-classified prior to </w:t>
      </w:r>
      <w:r>
        <w:rPr>
          <w:rFonts w:ascii="Times New Roman" w:cs="Times New Roman" w:eastAsia="Times New Roman" w:hAnsi="Times New Roman"/>
          <w:sz w:val="14"/>
          <w:szCs w:val="14"/>
          <w:color w:val="231F20"/>
        </w:rPr>
        <w:t>the IPO</w:t>
      </w:r>
      <w:r>
        <w:rPr>
          <w:rFonts w:ascii="Times New Roman" w:cs="Times New Roman" w:eastAsia="Times New Roman" w:hAnsi="Times New Roman"/>
          <w:sz w:val="14"/>
          <w:szCs w:val="14"/>
          <w:color w:val="auto"/>
        </w:rPr>
        <w:t xml:space="preserve"> but were equity settled after the IPO. Liability-classified awards were remeasured at the end of each reporting period through the date of settlement to ensure that the expense recognized for each award was equivalent to the amount paid in cash or equity settled after the IPO.</w:t>
      </w:r>
    </w:p>
    <w:p>
      <w:pPr>
        <w:spacing w:after="0" w:line="21" w:lineRule="exact"/>
        <w:rPr>
          <w:rFonts w:ascii="Times New Roman" w:cs="Times New Roman" w:eastAsia="Times New Roman" w:hAnsi="Times New Roman"/>
          <w:sz w:val="14"/>
          <w:szCs w:val="14"/>
          <w:color w:val="auto"/>
        </w:rPr>
      </w:pPr>
    </w:p>
    <w:p>
      <w:pPr>
        <w:ind w:left="252" w:hanging="252"/>
        <w:spacing w:after="0" w:line="28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income includes $26 million of employer taxes related to SBC, net of the R&amp;D tax incentives and the associated $9 million of income tax effect on non-GAAP adjustments which has been recast across historical periods for trend purposes.</w:t>
      </w:r>
    </w:p>
    <w:p>
      <w:pPr>
        <w:spacing w:after="0" w:line="200" w:lineRule="exact"/>
        <w:rPr>
          <w:sz w:val="20"/>
          <w:szCs w:val="20"/>
          <w:color w:val="auto"/>
        </w:rPr>
      </w:pP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32"/>
          </w:cols>
          <w:pgMar w:left="328" w:top="104"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Non-GAAP free cash flow to Net cash provided by (used for) operating activities, the most directly comparable GAAP cash flow measure: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6"/>
                <w:szCs w:val="16"/>
                <w:color w:val="auto"/>
              </w:rPr>
            </w:pPr>
          </w:p>
        </w:tc>
        <w:tc>
          <w:tcPr>
            <w:tcW w:w="2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23"/>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9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intangible asset obligations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 free cash flow</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1240"/>
          </w:cols>
          <w:pgMar w:left="320" w:top="1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4"/>
          <w:szCs w:val="14"/>
          <w:color w:val="auto"/>
        </w:rPr>
        <w:t>This shareholder letter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those identified below and those discussed in “</w:t>
      </w:r>
      <w:r>
        <w:rPr>
          <w:rFonts w:ascii="Times New Roman" w:cs="Times New Roman" w:eastAsia="Times New Roman" w:hAnsi="Times New Roman"/>
          <w:sz w:val="14"/>
          <w:szCs w:val="14"/>
          <w:i w:val="1"/>
          <w:iCs w:val="1"/>
          <w:color w:val="auto"/>
        </w:rPr>
        <w:t>Item 3. Key Information—D. Risk Factors</w:t>
      </w:r>
      <w:r>
        <w:rPr>
          <w:rFonts w:ascii="Times New Roman" w:cs="Times New Roman" w:eastAsia="Times New Roman" w:hAnsi="Times New Roman"/>
          <w:sz w:val="14"/>
          <w:szCs w:val="14"/>
          <w:color w:val="auto"/>
        </w:rPr>
        <w:t>” in our Annual Report on Form 20-F for the fiscal year ended March 31, 2024, filed with the SEC on May 29, 2024.</w:t>
      </w:r>
    </w:p>
    <w:p>
      <w:pPr>
        <w:spacing w:after="0" w:line="188" w:lineRule="exact"/>
        <w:rPr>
          <w:sz w:val="20"/>
          <w:szCs w:val="20"/>
          <w:color w:val="auto"/>
        </w:rPr>
      </w:pPr>
    </w:p>
    <w:p>
      <w:pPr>
        <w:jc w:val="both"/>
        <w:ind w:firstLine="486"/>
        <w:spacing w:after="0" w:line="260" w:lineRule="auto"/>
        <w:rPr>
          <w:sz w:val="20"/>
          <w:szCs w:val="20"/>
          <w:color w:val="auto"/>
        </w:rPr>
      </w:pPr>
      <w:r>
        <w:rPr>
          <w:rFonts w:ascii="Times New Roman" w:cs="Times New Roman" w:eastAsia="Times New Roman" w:hAnsi="Times New Roman"/>
          <w:sz w:val="14"/>
          <w:szCs w:val="14"/>
          <w:color w:val="auto"/>
        </w:rPr>
        <w:t>This shareholder letter contains forward-looking statements within the meaning of Section 27A of the Securities Act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shareholder letter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shareholder letter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shareholder letter speaks only as of the date hereof, and we do not undertake any obligation to update any forward-looking statement to reflect events or circumstances after the date of this shareholder letter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18</w:t>
      </w:r>
    </w:p>
    <w:sectPr>
      <w:pgSz w:w="11900" w:h="16838" w:orient="portrait"/>
      <w:cols w:equalWidth="0" w:num="1">
        <w:col w:w="11240"/>
      </w:cols>
      <w:pgMar w:left="320" w:top="10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2025-02-05T15:11:32Z</dcterms:created>
  <dcterms:modified xsi:type="dcterms:W3CDTF">2025-02-05T15:11:32Z</dcterms:modified>
</cp:coreProperties>
</file>