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20-F</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(Mark One)</w:t>
      </w:r>
    </w:p>
    <w:p>
      <w:pPr>
        <w:pStyle w:val="TextBody"/>
        <w:bidi w:val="0"/>
        <w:spacing w:lineRule="auto" w:line="288" w:before="200" w:after="283"/>
        <w:ind w:left="0" w:right="0" w:hanging="270"/>
        <w:jc w:val="center"/>
        <w:rPr/>
      </w:pPr>
      <w:r>
        <w:rPr>
          <w:color w:val="000000"/>
        </w:rPr>
        <w:t xml:space="preserve">☐ </w:t>
      </w:r>
      <w:r>
        <w:rPr>
          <w:rFonts w:ascii="Times New Roman;serif" w:hAnsi="Times New Roman;serif"/>
          <w:b/>
          <w:color w:val="000000"/>
          <w:sz w:val="20"/>
        </w:rPr>
        <w:t>REGISTRATION STATEMENT PURSUANT TO SECTION 12(b) OR (g) OF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200" w:after="283"/>
        <w:ind w:left="0" w:right="0" w:hanging="270"/>
        <w:jc w:val="center"/>
        <w:rPr/>
      </w:pPr>
      <w:r>
        <w:rPr>
          <w:color w:val="000000"/>
        </w:rPr>
        <w:t xml:space="preserve">☒ </w:t>
      </w:r>
      <w:r>
        <w:rPr>
          <w:rFonts w:ascii="Times New Roman;serif" w:hAnsi="Times New Roman;serif"/>
          <w:b/>
          <w:color w:val="000000"/>
          <w:sz w:val="20"/>
        </w:rPr>
        <w:t>ANNUAL REPORT PURSUANT TO SECTION 13 OR 15(d) OF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 the fiscal year ended March 31, 2026</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200" w:after="283"/>
        <w:ind w:left="0" w:right="0" w:hanging="270"/>
        <w:jc w:val="center"/>
        <w:rPr/>
      </w:pP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200" w:after="283"/>
        <w:ind w:left="0" w:right="0" w:hanging="270"/>
        <w:jc w:val="center"/>
        <w:rPr/>
      </w:pPr>
      <w:r>
        <w:rPr>
          <w:color w:val="000000"/>
        </w:rPr>
        <w:t xml:space="preserve">☐ </w:t>
      </w:r>
      <w:r>
        <w:rPr>
          <w:rFonts w:ascii="Times New Roman;serif" w:hAnsi="Times New Roman;serif"/>
          <w:b w:val="false"/>
          <w:color w:val="000000"/>
          <w:sz w:val="20"/>
        </w:rPr>
        <w:t>S</w:t>
      </w:r>
      <w:r>
        <w:rPr>
          <w:rFonts w:ascii="Times New Roman;serif" w:hAnsi="Times New Roman;serif"/>
          <w:b/>
          <w:color w:val="000000"/>
          <w:sz w:val="20"/>
        </w:rPr>
        <w:t>HELL COMPANY REPORT PURSUANT TO SECTION 13 OR 15(d) OF THE SECURITIES EXCHANGE ACT OF 1934</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Date of event requiring this shell company report ____________________</w:t>
      </w:r>
    </w:p>
    <w:p>
      <w:pPr>
        <w:pStyle w:val="TextBody"/>
        <w:bidi w:val="0"/>
        <w:spacing w:lineRule="auto" w:line="288" w:before="20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____________________ to ____________________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001-41800</w:t>
      </w:r>
    </w:p>
    <w:p>
      <w:pPr>
        <w:pStyle w:val="TextBody"/>
        <w:bidi w:val="0"/>
        <w:spacing w:lineRule="auto" w:line="288" w:before="0" w:after="0"/>
        <w:jc w:val="center"/>
        <w:rPr>
          <w:rFonts w:ascii="Times New Roman;serif" w:hAnsi="Times New Roman;serif"/>
          <w:b/>
          <w:color w:val="000000"/>
          <w:sz w:val="42"/>
        </w:rPr>
      </w:pPr>
      <w:r>
        <w:rPr>
          <w:rFonts w:ascii="Times New Roman;serif" w:hAnsi="Times New Roman;serif"/>
          <w:b/>
          <w:color w:val="000000"/>
          <w:sz w:val="42"/>
        </w:rPr>
        <w:t>Arm Holdings plc</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England and Wales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(Jurisdiction of incorporation or organization)</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110 Fulbourn Road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Cambridge CB1 9NJ</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Kingdom</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Tel: 44 (1223) 400 400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Spencer Collins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110 Fulbourn Road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Cambridge CB1 9NJ</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Kingdom</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Tel: 44 (1223) 400 400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Telephone, E-mail and/or Facsimile number and Address of Company Contact Person)</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Securities registered or to be registered pursuant to Section 12(b) of the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043"/>
        <w:gridCol w:w="1741"/>
        <w:gridCol w:w="1682"/>
        <w:gridCol w:w="109"/>
        <w:gridCol w:w="109"/>
        <w:gridCol w:w="109"/>
        <w:gridCol w:w="445"/>
        <w:gridCol w:w="445"/>
        <w:gridCol w:w="446"/>
        <w:gridCol w:w="109"/>
        <w:gridCol w:w="109"/>
        <w:gridCol w:w="109"/>
        <w:gridCol w:w="802"/>
        <w:gridCol w:w="802"/>
        <w:gridCol w:w="1145"/>
      </w:tblGrid>
      <w:tr>
        <w:trPr/>
        <w:tc>
          <w:tcPr>
            <w:tcW w:w="2043"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5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5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American Depositary Shares, each representing one Ordinary Share, nominal value £0.001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5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nominal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 Not for trading, but only in connection with the registration of the American Depositary Shares.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Securities registered or to be registered pursuant to Section 12(g) of the Act: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None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(Title of Class)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Securities for which there is a reporting obligation pursuant to Section 15(d) of the Act: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None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(Title of Class)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the number of outstanding shares of each of the issuer’s classes of capital or common stock as of the close of the period covered by the annual report.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number of ordinary shares outstanding of Arm Holdings plc as of March 31, 2026 was 1,064,055,252.</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a well-known seasoned issuer, as defined in Rule 405 of the Securities Act. Yes ☐ No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this report is an annual or transition report, indicate by check mark if the registrant is not required to file reports pursuant to Section 13 or 15(d) of the Securities Exchange Act of 1934. Yes ☐ No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Note — Checking the box above will not relieve any registrant required to file reports pursuant to Section 13 or 15(d) of the Securities Exchange Act of 1934 from their obligations under those Sections.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or a non-accelerated filer. See definition of “accelerated filer and large accelerated filer” in Rule 12b-2 of the Exchange Act. (Check one):</w:t>
      </w:r>
    </w:p>
    <w:tbl>
      <w:tblPr>
        <w:tblW w:w="8986" w:type="dxa"/>
        <w:jc w:val="center"/>
        <w:tblInd w:w="0" w:type="dxa"/>
        <w:tblLayout w:type="fixed"/>
        <w:tblCellMar>
          <w:top w:w="28" w:type="dxa"/>
          <w:left w:w="28" w:type="dxa"/>
          <w:bottom w:w="28" w:type="dxa"/>
          <w:right w:w="28" w:type="dxa"/>
        </w:tblCellMar>
      </w:tblPr>
      <w:tblGrid>
        <w:gridCol w:w="711"/>
        <w:gridCol w:w="625"/>
        <w:gridCol w:w="629"/>
        <w:gridCol w:w="109"/>
        <w:gridCol w:w="109"/>
        <w:gridCol w:w="109"/>
        <w:gridCol w:w="479"/>
        <w:gridCol w:w="479"/>
        <w:gridCol w:w="481"/>
        <w:gridCol w:w="109"/>
        <w:gridCol w:w="109"/>
        <w:gridCol w:w="109"/>
        <w:gridCol w:w="614"/>
        <w:gridCol w:w="614"/>
        <w:gridCol w:w="616"/>
        <w:gridCol w:w="109"/>
        <w:gridCol w:w="109"/>
        <w:gridCol w:w="109"/>
        <w:gridCol w:w="794"/>
        <w:gridCol w:w="794"/>
        <w:gridCol w:w="797"/>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00" w:after="283"/>
        <w:ind w:left="0" w:right="0" w:firstLine="360"/>
        <w:jc w:val="both"/>
        <w:rPr/>
      </w:pPr>
      <w:r>
        <w:rPr>
          <w:color w:val="000000"/>
        </w:rPr>
        <w:t>†</w:t>
      </w:r>
      <w:r>
        <w:rPr>
          <w:rFonts w:ascii="Times New Roman;serif" w:hAnsi="Times New Roman;serif"/>
          <w:b w:val="false"/>
          <w:color w:val="000000"/>
          <w:sz w:val="20"/>
        </w:rPr>
        <w:t>The term “new or revised financial accounting standard” refers to any update issued by the Financial Accounting Standards Board to its Accounting Standards Codification after April 5, 2012.</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any of those error corrections are restatements that required a recovery analysis of incentive based compensation received by any of the registrant’s executive officers during the relevant recovery period pursuant to §240.10D-1(b).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which basis of accounting the registrant has used to prepare the financial statements included in this filing:</w:t>
      </w:r>
    </w:p>
    <w:tbl>
      <w:tblPr>
        <w:tblW w:w="10205" w:type="dxa"/>
        <w:jc w:val="center"/>
        <w:tblInd w:w="0" w:type="dxa"/>
        <w:tblLayout w:type="fixed"/>
        <w:tblCellMar>
          <w:top w:w="28" w:type="dxa"/>
          <w:left w:w="28" w:type="dxa"/>
          <w:bottom w:w="28" w:type="dxa"/>
          <w:right w:w="28" w:type="dxa"/>
        </w:tblCellMar>
      </w:tblPr>
      <w:tblGrid>
        <w:gridCol w:w="347"/>
        <w:gridCol w:w="306"/>
        <w:gridCol w:w="308"/>
        <w:gridCol w:w="109"/>
        <w:gridCol w:w="109"/>
        <w:gridCol w:w="109"/>
        <w:gridCol w:w="2550"/>
        <w:gridCol w:w="2550"/>
        <w:gridCol w:w="2558"/>
        <w:gridCol w:w="109"/>
        <w:gridCol w:w="109"/>
        <w:gridCol w:w="109"/>
        <w:gridCol w:w="185"/>
        <w:gridCol w:w="185"/>
        <w:gridCol w:w="186"/>
        <w:gridCol w:w="109"/>
        <w:gridCol w:w="109"/>
        <w:gridCol w:w="158"/>
      </w:tblGrid>
      <w:tr>
        <w:trPr/>
        <w:tc>
          <w:tcPr>
            <w:tcW w:w="34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U.S. GAAP</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7658" w:type="dxa"/>
            <w:gridSpan w:val="3"/>
            <w:tcBorders/>
            <w:tcMar>
              <w:top w:w="0" w:type="dxa"/>
              <w:left w:w="0" w:type="dxa"/>
              <w:bottom w:w="0" w:type="dxa"/>
              <w:right w:w="0" w:type="dxa"/>
            </w:tcMar>
            <w:vAlign w:val="center"/>
          </w:tcPr>
          <w:p>
            <w:pPr>
              <w:pStyle w:val="TableContents"/>
              <w:bidi w:val="0"/>
              <w:spacing w:lineRule="auto" w:line="333" w:before="75" w:after="30"/>
              <w:jc w:val="center"/>
              <w:rPr>
                <w:rFonts w:ascii="Times New Roman;serif" w:hAnsi="Times New Roman;serif"/>
                <w:b w:val="false"/>
                <w:color w:val="000000"/>
                <w:sz w:val="20"/>
              </w:rPr>
            </w:pPr>
            <w:r>
              <w:rPr>
                <w:rFonts w:ascii="Times New Roman;serif" w:hAnsi="Times New Roman;serif"/>
                <w:b w:val="false"/>
                <w:color w:val="000000"/>
                <w:sz w:val="20"/>
              </w:rPr>
              <w:t>International Financial Reporting Standards as issued by the International Accounting Standards Board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3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“Other” has been checked in response to the previous question, indicate by check mark which financial statement item the registrant has elected to follow: Item 17 ☐ Item 18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this is an annual report, indicate by check mark whether the registrant is a shell company (as defined in Rule 12b-2 of the Exchange Act). Yes ☐ No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7845" w:type="dxa"/>
        <w:jc w:val="center"/>
        <w:tblInd w:w="0" w:type="dxa"/>
        <w:tblLayout w:type="fixed"/>
        <w:tblCellMar>
          <w:top w:w="28" w:type="dxa"/>
          <w:left w:w="28" w:type="dxa"/>
          <w:bottom w:w="28" w:type="dxa"/>
          <w:right w:w="28" w:type="dxa"/>
        </w:tblCellMar>
      </w:tblPr>
      <w:tblGrid>
        <w:gridCol w:w="331"/>
        <w:gridCol w:w="291"/>
        <w:gridCol w:w="292"/>
        <w:gridCol w:w="2119"/>
        <w:gridCol w:w="2119"/>
        <w:gridCol w:w="2122"/>
        <w:gridCol w:w="167"/>
        <w:gridCol w:w="167"/>
        <w:gridCol w:w="237"/>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Page</w:t>
            </w:r>
          </w:p>
        </w:tc>
      </w:tr>
      <w:tr>
        <w:trPr/>
        <w:tc>
          <w:tcPr>
            <w:tcW w:w="727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PART I</w:t>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22">
              <w:r>
                <w:rPr>
                  <w:rStyle w:val="InternetLink"/>
                  <w:rFonts w:ascii="Times New Roman;serif" w:hAnsi="Times New Roman;serif"/>
                  <w:b w:val="false"/>
                  <w:strike w:val="false"/>
                  <w:dstrike w:val="false"/>
                  <w:color w:val="000000"/>
                  <w:sz w:val="20"/>
                  <w:u w:val="none"/>
                  <w:effect w:val="none"/>
                </w:rPr>
                <w:t>Identity of Directors, Senior Management and Advisers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22">
              <w:r>
                <w:rPr>
                  <w:rStyle w:val="InternetLink"/>
                  <w:rFonts w:ascii="Times New Roman;serif" w:hAnsi="Times New Roman;serif"/>
                  <w:b w:val="false"/>
                  <w:strike w:val="false"/>
                  <w:dstrike w:val="false"/>
                  <w:color w:val="000000"/>
                  <w:sz w:val="20"/>
                  <w:u w:val="none"/>
                  <w:effect w:val="none"/>
                </w:rPr>
                <w:t>6</w:t>
              </w:r>
            </w:hyperlink>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25">
              <w:r>
                <w:rPr>
                  <w:rStyle w:val="InternetLink"/>
                  <w:rFonts w:ascii="Times New Roman;serif" w:hAnsi="Times New Roman;serif"/>
                  <w:b w:val="false"/>
                  <w:strike w:val="false"/>
                  <w:dstrike w:val="false"/>
                  <w:color w:val="000000"/>
                  <w:sz w:val="20"/>
                  <w:u w:val="none"/>
                  <w:effect w:val="none"/>
                </w:rPr>
                <w:t>Oﬀer Statistics and Expected Timetable</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25">
              <w:r>
                <w:rPr>
                  <w:rStyle w:val="InternetLink"/>
                  <w:rFonts w:ascii="Times New Roman;serif" w:hAnsi="Times New Roman;serif"/>
                  <w:b w:val="false"/>
                  <w:strike w:val="false"/>
                  <w:dstrike w:val="false"/>
                  <w:color w:val="000000"/>
                  <w:sz w:val="20"/>
                  <w:u w:val="none"/>
                  <w:effect w:val="none"/>
                </w:rPr>
                <w:t>6</w:t>
              </w:r>
            </w:hyperlink>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28">
              <w:r>
                <w:rPr>
                  <w:rStyle w:val="InternetLink"/>
                  <w:rFonts w:ascii="Times New Roman;serif" w:hAnsi="Times New Roman;serif"/>
                  <w:b w:val="false"/>
                  <w:strike w:val="false"/>
                  <w:dstrike w:val="false"/>
                  <w:color w:val="000000"/>
                  <w:sz w:val="20"/>
                  <w:u w:val="none"/>
                  <w:effect w:val="none"/>
                </w:rPr>
                <w:t>Key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28">
              <w:r>
                <w:rPr>
                  <w:rStyle w:val="InternetLink"/>
                  <w:rFonts w:ascii="Times New Roman;serif" w:hAnsi="Times New Roman;serif"/>
                  <w:b w:val="false"/>
                  <w:strike w:val="false"/>
                  <w:dstrike w:val="false"/>
                  <w:color w:val="000000"/>
                  <w:sz w:val="20"/>
                  <w:u w:val="none"/>
                  <w:effect w:val="none"/>
                </w:rPr>
                <w:t>6</w:t>
              </w:r>
            </w:hyperlink>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43">
              <w:r>
                <w:rPr>
                  <w:rStyle w:val="InternetLink"/>
                  <w:rFonts w:ascii="Times New Roman;serif" w:hAnsi="Times New Roman;serif"/>
                  <w:b w:val="false"/>
                  <w:strike w:val="false"/>
                  <w:dstrike w:val="false"/>
                  <w:color w:val="000000"/>
                  <w:sz w:val="20"/>
                  <w:u w:val="none"/>
                  <w:effect w:val="none"/>
                </w:rPr>
                <w:t>Information on the Company</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43">
              <w:r>
                <w:rPr>
                  <w:rStyle w:val="InternetLink"/>
                  <w:rFonts w:ascii="Times New Roman;serif" w:hAnsi="Times New Roman;serif"/>
                  <w:b w:val="false"/>
                  <w:strike w:val="false"/>
                  <w:dstrike w:val="false"/>
                  <w:color w:val="000000"/>
                  <w:sz w:val="20"/>
                  <w:u w:val="none"/>
                  <w:effect w:val="none"/>
                </w:rPr>
                <w:t>55</w:t>
              </w:r>
            </w:hyperlink>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4A.</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58">
              <w:r>
                <w:rPr>
                  <w:rStyle w:val="InternetLink"/>
                  <w:rFonts w:ascii="Times New Roman;serif" w:hAnsi="Times New Roman;serif"/>
                  <w:b w:val="false"/>
                  <w:strike w:val="false"/>
                  <w:dstrike w:val="false"/>
                  <w:color w:val="000000"/>
                  <w:sz w:val="20"/>
                  <w:u w:val="none"/>
                  <w:effect w:val="none"/>
                </w:rPr>
                <w:t>Unresolved Staﬀ Comments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58">
              <w:r>
                <w:rPr>
                  <w:rStyle w:val="InternetLink"/>
                  <w:rFonts w:ascii="Times New Roman;serif" w:hAnsi="Times New Roman;serif"/>
                  <w:b w:val="false"/>
                  <w:strike w:val="false"/>
                  <w:dstrike w:val="false"/>
                  <w:color w:val="000000"/>
                  <w:sz w:val="20"/>
                  <w:u w:val="none"/>
                  <w:effect w:val="none"/>
                </w:rPr>
                <w:t>66</w:t>
              </w:r>
            </w:hyperlink>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61">
              <w:r>
                <w:rPr>
                  <w:rStyle w:val="InternetLink"/>
                  <w:rFonts w:ascii="Times New Roman;serif" w:hAnsi="Times New Roman;serif"/>
                  <w:b w:val="false"/>
                  <w:strike w:val="false"/>
                  <w:dstrike w:val="false"/>
                  <w:color w:val="000000"/>
                  <w:sz w:val="20"/>
                  <w:u w:val="none"/>
                  <w:effect w:val="none"/>
                </w:rPr>
                <w:t>Operating and Financial Review and Prospects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61">
              <w:r>
                <w:rPr>
                  <w:rStyle w:val="InternetLink"/>
                  <w:rFonts w:ascii="Times New Roman;serif" w:hAnsi="Times New Roman;serif"/>
                  <w:b w:val="false"/>
                  <w:strike w:val="false"/>
                  <w:dstrike w:val="false"/>
                  <w:color w:val="000000"/>
                  <w:sz w:val="20"/>
                  <w:u w:val="none"/>
                  <w:effect w:val="none"/>
                </w:rPr>
                <w:t>66</w:t>
              </w:r>
            </w:hyperlink>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88">
              <w:r>
                <w:rPr>
                  <w:rStyle w:val="InternetLink"/>
                  <w:rFonts w:ascii="Times New Roman;serif" w:hAnsi="Times New Roman;serif"/>
                  <w:b w:val="false"/>
                  <w:strike w:val="false"/>
                  <w:dstrike w:val="false"/>
                  <w:color w:val="000000"/>
                  <w:sz w:val="20"/>
                  <w:u w:val="none"/>
                  <w:effect w:val="none"/>
                </w:rPr>
                <w:t>Directors, Senior Management and Employees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88">
              <w:r>
                <w:rPr>
                  <w:rStyle w:val="InternetLink"/>
                  <w:rFonts w:ascii="Times New Roman;serif" w:hAnsi="Times New Roman;serif"/>
                  <w:b w:val="false"/>
                  <w:strike w:val="false"/>
                  <w:dstrike w:val="false"/>
                  <w:color w:val="000000"/>
                  <w:sz w:val="20"/>
                  <w:u w:val="none"/>
                  <w:effect w:val="none"/>
                </w:rPr>
                <w:t>83</w:t>
              </w:r>
            </w:hyperlink>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109">
              <w:r>
                <w:rPr>
                  <w:rStyle w:val="InternetLink"/>
                  <w:rFonts w:ascii="Times New Roman;serif" w:hAnsi="Times New Roman;serif"/>
                  <w:b w:val="false"/>
                  <w:strike w:val="false"/>
                  <w:dstrike w:val="false"/>
                  <w:color w:val="000000"/>
                  <w:sz w:val="20"/>
                  <w:u w:val="none"/>
                  <w:effect w:val="none"/>
                </w:rPr>
                <w:t>Major Shareholders and Related Party Transactions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109">
              <w:r>
                <w:rPr>
                  <w:rStyle w:val="InternetLink"/>
                  <w:rFonts w:ascii="Times New Roman;serif" w:hAnsi="Times New Roman;serif"/>
                  <w:b w:val="false"/>
                  <w:strike w:val="false"/>
                  <w:dstrike w:val="false"/>
                  <w:color w:val="000000"/>
                  <w:sz w:val="20"/>
                  <w:u w:val="none"/>
                  <w:effect w:val="none"/>
                </w:rPr>
                <w:t>112</w:t>
              </w:r>
            </w:hyperlink>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1162">
              <w:r>
                <w:rPr>
                  <w:rStyle w:val="InternetLink"/>
                  <w:rFonts w:ascii="Times New Roman;serif" w:hAnsi="Times New Roman;serif"/>
                  <w:b w:val="false"/>
                  <w:strike w:val="false"/>
                  <w:dstrike w:val="false"/>
                  <w:color w:val="000000"/>
                  <w:sz w:val="20"/>
                  <w:u w:val="none"/>
                  <w:effect w:val="none"/>
                </w:rPr>
                <w:t>Financial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1162">
              <w:r>
                <w:rPr>
                  <w:rStyle w:val="InternetLink"/>
                  <w:rFonts w:ascii="Times New Roman;serif" w:hAnsi="Times New Roman;serif"/>
                  <w:b w:val="false"/>
                  <w:strike w:val="false"/>
                  <w:dstrike w:val="false"/>
                  <w:color w:val="000000"/>
                  <w:sz w:val="20"/>
                  <w:u w:val="none"/>
                  <w:effect w:val="none"/>
                </w:rPr>
                <w:t>122</w:t>
              </w:r>
            </w:hyperlink>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238">
              <w:r>
                <w:rPr>
                  <w:rStyle w:val="InternetLink"/>
                  <w:rFonts w:ascii="Times New Roman;serif" w:hAnsi="Times New Roman;serif"/>
                  <w:b w:val="false"/>
                  <w:strike w:val="false"/>
                  <w:dstrike w:val="false"/>
                  <w:color w:val="000000"/>
                  <w:sz w:val="20"/>
                  <w:u w:val="none"/>
                  <w:effect w:val="none"/>
                </w:rPr>
                <w:t>The Oﬀer and Listing</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238">
              <w:r>
                <w:rPr>
                  <w:rStyle w:val="InternetLink"/>
                  <w:rFonts w:ascii="Times New Roman;serif" w:hAnsi="Times New Roman;serif"/>
                  <w:b w:val="false"/>
                  <w:strike w:val="false"/>
                  <w:dstrike w:val="false"/>
                  <w:color w:val="000000"/>
                  <w:sz w:val="20"/>
                  <w:u w:val="none"/>
                  <w:effect w:val="none"/>
                </w:rPr>
                <w:t>185</w:t>
              </w:r>
            </w:hyperlink>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259">
              <w:r>
                <w:rPr>
                  <w:rStyle w:val="InternetLink"/>
                  <w:rFonts w:ascii="Times New Roman;serif" w:hAnsi="Times New Roman;serif"/>
                  <w:b w:val="false"/>
                  <w:strike w:val="false"/>
                  <w:dstrike w:val="false"/>
                  <w:color w:val="000000"/>
                  <w:sz w:val="20"/>
                  <w:u w:val="none"/>
                  <w:effect w:val="none"/>
                </w:rPr>
                <w:t>Additional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259">
              <w:r>
                <w:rPr>
                  <w:rStyle w:val="InternetLink"/>
                  <w:rFonts w:ascii="Times New Roman;serif" w:hAnsi="Times New Roman;serif"/>
                  <w:b w:val="false"/>
                  <w:strike w:val="false"/>
                  <w:dstrike w:val="false"/>
                  <w:color w:val="000000"/>
                  <w:sz w:val="20"/>
                  <w:u w:val="none"/>
                  <w:effect w:val="none"/>
                </w:rPr>
                <w:t>185</w:t>
              </w:r>
            </w:hyperlink>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292">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292">
              <w:r>
                <w:rPr>
                  <w:rStyle w:val="InternetLink"/>
                  <w:rFonts w:ascii="Times New Roman;serif" w:hAnsi="Times New Roman;serif"/>
                  <w:b w:val="false"/>
                  <w:strike w:val="false"/>
                  <w:dstrike w:val="false"/>
                  <w:color w:val="000000"/>
                  <w:sz w:val="20"/>
                  <w:u w:val="none"/>
                  <w:effect w:val="none"/>
                </w:rPr>
                <w:t>193</w:t>
              </w:r>
            </w:hyperlink>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295">
              <w:r>
                <w:rPr>
                  <w:rStyle w:val="InternetLink"/>
                  <w:rFonts w:ascii="Times New Roman;serif" w:hAnsi="Times New Roman;serif"/>
                  <w:b w:val="false"/>
                  <w:strike w:val="false"/>
                  <w:dstrike w:val="false"/>
                  <w:color w:val="000000"/>
                  <w:sz w:val="20"/>
                  <w:u w:val="none"/>
                  <w:effect w:val="none"/>
                </w:rPr>
                <w:t>Description of Securities Other than Equity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295">
              <w:r>
                <w:rPr>
                  <w:rStyle w:val="InternetLink"/>
                  <w:rFonts w:ascii="Times New Roman;serif" w:hAnsi="Times New Roman;serif"/>
                  <w:b w:val="false"/>
                  <w:strike w:val="false"/>
                  <w:dstrike w:val="false"/>
                  <w:color w:val="000000"/>
                  <w:sz w:val="20"/>
                  <w:u w:val="none"/>
                  <w:effect w:val="none"/>
                </w:rPr>
                <w:t>194</w:t>
              </w:r>
            </w:hyperlink>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636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727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Part II</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313">
              <w:r>
                <w:rPr>
                  <w:rStyle w:val="InternetLink"/>
                  <w:rFonts w:ascii="Times New Roman;serif" w:hAnsi="Times New Roman;serif"/>
                  <w:b w:val="false"/>
                  <w:strike w:val="false"/>
                  <w:dstrike w:val="false"/>
                  <w:color w:val="000000"/>
                  <w:sz w:val="20"/>
                  <w:u w:val="none"/>
                  <w:effect w:val="none"/>
                </w:rPr>
                <w:t>Defaults, Dividend Arrearages and Delinquencies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313">
              <w:r>
                <w:rPr>
                  <w:rStyle w:val="InternetLink"/>
                  <w:rFonts w:ascii="Times New Roman;serif" w:hAnsi="Times New Roman;serif"/>
                  <w:b w:val="false"/>
                  <w:strike w:val="false"/>
                  <w:dstrike w:val="false"/>
                  <w:color w:val="000000"/>
                  <w:sz w:val="20"/>
                  <w:u w:val="none"/>
                  <w:effect w:val="none"/>
                </w:rPr>
                <w:t>196</w:t>
              </w:r>
            </w:hyperlink>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316">
              <w:r>
                <w:rPr>
                  <w:rStyle w:val="InternetLink"/>
                  <w:rFonts w:ascii="Times New Roman;serif" w:hAnsi="Times New Roman;serif"/>
                  <w:b w:val="false"/>
                  <w:strike w:val="false"/>
                  <w:dstrike w:val="false"/>
                  <w:color w:val="000000"/>
                  <w:sz w:val="20"/>
                  <w:u w:val="none"/>
                  <w:effect w:val="none"/>
                </w:rPr>
                <w:t>Material Modifications to the Rights of Security Holders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316">
              <w:r>
                <w:rPr>
                  <w:rStyle w:val="InternetLink"/>
                  <w:rFonts w:ascii="Times New Roman;serif" w:hAnsi="Times New Roman;serif"/>
                  <w:b w:val="false"/>
                  <w:strike w:val="false"/>
                  <w:dstrike w:val="false"/>
                  <w:color w:val="000000"/>
                  <w:sz w:val="20"/>
                  <w:u w:val="none"/>
                  <w:effect w:val="none"/>
                </w:rPr>
                <w:t>196</w:t>
              </w:r>
            </w:hyperlink>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319">
              <w:r>
                <w:rPr>
                  <w:rStyle w:val="InternetLink"/>
                  <w:rFonts w:ascii="Times New Roman;serif" w:hAnsi="Times New Roman;serif"/>
                  <w:b w:val="false"/>
                  <w:strike w:val="false"/>
                  <w:dstrike w:val="false"/>
                  <w:color w:val="000000"/>
                  <w:sz w:val="20"/>
                  <w:u w:val="none"/>
                  <w:effect w:val="non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319">
              <w:r>
                <w:rPr>
                  <w:rStyle w:val="InternetLink"/>
                  <w:rFonts w:ascii="Times New Roman;serif" w:hAnsi="Times New Roman;serif"/>
                  <w:b w:val="false"/>
                  <w:strike w:val="false"/>
                  <w:dstrike w:val="false"/>
                  <w:color w:val="000000"/>
                  <w:sz w:val="20"/>
                  <w:u w:val="none"/>
                  <w:effect w:val="none"/>
                </w:rPr>
                <w:t>196</w:t>
              </w:r>
            </w:hyperlink>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322">
              <w:r>
                <w:rPr>
                  <w:rStyle w:val="InternetLink"/>
                  <w:rFonts w:ascii="Times New Roman;serif" w:hAnsi="Times New Roman;serif"/>
                  <w:b w:val="false"/>
                  <w:strike w:val="false"/>
                  <w:dstrike w:val="false"/>
                  <w:color w:val="000000"/>
                  <w:sz w:val="20"/>
                  <w:u w:val="none"/>
                  <w:effect w:val="none"/>
                </w:rPr>
                <w:t>[Reserved]</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322">
              <w:r>
                <w:rPr>
                  <w:rStyle w:val="InternetLink"/>
                  <w:rFonts w:ascii="Times New Roman;serif" w:hAnsi="Times New Roman;serif"/>
                  <w:b w:val="false"/>
                  <w:strike w:val="false"/>
                  <w:dstrike w:val="false"/>
                  <w:color w:val="000000"/>
                  <w:sz w:val="20"/>
                  <w:u w:val="none"/>
                  <w:effect w:val="none"/>
                </w:rPr>
                <w:t>196</w:t>
              </w:r>
            </w:hyperlink>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16A.</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325">
              <w:r>
                <w:rPr>
                  <w:rStyle w:val="InternetLink"/>
                  <w:rFonts w:ascii="Times New Roman;serif" w:hAnsi="Times New Roman;serif"/>
                  <w:b w:val="false"/>
                  <w:strike w:val="false"/>
                  <w:dstrike w:val="false"/>
                  <w:color w:val="000000"/>
                  <w:sz w:val="20"/>
                  <w:u w:val="none"/>
                  <w:effect w:val="none"/>
                </w:rPr>
                <w:t>Audit committee financial expert</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325">
              <w:r>
                <w:rPr>
                  <w:rStyle w:val="InternetLink"/>
                  <w:rFonts w:ascii="Times New Roman;serif" w:hAnsi="Times New Roman;serif"/>
                  <w:b w:val="false"/>
                  <w:strike w:val="false"/>
                  <w:dstrike w:val="false"/>
                  <w:color w:val="000000"/>
                  <w:sz w:val="20"/>
                  <w:u w:val="none"/>
                  <w:effect w:val="none"/>
                </w:rPr>
                <w:t>196</w:t>
              </w:r>
            </w:hyperlink>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16B.</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328">
              <w:r>
                <w:rPr>
                  <w:rStyle w:val="InternetLink"/>
                  <w:rFonts w:ascii="Times New Roman;serif" w:hAnsi="Times New Roman;serif"/>
                  <w:b w:val="false"/>
                  <w:strike w:val="false"/>
                  <w:dstrike w:val="false"/>
                  <w:color w:val="000000"/>
                  <w:sz w:val="20"/>
                  <w:u w:val="none"/>
                  <w:effect w:val="none"/>
                </w:rPr>
                <w:t>Code of Ethics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328">
              <w:r>
                <w:rPr>
                  <w:rStyle w:val="InternetLink"/>
                  <w:rFonts w:ascii="Times New Roman;serif" w:hAnsi="Times New Roman;serif"/>
                  <w:b w:val="false"/>
                  <w:strike w:val="false"/>
                  <w:dstrike w:val="false"/>
                  <w:color w:val="000000"/>
                  <w:sz w:val="20"/>
                  <w:u w:val="none"/>
                  <w:effect w:val="none"/>
                </w:rPr>
                <w:t>197</w:t>
              </w:r>
            </w:hyperlink>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16C.</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331">
              <w:r>
                <w:rPr>
                  <w:rStyle w:val="InternetLink"/>
                  <w:rFonts w:ascii="Times New Roman;serif" w:hAnsi="Times New Roman;serif"/>
                  <w:b w:val="false"/>
                  <w:strike w:val="false"/>
                  <w:dstrike w:val="false"/>
                  <w:color w:val="000000"/>
                  <w:sz w:val="20"/>
                  <w:u w:val="none"/>
                  <w:effect w:val="none"/>
                </w:rPr>
                <w:t>Principal Accountant Fees and Services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331">
              <w:r>
                <w:rPr>
                  <w:rStyle w:val="InternetLink"/>
                  <w:rFonts w:ascii="Times New Roman;serif" w:hAnsi="Times New Roman;serif"/>
                  <w:b w:val="false"/>
                  <w:strike w:val="false"/>
                  <w:dstrike w:val="false"/>
                  <w:color w:val="000000"/>
                  <w:sz w:val="20"/>
                  <w:u w:val="none"/>
                  <w:effect w:val="none"/>
                </w:rPr>
                <w:t>197</w:t>
              </w:r>
            </w:hyperlink>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16D.</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334">
              <w:r>
                <w:rPr>
                  <w:rStyle w:val="InternetLink"/>
                  <w:rFonts w:ascii="Times New Roman;serif" w:hAnsi="Times New Roman;serif"/>
                  <w:b w:val="false"/>
                  <w:strike w:val="false"/>
                  <w:dstrike w:val="false"/>
                  <w:color w:val="000000"/>
                  <w:sz w:val="20"/>
                  <w:u w:val="none"/>
                  <w:effect w:val="none"/>
                </w:rPr>
                <w:t>Exemptions from the Listing Standards for Audit Committees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334">
              <w:r>
                <w:rPr>
                  <w:rStyle w:val="InternetLink"/>
                  <w:rFonts w:ascii="Times New Roman;serif" w:hAnsi="Times New Roman;serif"/>
                  <w:b w:val="false"/>
                  <w:strike w:val="false"/>
                  <w:dstrike w:val="false"/>
                  <w:color w:val="000000"/>
                  <w:sz w:val="20"/>
                  <w:u w:val="none"/>
                  <w:effect w:val="none"/>
                </w:rPr>
                <w:t>197</w:t>
              </w:r>
            </w:hyperlink>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16E.</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337">
              <w:r>
                <w:rPr>
                  <w:rStyle w:val="InternetLink"/>
                  <w:rFonts w:ascii="Times New Roman;serif" w:hAnsi="Times New Roman;serif"/>
                  <w:b w:val="false"/>
                  <w:strike w:val="false"/>
                  <w:dstrike w:val="false"/>
                  <w:color w:val="000000"/>
                  <w:sz w:val="20"/>
                  <w:u w:val="none"/>
                  <w:effect w:val="none"/>
                </w:rPr>
                <w:t>Purchases of Equity Securities by the Issuer and Aﬃliated Purchasers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337">
              <w:r>
                <w:rPr>
                  <w:rStyle w:val="InternetLink"/>
                  <w:rFonts w:ascii="Times New Roman;serif" w:hAnsi="Times New Roman;serif"/>
                  <w:b w:val="false"/>
                  <w:strike w:val="false"/>
                  <w:dstrike w:val="false"/>
                  <w:color w:val="000000"/>
                  <w:sz w:val="20"/>
                  <w:u w:val="none"/>
                  <w:effect w:val="none"/>
                </w:rPr>
                <w:t>197</w:t>
              </w:r>
            </w:hyperlink>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16F.</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340">
              <w:r>
                <w:rPr>
                  <w:rStyle w:val="InternetLink"/>
                  <w:rFonts w:ascii="Times New Roman;serif" w:hAnsi="Times New Roman;serif"/>
                  <w:b w:val="false"/>
                  <w:strike w:val="false"/>
                  <w:dstrike w:val="false"/>
                  <w:color w:val="000000"/>
                  <w:sz w:val="20"/>
                  <w:u w:val="none"/>
                  <w:effect w:val="none"/>
                </w:rPr>
                <w:t>Change in Registrant’s Certifying Accountant</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340">
              <w:r>
                <w:rPr>
                  <w:rStyle w:val="InternetLink"/>
                  <w:rFonts w:ascii="Times New Roman;serif" w:hAnsi="Times New Roman;serif"/>
                  <w:b w:val="false"/>
                  <w:strike w:val="false"/>
                  <w:dstrike w:val="false"/>
                  <w:color w:val="000000"/>
                  <w:sz w:val="20"/>
                  <w:u w:val="none"/>
                  <w:effect w:val="none"/>
                </w:rPr>
                <w:t>197</w:t>
              </w:r>
            </w:hyperlink>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16G.</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343">
              <w:r>
                <w:rPr>
                  <w:rStyle w:val="InternetLink"/>
                  <w:rFonts w:ascii="Times New Roman;serif" w:hAnsi="Times New Roman;serif"/>
                  <w:b w:val="false"/>
                  <w:strike w:val="false"/>
                  <w:dstrike w:val="false"/>
                  <w:color w:val="000000"/>
                  <w:sz w:val="20"/>
                  <w:u w:val="none"/>
                  <w:effect w:val="none"/>
                </w:rPr>
                <w:t>Corporate Governance</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343">
              <w:r>
                <w:rPr>
                  <w:rStyle w:val="InternetLink"/>
                  <w:rFonts w:ascii="Times New Roman;serif" w:hAnsi="Times New Roman;serif"/>
                  <w:b w:val="false"/>
                  <w:strike w:val="false"/>
                  <w:dstrike w:val="false"/>
                  <w:color w:val="000000"/>
                  <w:sz w:val="20"/>
                  <w:u w:val="none"/>
                  <w:effect w:val="none"/>
                </w:rPr>
                <w:t>197</w:t>
              </w:r>
            </w:hyperlink>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16H.</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346">
              <w:r>
                <w:rPr>
                  <w:rStyle w:val="InternetLink"/>
                  <w:rFonts w:ascii="Times New Roman;serif" w:hAnsi="Times New Roman;serif"/>
                  <w:b w:val="false"/>
                  <w:strike w:val="false"/>
                  <w:dstrike w:val="false"/>
                  <w:color w:val="000000"/>
                  <w:sz w:val="20"/>
                  <w:u w:val="none"/>
                  <w:effect w:val="none"/>
                </w:rPr>
                <w:t>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346">
              <w:r>
                <w:rPr>
                  <w:rStyle w:val="InternetLink"/>
                  <w:rFonts w:ascii="Times New Roman;serif" w:hAnsi="Times New Roman;serif"/>
                  <w:b w:val="false"/>
                  <w:strike w:val="false"/>
                  <w:dstrike w:val="false"/>
                  <w:color w:val="000000"/>
                  <w:sz w:val="20"/>
                  <w:u w:val="none"/>
                  <w:effect w:val="none"/>
                </w:rPr>
                <w:t>198</w:t>
              </w:r>
            </w:hyperlink>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16I.</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349">
              <w:r>
                <w:rPr>
                  <w:rStyle w:val="InternetLink"/>
                  <w:rFonts w:ascii="Times New Roman;serif" w:hAnsi="Times New Roman;serif"/>
                  <w:b w:val="false"/>
                  <w:strike w:val="false"/>
                  <w:dstrike w:val="false"/>
                  <w:color w:val="000000"/>
                  <w:sz w:val="20"/>
                  <w:u w:val="none"/>
                  <w:effect w:val="none"/>
                </w:rPr>
                <w:t>Disclosure Regarding Foreign Jurisdictions that Prevent Inspections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349">
              <w:r>
                <w:rPr>
                  <w:rStyle w:val="InternetLink"/>
                  <w:rFonts w:ascii="Times New Roman;serif" w:hAnsi="Times New Roman;serif"/>
                  <w:b w:val="false"/>
                  <w:strike w:val="false"/>
                  <w:dstrike w:val="false"/>
                  <w:color w:val="000000"/>
                  <w:sz w:val="20"/>
                  <w:u w:val="none"/>
                  <w:effect w:val="none"/>
                </w:rPr>
                <w:t>198</w:t>
              </w:r>
            </w:hyperlink>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16J.</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352">
              <w:r>
                <w:rPr>
                  <w:rStyle w:val="InternetLink"/>
                  <w:rFonts w:ascii="Times New Roman;serif" w:hAnsi="Times New Roman;serif"/>
                  <w:b w:val="false"/>
                  <w:strike w:val="false"/>
                  <w:dstrike w:val="false"/>
                  <w:color w:val="000000"/>
                  <w:sz w:val="20"/>
                  <w:u w:val="none"/>
                  <w:effect w:val="none"/>
                </w:rPr>
                <w:t>Insider trading policies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352">
              <w:r>
                <w:rPr>
                  <w:rStyle w:val="InternetLink"/>
                  <w:rFonts w:ascii="Times New Roman;serif" w:hAnsi="Times New Roman;serif"/>
                  <w:b w:val="false"/>
                  <w:strike w:val="false"/>
                  <w:dstrike w:val="false"/>
                  <w:color w:val="000000"/>
                  <w:sz w:val="20"/>
                  <w:u w:val="none"/>
                  <w:effect w:val="none"/>
                </w:rPr>
                <w:t>198</w:t>
              </w:r>
            </w:hyperlink>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16K.</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355">
              <w:r>
                <w:rPr>
                  <w:rStyle w:val="InternetLink"/>
                  <w:rFonts w:ascii="Times New Roman;serif" w:hAnsi="Times New Roman;serif"/>
                  <w:b w:val="false"/>
                  <w:strike w:val="false"/>
                  <w:dstrike w:val="false"/>
                  <w:color w:val="000000"/>
                  <w:sz w:val="20"/>
                  <w:u w:val="none"/>
                  <w:effect w:val="none"/>
                </w:rPr>
                <w:t>Cybersecurity</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355">
              <w:r>
                <w:rPr>
                  <w:rStyle w:val="InternetLink"/>
                  <w:rFonts w:ascii="Times New Roman;serif" w:hAnsi="Times New Roman;serif"/>
                  <w:b w:val="false"/>
                  <w:strike w:val="false"/>
                  <w:dstrike w:val="false"/>
                  <w:color w:val="000000"/>
                  <w:sz w:val="20"/>
                  <w:u w:val="none"/>
                  <w:effect w:val="none"/>
                </w:rPr>
                <w:t>199</w:t>
              </w:r>
            </w:hyperlink>
          </w:p>
        </w:tc>
      </w:tr>
      <w:tr>
        <w:trPr/>
        <w:tc>
          <w:tcPr>
            <w:tcW w:w="727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Part III</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17.</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361">
              <w:r>
                <w:rPr>
                  <w:rStyle w:val="InternetLink"/>
                  <w:rFonts w:ascii="Times New Roman;serif" w:hAnsi="Times New Roman;serif"/>
                  <w:b w:val="false"/>
                  <w:strike w:val="false"/>
                  <w:dstrike w:val="false"/>
                  <w:color w:val="000000"/>
                  <w:sz w:val="20"/>
                  <w:u w:val="none"/>
                  <w:effect w:val="none"/>
                </w:rPr>
                <w:t>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361">
              <w:r>
                <w:rPr>
                  <w:rStyle w:val="InternetLink"/>
                  <w:rFonts w:ascii="Times New Roman;serif" w:hAnsi="Times New Roman;serif"/>
                  <w:b w:val="false"/>
                  <w:strike w:val="false"/>
                  <w:dstrike w:val="false"/>
                  <w:color w:val="000000"/>
                  <w:sz w:val="20"/>
                  <w:u w:val="none"/>
                  <w:effect w:val="none"/>
                </w:rPr>
                <w:t>200</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3045" w:type="dxa"/>
        <w:jc w:val="center"/>
        <w:tblInd w:w="0" w:type="dxa"/>
        <w:tblLayout w:type="fixed"/>
        <w:tblCellMar>
          <w:top w:w="28" w:type="dxa"/>
          <w:left w:w="28" w:type="dxa"/>
          <w:bottom w:w="28" w:type="dxa"/>
          <w:right w:w="28" w:type="dxa"/>
        </w:tblCellMar>
      </w:tblPr>
      <w:tblGrid>
        <w:gridCol w:w="282"/>
        <w:gridCol w:w="248"/>
        <w:gridCol w:w="250"/>
        <w:gridCol w:w="599"/>
        <w:gridCol w:w="599"/>
        <w:gridCol w:w="601"/>
        <w:gridCol w:w="136"/>
        <w:gridCol w:w="136"/>
        <w:gridCol w:w="194"/>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18.</w:t>
            </w:r>
          </w:p>
        </w:tc>
        <w:tc>
          <w:tcPr>
            <w:tcW w:w="17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364">
              <w:r>
                <w:rPr>
                  <w:rStyle w:val="InternetLink"/>
                  <w:rFonts w:ascii="Times New Roman;serif" w:hAnsi="Times New Roman;serif"/>
                  <w:b w:val="false"/>
                  <w:strike w:val="false"/>
                  <w:dstrike w:val="false"/>
                  <w:color w:val="000000"/>
                  <w:sz w:val="20"/>
                  <w:u w:val="none"/>
                  <w:effect w:val="none"/>
                </w:rPr>
                <w:t>Financial Statements</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364">
              <w:r>
                <w:rPr>
                  <w:rStyle w:val="InternetLink"/>
                  <w:rFonts w:ascii="Times New Roman;serif" w:hAnsi="Times New Roman;serif"/>
                  <w:b w:val="false"/>
                  <w:strike w:val="false"/>
                  <w:dstrike w:val="false"/>
                  <w:color w:val="000000"/>
                  <w:sz w:val="20"/>
                  <w:u w:val="none"/>
                  <w:effect w:val="none"/>
                </w:rPr>
                <w:t>200</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19.</w:t>
            </w:r>
          </w:p>
        </w:tc>
        <w:tc>
          <w:tcPr>
            <w:tcW w:w="17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367">
              <w:r>
                <w:rPr>
                  <w:rStyle w:val="InternetLink"/>
                  <w:rFonts w:ascii="Times New Roman;serif" w:hAnsi="Times New Roman;serif"/>
                  <w:b w:val="false"/>
                  <w:strike w:val="false"/>
                  <w:dstrike w:val="false"/>
                  <w:color w:val="000000"/>
                  <w:sz w:val="20"/>
                  <w:u w:val="none"/>
                  <w:effect w:val="none"/>
                </w:rPr>
                <w:t>Exhibits</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367">
              <w:r>
                <w:rPr>
                  <w:rStyle w:val="InternetLink"/>
                  <w:rFonts w:ascii="Times New Roman;serif" w:hAnsi="Times New Roman;serif"/>
                  <w:b w:val="false"/>
                  <w:strike w:val="false"/>
                  <w:dstrike w:val="false"/>
                  <w:color w:val="000000"/>
                  <w:sz w:val="20"/>
                  <w:u w:val="none"/>
                  <w:effect w:val="none"/>
                </w:rPr>
                <w:t>201</w:t>
              </w:r>
            </w:hyperlink>
          </w:p>
        </w:tc>
      </w:tr>
      <w:tr>
        <w:trPr/>
        <w:tc>
          <w:tcPr>
            <w:tcW w:w="2579"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370">
              <w:r>
                <w:rPr>
                  <w:rStyle w:val="InternetLink"/>
                  <w:rFonts w:ascii="Times New Roman;serif" w:hAnsi="Times New Roman;serif"/>
                  <w:b w:val="false"/>
                  <w:strike w:val="false"/>
                  <w:dstrike w:val="false"/>
                  <w:color w:val="000000"/>
                  <w:sz w:val="20"/>
                  <w:u w:val="none"/>
                  <w:effect w:val="none"/>
                </w:rPr>
                <w:t>Signature</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370">
              <w:r>
                <w:rPr>
                  <w:rStyle w:val="InternetLink"/>
                  <w:rFonts w:ascii="Times New Roman;serif" w:hAnsi="Times New Roman;serif"/>
                  <w:b w:val="false"/>
                  <w:strike w:val="false"/>
                  <w:dstrike w:val="false"/>
                  <w:color w:val="000000"/>
                  <w:sz w:val="20"/>
                  <w:u w:val="none"/>
                  <w:effect w:val="none"/>
                </w:rPr>
                <w:t>203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GENERAL INFORMATION</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references in this Annual Report on Form 20-F (this “Annual Report”) to “Arm,” the “Company,” “we,” “us” and “our” refer to (i) Arm Limited and its consolidated subsidiaries prior to the completion of our corporate reorganization, (ii) Arm Holdings Limited and its consolidated subsidiaries after the completion of our corporate reorganization and prior to the re-registration of Arm Holdings Limited as a public limited company and (iii) Arm Holdings plc and its consolidated subsidiaries after the re-registration of Arm Holdings Limited as a public limited company.</w:t>
      </w:r>
    </w:p>
    <w:p>
      <w:pPr>
        <w:pStyle w:val="TextBody"/>
        <w:bidi w:val="0"/>
        <w:spacing w:lineRule="auto" w:line="288" w:before="120" w:after="240"/>
        <w:ind w:left="0" w:right="0" w:firstLine="720"/>
        <w:jc w:val="center"/>
        <w:rPr>
          <w:rFonts w:ascii="Times New Roman;serif" w:hAnsi="Times New Roman;serif"/>
          <w:b/>
          <w:color w:val="000000"/>
          <w:sz w:val="20"/>
        </w:rPr>
      </w:pPr>
      <w:r>
        <w:rPr>
          <w:rFonts w:ascii="Times New Roman;serif" w:hAnsi="Times New Roman;serif"/>
          <w:b/>
          <w:color w:val="000000"/>
          <w:sz w:val="20"/>
        </w:rPr>
        <w:t>PRESENTATION OF FINANCIAL AND OTHER INFORMATION</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fiscal year ends on March 31 of each year. We prepare our consolidated financial statements in accordance with generally accepted accounting principles in the U.S. (“GAAP”). We present our consolidated financial statements in U.S. dollars (“USD”).</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We have historically conducted our business through Arm Limited. As a result of the corporate reorganization between entities under common control, the historical consolidated financial statements of the Company were retrospectively adjusted for the change in reporting entity. Therefore, the historical consolidated financial statements of Arm Limited became the historical consolidated financial statements of Arm Holdings plc as of the date of the corporate reorganization. Our corporate reorganization is described in the section titled </w:t>
      </w:r>
      <w:r>
        <w:rPr>
          <w:color w:val="000000"/>
        </w:rPr>
        <w:t>“</w:t>
      </w:r>
      <w:r>
        <w:rPr>
          <w:rFonts w:ascii="Times New Roman;serif" w:hAnsi="Times New Roman;serif"/>
          <w:b w:val="false"/>
          <w:i/>
          <w:color w:val="000000"/>
          <w:sz w:val="20"/>
        </w:rPr>
        <w:t>Item 4. Information on the Company—A. History and Development of the Company—Corporate Reorganization.”</w:t>
      </w:r>
    </w:p>
    <w:p>
      <w:pPr>
        <w:pStyle w:val="TextBody"/>
        <w:bidi w:val="0"/>
        <w:spacing w:lineRule="auto" w:line="288" w:before="12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financial information contained in this Annual Report does not amount to statutory accounts within the meaning of section 434(3) of the U.K. Companies Act 2006 (the “Companies Act”).</w:t>
      </w: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INDUSTRY AND MARKET DATA</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Annual Report contains estimates, projections and other information concerning our industry, our business and the markets for our products, including, but not limited to, our general expectations and market position, market opportunity and market size.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and general publications, government data and similar sources. While we are responsible for the accuracy of such information and believe our internal company research as to such matters is reliable and the market definitions are appropriate, neither such research nor these definitions have been verified by any independent source.</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In addition, assumptions and estimates of our and our industry’s future performance are necessarily subject to a high degree of uncertainty and risk due to a variety of factors, including those described in the section titled </w:t>
      </w:r>
      <w:r>
        <w:rPr>
          <w:color w:val="000000"/>
        </w:rPr>
        <w:t>“</w:t>
      </w:r>
      <w:r>
        <w:rPr>
          <w:rFonts w:ascii="Times New Roman;serif" w:hAnsi="Times New Roman;serif"/>
          <w:b w:val="false"/>
          <w:i/>
          <w:color w:val="000000"/>
          <w:sz w:val="20"/>
        </w:rPr>
        <w:t>Item 3. Key Information—D. Risk Factors.”</w:t>
      </w:r>
      <w:r>
        <w:rPr>
          <w:color w:val="000000"/>
        </w:rPr>
        <w:t xml:space="preserve"> </w:t>
      </w:r>
      <w:r>
        <w:rPr>
          <w:rFonts w:ascii="Times New Roman;serif" w:hAnsi="Times New Roman;serif"/>
          <w:b w:val="false"/>
          <w:color w:val="000000"/>
          <w:sz w:val="20"/>
        </w:rPr>
        <w:t xml:space="preserve">These and other factors could cause our future performance to differ materially from our assumptions and estimates. See </w:t>
      </w:r>
      <w:r>
        <w:rPr>
          <w:color w:val="000000"/>
        </w:rPr>
        <w:t>“</w:t>
      </w:r>
      <w:r>
        <w:rPr>
          <w:rFonts w:ascii="Times New Roman;serif" w:hAnsi="Times New Roman;serif"/>
          <w:b w:val="false"/>
          <w:i/>
          <w:color w:val="000000"/>
          <w:sz w:val="20"/>
        </w:rPr>
        <w:t>Special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120" w:after="240"/>
        <w:ind w:left="0" w:right="0" w:firstLine="360"/>
        <w:jc w:val="both"/>
        <w:rPr/>
      </w:pPr>
      <w:r>
        <w:rPr>
          <w:rFonts w:ascii="Times New Roman;serif" w:hAnsi="Times New Roman;serif"/>
          <w:b w:val="false"/>
          <w:color w:val="000000"/>
          <w:sz w:val="20"/>
        </w:rPr>
        <w:t>This Annual Report contains forward-looking statements within the meaning of Section 27A of the Securities Act of 1933, as amended (the “Securities Act”), and Section 21E of the Securities Exchange Act of 1934, as amended (the “Exchange Act”), relating to our operations, results of operations and other matters that are based on our current expectations, estimates, assumptions and projections. Statements regarding our future and projections relating to revenue, cost of sales, operating expenses, income (loss), and potential growth opportunities are typical of such statements. The forward-looking statements appear in a number of places, including, but not limited to, “</w:t>
      </w:r>
      <w:r>
        <w:rPr>
          <w:rFonts w:ascii="Times New Roman;serif" w:hAnsi="Times New Roman;serif"/>
          <w:b w:val="false"/>
          <w:i/>
          <w:color w:val="000000"/>
          <w:sz w:val="20"/>
        </w:rPr>
        <w:t>Item 5. Operating and Financial Review and Prospects</w:t>
      </w:r>
      <w:r>
        <w:rPr>
          <w:rFonts w:ascii="Times New Roman;serif" w:hAnsi="Times New Roman;serif"/>
          <w:b w:val="false"/>
          <w:color w:val="000000"/>
          <w:sz w:val="20"/>
        </w:rPr>
        <w:t xml:space="preserve">.” Forward-looking statements are based on our management’s beliefs and assumptions and on information currently available to our management. In some cases, you can identify forward-looking statements by the words “may,” “might,” “will,” “could,” “would,” “should,” “expect,” “is/are likely to,” “intend,” “plan,” “objective,” “anticipate,” “believe,” “estimate,” “predict,” “potential,” “target,” “continue” and “ongoing,” or the negative of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terms or other comparable terminology intended to identify statements about the future. The forward-looking statements and opinions are based upon current expectations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involve known and unknown risks, uncertainties and other important factors that may cause our actual results, levels of activity, performance or achievements to be materially different from the information expressed or implied by these forward looking statements. Such risks and uncertainties include, but are not limited to: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our future financial performance, including our expectations regarding our revenues, cost of sales, gross profit, operating expenses and other operating results, as well as our ability to maintain profitability;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our dependence on the semiconductor and electronics industries and the demand for our products and the products of our customers;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risks related to our development of production silicon products, such as the Arm AGI CPU, compute subsystems (“CSS”), chiplets, complete chip solutions, and other more integrated compute products;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risks related to changes in our pricing or our business terms or business model;</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our dependence on the compatibility of our products with the manufacturing and design processes of our customers;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our reliance on third parties to market and sell chips and end products incorporating our products, as well as add value to our licensed products;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our dependence on a limited number of customers for a significant portion of our revenue;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our ability to attract new customers and sell additional products to our existing customers;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the loss of any of our senior management personnel or one or more key employees or our inability to attract and retain qualified personnel;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our ability to adequately fund our research and development efforts;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risks related to the availability of development tools, systems software, electronic design automation (“EDA”) tools and operating systems compatible with our architecture;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our ability to protect our proprietary products and our brand, and the costs of protecting such intellectual property (“IP”) rights, particularly as a result of litigation;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fluctuation and unpredictability of our results;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our ability to verify royalty amounts owed to us under our licensing agreements;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risks related to foreign exchange fluctuations;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changes in our effective tax rate;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risks associated with organic growth or growth from strategic investments or acquisitions we make, and the risk of failing to effectively manage our growth;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risks associated with the slow development of the market for our connectivity, device and data management platform;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the possibility of cyberattacks, breaches of our security controls and unauthorized access to our data or a customer’s data;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our ability to satisfy data protection, security, privacy or other government- and industry-specific requirements;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risks associated with the interests of SoftBank Group Corp., our controlling shareholder (“SoftBank Group”), conflicting with the interests of other holders of our ordinary shares, nominal value £0.001 per share (“ordinary shares”), and American depositary shares, each of which represents the right to receive one ordinary share (“ADSs”), may be evidenced by American depositary receipts (“ADRs”);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effects of global general economic conditions, political factors, war or hostility, pandemics and other events outside of our control; and </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color w:val="000000"/>
          <w:sz w:val="20"/>
        </w:rPr>
        <w:t>other factors relating to our financial condition and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40"/>
        <w:ind w:left="0" w:right="0" w:firstLine="360"/>
        <w:jc w:val="both"/>
        <w:rPr/>
      </w:pPr>
      <w:r>
        <w:rPr>
          <w:rFonts w:ascii="Times New Roman;serif" w:hAnsi="Times New Roman;serif"/>
          <w:b w:val="false"/>
          <w:color w:val="000000"/>
          <w:sz w:val="20"/>
        </w:rPr>
        <w:t>We caution that you should not place undue reliance on any of our forward-looking statements. For a further discussion of these and other factors that could affect our future results, performance, or transactions, see the factors discussed in “</w:t>
      </w:r>
      <w:r>
        <w:rPr>
          <w:rFonts w:ascii="Times New Roman;serif" w:hAnsi="Times New Roman;serif"/>
          <w:b w:val="false"/>
          <w:i/>
          <w:color w:val="000000"/>
          <w:sz w:val="20"/>
        </w:rPr>
        <w:t>Item 3. Key Information—D. Risk Factors”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 xml:space="preserve">Item 5. Operating and Financial Review and Prospects” </w:t>
      </w:r>
      <w:r>
        <w:rPr>
          <w:rFonts w:ascii="Times New Roman;serif" w:hAnsi="Times New Roman;serif"/>
          <w:b w:val="false"/>
          <w:color w:val="000000"/>
          <w:sz w:val="20"/>
        </w:rPr>
        <w:t>of this Annual Report. We undertake no obligation to update forward-looking statements to reflect developments or information obtained after the date hereof and disclaim any obligation to do so except as required by applicable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center"/>
        <w:rPr>
          <w:rFonts w:ascii="Times New Roman;serif" w:hAnsi="Times New Roman;serif"/>
          <w:b/>
          <w:color w:val="231F20"/>
          <w:sz w:val="20"/>
        </w:rPr>
      </w:pPr>
      <w:r>
        <w:rPr>
          <w:rFonts w:ascii="Times New Roman;serif" w:hAnsi="Times New Roman;serif"/>
          <w:b/>
          <w:color w:val="231F2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231F20"/>
          <w:sz w:val="20"/>
        </w:rPr>
      </w:pPr>
      <w:r>
        <w:rPr>
          <w:rFonts w:ascii="Times New Roman;serif" w:hAnsi="Times New Roman;serif"/>
          <w:b/>
          <w:color w:val="231F20"/>
          <w:sz w:val="20"/>
        </w:rPr>
        <w:t>Item 1.    Identity of Directors, Senior Management and Advisers</w:t>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231F20"/>
          <w:sz w:val="20"/>
        </w:rPr>
      </w:pPr>
      <w:r>
        <w:rPr>
          <w:rFonts w:ascii="Times New Roman;serif" w:hAnsi="Times New Roman;serif"/>
          <w:b/>
          <w:color w:val="231F20"/>
          <w:sz w:val="20"/>
        </w:rPr>
        <w:t>Item 2.    Oﬀer Statistics and Expected Timetable</w:t>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231F20"/>
          <w:sz w:val="20"/>
        </w:rPr>
      </w:pPr>
      <w:r>
        <w:rPr>
          <w:rFonts w:ascii="Times New Roman;serif" w:hAnsi="Times New Roman;serif"/>
          <w:b/>
          <w:color w:val="231F20"/>
          <w:sz w:val="20"/>
        </w:rPr>
        <w:t>Item 3.    Key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A.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erif" w:hAnsi="Times New Roman;serif"/>
          <w:b/>
          <w:color w:val="000000"/>
          <w:sz w:val="20"/>
        </w:rPr>
        <w:t>B.    </w:t>
      </w:r>
      <w:r>
        <w:rPr>
          <w:rFonts w:ascii="Times New Roman;serif" w:hAnsi="Times New Roman;serif"/>
          <w:b/>
          <w:i/>
          <w:color w:val="000000"/>
          <w:sz w:val="20"/>
        </w:rPr>
        <w:t>Capitalization and indebtedness</w:t>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erif" w:hAnsi="Times New Roman;serif"/>
          <w:b/>
          <w:color w:val="000000"/>
          <w:sz w:val="20"/>
        </w:rPr>
        <w:t>C.    </w:t>
      </w:r>
      <w:r>
        <w:rPr>
          <w:rFonts w:ascii="Times New Roman;serif" w:hAnsi="Times New Roman;serif"/>
          <w:b/>
          <w:i/>
          <w:color w:val="000000"/>
          <w:sz w:val="20"/>
        </w:rPr>
        <w:t>Reasons for the offer and use of proceeds</w:t>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erif" w:hAnsi="Times New Roman;serif"/>
          <w:b/>
          <w:color w:val="000000"/>
          <w:sz w:val="20"/>
        </w:rPr>
        <w:t>D.    </w:t>
      </w:r>
      <w:r>
        <w:rPr>
          <w:rFonts w:ascii="Times New Roman;serif" w:hAnsi="Times New Roman;serif"/>
          <w:b/>
          <w:i/>
          <w:color w:val="000000"/>
          <w:sz w:val="20"/>
        </w:rPr>
        <w:t>Risk Factors</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In addition to the other information contained in this Annual Report and in other documents we file with or furnish to the U.S. Securities and Exchange Commission (the “SEC”), the following risk factors should be considered in evaluating our business. The occurrence of any of the events or developments described below could materially harm our business, financial condition, results of operations and prospects. In such an event, the market price of our ADSs could decline. Additional risks and uncertainties not presently known to us or that we currently deem immaterial also may materially impair our business operations. </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a number of risks of which you should be aware before making an investment decision. Among these important risks are the following, which are more fully described below:</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Risks Relating to Our Business and Industry</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Demand for our products and services primarily depends on trends in the semiconductor and electronics industries and the demand for the products of our customers and our customers’ customers.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Demand for our products and services depends substantially on their acceptance by semiconductor and systems companies and their compatibility with, and the costs of, the design and manufacturing processes of our customers.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The demand for new products, including those manufactured through third-party foundry partners and contract manufacturers, may be difficult to accurately predict.</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We face intense competition and could lose market share to our competitors.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Our development of production silicon products, such as the Arm AGI CPU, compute subsystems (“CSS”), chiplets, complete chip solutions, and other more integrated compute products may subject us to new or enhanced competitive, brand, technological, regulatory, operational and financial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Competitive pressures or market opportunities may necessitate changes in our pricing or our business terms or business model, which could materially and adversely affect our business, results of operations, financial condition and prospects.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Failure to adequately fund our research and development efforts may materially impair our ability to compete effectively.</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If we are unable to attract new customers and sell additional products to our existing customers, our business, results of operations, financial condition and prospects may be materially and adversely affected.</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Being engaged to design chips for one or more customers, could subject us to a variety of risks, any of which could have a material adverse effect on our business, results of operations, financial condition and prospects.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We rely on third parties to market and sell chips incorporating our products and to enhance the value of our licensed products.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Our results of operations can vary significantly between periods and may be unpredictable.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Customers may decide to license our architecture and develop their own processors based on our architecture, rather than utilize our processor products pursuant to an implementation license.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A significant portion of our total revenue comes from a limited number of customers, which exposes us to greater risks than if our customer base were more diversified.</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Our revenues predominantly come from a limited number of end markets.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If we fail to develop new products in response to, or in anticipation of, rapid technological changes in our industry or the industries we serve, our business may be materially and adversely affected.</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Developing new products requires us to expend significant resources without assurances that we will generate revenue in the amounts we anticipate, on the expected timeline or at all.</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Our concentration of revenue from the People’s Republic of China, including the Hong Kong Special Administrative Region and the Macau Special Administrative Region, but excluding Taiwan (the “PRC”) market makes us particularly susceptible to economic and political risks affecting the PRC, which could be exacerbated by tensions between (on the one hand) the U.S. or the U.K. and (on the other hand) the PRC with respect to trade and national security.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We utilize our commercial relationship with Arm Technology (China) Co. Limited (“Arm China”) to access the PRC market. If that commercial relationship no longer existed or deteriorates, our ability to compete in the PRC market could be materially and adversely affected.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Neither we nor SoftBank Group control the operations of Arm China, which operates independently of us.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Our business and future operating results may be materially and adversely affected by global economic conditions and other events outside of our control.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The semiconductor industry relies on a limited number of manufacturers whose operations tend to be concentrated in certain geographic regions to manufacture chips and other products, and developments that adversely affect such regions could have a material adverse effect on our business, results of operations, financial condition and prospects.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We rely on our management team and will need additional talent to grow our business, and the loss of one or more key employees or our inability to attract and retain qualified talent could harm our business.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If our products do not conform to, or are not compatible with, existing or emerging industry standards, demand for our products may decrease.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Failure to obtain, maintain, protect, defend or enforce our IP rights could impair our ability to protect our proprietary products and our brand, and the costs of obtaining, maintaining, protecting, defending and enforcing such IP rights, particularly as a result of litigation, may adversely and materially affect our results of operations.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We are currently involved in pending litigation, and may in the future become involved in litigation, government investigations or regulatory proceedings that may adversely affect us.</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color w:val="000000"/>
          <w:sz w:val="20"/>
        </w:rPr>
        <w:t xml:space="preserve">Errors, defects, bugs or security vulnerabilities in or associated with our products could expose us to liability and damage our brand and reputation, which could harm our competitive position and result in a loss of market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 xml:space="preserve">Risks Relating to Government Regulation and Legal Compliance </w:t>
      </w:r>
    </w:p>
    <w:p>
      <w:pPr>
        <w:pStyle w:val="TextBody"/>
        <w:bidi w:val="0"/>
        <w:spacing w:lineRule="auto" w:line="288" w:before="120" w:after="240"/>
        <w:ind w:left="0" w:right="0" w:hanging="360"/>
        <w:jc w:val="both"/>
        <w:rPr/>
      </w:pPr>
      <w:r>
        <w:rPr>
          <w:color w:val="000000"/>
        </w:rPr>
        <w:t>•</w:t>
      </w:r>
      <w:r>
        <w:rPr>
          <w:rFonts w:ascii="Times New Roman;serif" w:hAnsi="Times New Roman;serif"/>
          <w:b w:val="false"/>
          <w:color w:val="000000"/>
          <w:sz w:val="20"/>
        </w:rPr>
        <w:t xml:space="preserve">Our international operations expose us to risks in international jurisdictions and we may be negatively impacted by export restrictions and trade barriers. </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 xml:space="preserve">Risks Relating to Our Status as a Controlled Company and Foreign Private Issuer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We are a “controlled company” within the meaning of The Nasdaq Stock Market LLC (“Nasdaq”) corporate governance rules and, as a result, are eligible to rely on exemptions from certain corporate governance requirements that provide protection to stockholders of companies that are not controlled companies.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As long as SoftBank Group controls us and/or is entitled to certain rights under the Shareholder Governance Agreement (as defined below), other holders of our ordinary shares and ADSs will have limited ability to influence matters requiring shareholder approval or the composition of our Board of Directors.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SoftBank Group’s interests may conflict with our own interests and those of holders of our ADSs.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While we are a foreign private issuer, we are exempt from a number of rules under the U.S. securities laws and may opt out of certain Nasdaq corporate governance rules applicable to public companies organized in the U.S. </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color w:val="000000"/>
          <w:sz w:val="20"/>
        </w:rPr>
        <w:t>If we were to lose our foreign private issuer status, this would then require us to comply with the Exchange Act’s domestic reporting regime and cause us to incur significant legal, accounting and other expenses.</w:t>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Risks Relating to Our Business and Industry</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Demand for our products and services primarily depends on trends in the semiconductor and electronics industries and the demand for the products and services of our customers and our customers’ customers.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Demand for our products and services is largely dependent on the semiconductor and electronics industries, which are volatile, intensely competitive and generally characterized by declining average selling prices (“ASPs”) over the life of a generation of chips. The effect of these price decreases is compounded by the fact that our royalty revenue per chip generally decreases as the volume of sales increases, subject to an agreed minimum royalty per chip. Additionally, demand for our products and services could decrease if growth in the semiconductor or electronics industries slows or declines. The revenue we generate from licensing activities is also largely dependent on the rate at which systems companies develop and adopt new product generations, which, in turn, is affected by the level of demand for their integrated circuits (“ICs”) and other products. Decreasing demand from systems companies for chips based on our products would directly and adversely affect the amount of revenue we receive. As a result of our dependence on demand from systems companies, we are subject to several risks affecting these systems companies, any one of which may influence the success or failure of a particular systems company. These risks include, among others: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competition faced by the systems company;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the engineering and marketing capabilities of the systems company;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market acceptance of the systems company’s products and services;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adverse developments in the economic and political conditions of the region(s) in which the systems company operates, particularly to the extent that such developments create an unfavorable business environment;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supply constraints and inventory correction affecting the systems company;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technical challenges unrelated to our products faced by the systems company in developing its products; and </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color w:val="000000"/>
          <w:sz w:val="20"/>
        </w:rPr>
        <w:t xml:space="preserve">the financial and other resources of the systems company.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risks and others which are outside of our control could adversely affect any number of systems companies upon which our success depends, which could, in turn, have a material adverse effect on our business, results of operations, financial condition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Demand for our products and services depends substantially on their acceptance by semiconductor and systems companies and their compatibility with, and the costs of, the design and manufacturing processes of our customers.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depends substantially on the acceptance of our products and services by semiconductor and systems companies, particularly those that develop and market chips for high-volume electronic devices in the automotive, embedded and internet of things (“IoT”), enterprise electronics, and mobile and consumer electronics markets. There are competing microprocessor architectures in the market and there is no certainty that the market will continue to accept our products to the same or greater extent than it does today.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Demand from large, global systems companies, including original equipment manufacturers (“OEMs”) and cloud service providers (“CSPs”), drives much of the development of silicon chips and computer systems. Accordingly, acceptance of our products by these companies as well as semiconductor and other companies for use in a variety of end-market applications is critical for our continued success.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semiconductor and electronics industries have also become increasingly complex and subject to increasing design and manufacturing costs. Many of our customers utilize third-party vendors for EDA tools and also outsource the manufacture of their semiconductor designs to foundries. We work closely with major EDA vendors and foundries to ensure that our products are compatible with their design tools and manufacturing processes. However, if we fail to optimize our products for use with major EDA vendors’ tools and foundries’ manufacturing processes, or if our access to such tools and processes is hampered, then our products may become less desirable to our customers. Similarly, for customers that do not outsource design and manufacturing processes, if our products are unsuitable for the customers’ internal processes, then our products may not be acceptable to those customers.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there are risks inherent in the manufacturing of next-generation process technologies, including production timing delays, lower-than-anticipated manufacturing yields, and product defects and errata. If foundries are unable to successfully or efficiently manufacture future generations of chips based on our products, demand for our products could be materially adversely affected along with our business, results of operations, financial condition and prospects.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The demand for new products, including those manufactured through third-party foundry partners and contract manufacturers, may be difficult to accurately predict.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risks inherent in the manufacturing of next-generation process technologies, such as the Arm AGI CPU, including production timing delays, lower-than-anticipated manufacturing yields, and product defects and errors. Such products often have long manufacturing lead times. If we inaccurately estimate demand, or if our customers change orders, we may not be able to reduce our supply commitments in time, at the same rate, or at all. If we underestimate demand, and our third-party foundry partners and contract manufacturers are unable to increase production or provide sufficient supply, we may not be able to meet customer demand or achieve our expected time to market in a timely manner, or at all. In either event, our reputation and customer relationships could be damaged and we could lose revenue and market share. Similarly, if we overestimate demand, or if customers cancel or defer orders or choose to purchase from our competitors, we may not be able to utilize on-hand inventory or reduce purchase commitments accordingly.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Qualification time for new products, customers anticipating product transitions, and channel partners reducing channel inventory of prior architectures ahead of new product introductions can reduce, or create volatility in, our revenue. Customers may delay adopting new architectures if their data center infrastructure is not ready, which could affect the timing of our revenue. We have experienced and may in the future experience reduced demand for current generation architectures when customers anticipate transitions, and we may be unable to sell multiple product architectures at the same time for current and future architecture transitions. Our financial results have been and may in the future be negatively impacted if we are unable to execute our architectural transitions as planned for any reason.</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entry into production silicon exposes us to new manufacturing, supply chain, and inventory risks that differ materially from our traditional IP licensing business, including dependence on third-party foundry partners and contract manufacturers for fabrication with limited control over their production capacity, costs, yields, or delivery schedules; the potential for manufacturing defects, lower-than-expected yields, and quality control issues, any of which could result in product recalls, warranty claims, and reputational damage; significant upfront capital commitments and purchase obligations for wafer supply, packaging, and testing services that may be difficult to adjust in response to demand fluctuations; inventory management challenges, including obsolescence risk, write-downs, and the need to maintain safety stock; complex supply chain dependencies on memory suppliers, packaging vendors, and system integrators;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volatility in manufacturing inputs and potential allocation of limited foundry capacity during industry shortages; longer cash conversion cycles due to inventory requirements and different payment terms compared to our IP licensing business; and increased working capital requirements that could constrain our financial flexibility. Any disruption in this supply chain, quality issues with production silicon, or our failure to accurately forecast demand could have a material adverse effect on our business, results of operations, financial condition, and prospects.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Demand estimates for our products, applications, and services can be incorrect, which may create volatility in our revenue or supply levels and we may not be able to generate significant revenue. Because our products may be used in multiple use cases and applications, it is difficult to estimate with any reasonable degree of precision the impact of accelerated computing and AI models on our reported revenue or forecasted demand. Our inability to accurately predict our demand that arises from new use cases may create volatility in our revenue.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We face intense competition and could lose market share to our competitors.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market for our products is intensely competitive and characterized by rapid changes in design and manufacturing technologies, software development efficiencies, end-user requirements, industry standards, and frequent new product introductions and improvements. We anticipate continued challenges from current and new competitors, including established technologies such as the x86 architecture, a family of instruction set architectures (“ISAs”), as well as by free, open-source technologies, including the RISC-V architecture. Many of our customers are also major supporters of the RISC-V architecture and related technologies. If RISC-V-related technology continues to be developed and market support for RISC-V increases, our customers may choose to utilize this free, open-source architecture instead of our products. Additionally, many of our direct and indirect competitors, including some of our semiconductor customers, are major corporations with substantially greater technical, financial and marketing resources and name recognition than we have. Some of these competitors have a much larger application software base and a much larger installed customer base than we do, and there can be no assurance that we will have the financial resources, technical expertise, and marketing, distribution and support capabilities to compete successfully with them in the future.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markets where we are established already and new markets we have entered, intend to enter or may in the future enter, our primary competitors may have, among other things, greater financial, technical, marketing, distribution, support or other resources and capabilities, greater brand recognition, lower labor and development costs, different regulatory restrictions or a larger customer base than we do. In certain of these markets, we may have to invest substantial resources into developing an ecosystem of software and tools to create a competitive ecosystem that allows us to compete with alternative architectures. Further, several of our customers are creating their own bespoke accelerators for artificial intelligence (“AI”) workloads that are intended to sit alongside the Arm core. If, over time, more of the workloads move to accelerators away from the CPU, the CPU market size may decrease, resulting in a decrease of our license fees and royalties. While we have implemented a number of strategies to address this risk, such as introducing the Arm AGI CPU, creating dedicated neural processing units ("NPUs"), adding dedicated AI acceleration features to our CPUs and graphics processing units (“GPUs”), and maintaining dialogues with partners in the AI software ecosystem to ensure that our products and solutions are appropriate for AI workloads, there can be no assurances that our strategies will be successful. Additionally, our competitors may be able to use AI tools to quickly convert software written for the Arm ISA to competing ISAs, reducing the cost to enter markets where we are already established and resulting in increased competition. Our current and potential competitors may also be subject to more favorable regulatory regimes or establish cooperative relationships among themselves or with third parties that may further enhance their resources or strengthen their positions within these markets. For example, in August 2023, a group of our customers and other competitors announced a joint venture aimed at accelerating the adoption of RISC-V, initially focused on the automotive sector. Although the development of alternative architectures and technology is a time-intensive process, if our competitors receive governmental support, establish cooperative relationships or consolidate with each other or third parties, such as the previously mentioned joint venture focused on RISC-V, they may have additional resources that would allow them to more quickly develop architectures and other technology that directly compete with our products. Such support, cooperative relationships or consolidations may also allow competitors to anticipate or respond more quickly and effectively than we can to new or changing opportunities, technologies, standards or customer requirements. If we are unable to anticipate or react to these competitive challenges, our competitive position could weaken and we could experience a decline in our market share, revenue and profitability.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Some semiconductor companies have developed their own proprietary architecture for specific markets or applications. These companies may utilize their proprietary architecture to penetrate markets where we are currently the architecture of choice, or where our products may be utilized, making it more difficult for us to penetrate such markets in the future. Some semiconductor companies have proprietary architectures in applications, including, but not limited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automotive, data center equipment, networking equipment, electronic storage, microcontrollers, smart sensors, servers and wireless communications. These companies may be significantly entrenched in their markets. If these companies are successful in displacing our products, or if we are unable to penetrate or grow our market share in these areas, licensing opportunities and potential royalty revenues could be harmed, negatively affecting our business, results of operations, financial condition and prospects. Our development systems tools business also faces significant competition from both the open-source community and third-party tools and software suppliers.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our customers likely would incur significant costs in switching to competitors’ architecture, our competitors (including new market entrants) may offer greater incentives to customers through rebates, bundling, marketing funds, similar programs and other commercial arrangements to induce them to use their architecture in lieu of our products.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development of production silicon products, such as the Arm AGI CPU, CSS, chiplets, complete chip solutions, and other more integrated compute products may subject us to new or enhanced competitive, brand, technological, regulatory, operational and financial risks.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remain competitive, we must continue to innovate and develop new products and services, as well as enhancements to our existing products and services, in response to expressed or anticipated customer demand and new market opportunities. We continue to actively consider the impact of next generation technology adopted by market participants, which has resulted in us allocating resources to, and exploring, new markets and/or different products and solutions for existing and prospective customers in various end markets. For example, in 2024, we introduced a CSS targeted at customers in the infrastructure space and, more recently, we expanded our compute platform into production silicon products with the Arm AGI CPU. We intend to continue allocating resources and engaging with our ecosystem partners to explore the viability and development of new products including, without limitation, new products in our IP portfolio, as well as solutions beyond individual IP designs such as RTL-based CSSs, GDSII-based CSSs, chiplets and complete chip solutions. For example, we have been, and may in the future be, engaged to advise on or design chips for certain existing customers and other third parties, including affiliates of SoftBank Group, across a variety of use cases and end markets. Any products or solutions that constitute an entry into new markets or offerings of different solutions may be unsuccessful for any number of reasons. For example, as with any company entering a new market or offering new products or solutions, we will compete with companies that have a more established presence, longstanding customer relationships and established brand awareness. Additionally, any such new business activities may be undertaken utilizing any number of commercial arrangements, including as a technical advisor or licensor to SoftBank Group or its affiliates.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because our resources must be allocated amongst developing and maintaining our existing IP portfolio and developing and commercializing any new, more integrated compute products or solutions, companies that focus their efforts on a single product or solution or a limited number of products or solutions may have significantly greater financial, technical, manufacturing, marketing, sales and distribution resources dedicated to such markets and solutions than we do. Such companies may also have a more developed IP portfolio for the applicable markets and solutions and may be able to leverage these resources and competitive factors to gain or maintain market share. Further, although more integrated compute products may provide our customers superior performance and faster routes to market for their products (compared to licensing and integrating separate IP components), our customers may prefer to continue integrating our IP components in their products and solutions, and, therefore, our more integrated compute products may not be adopted by customers on our expected timeline or at all.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developments in our product offerings, including our entry into production silicon products such as the Arm AGI CPU, and other changes to our products and services, may create real or perceived conflicts with companies that are important to our business. Our direct commercial relationships with hyperscale, cloud, enterprise, and AI infrastructure customers increase the potential for competitive conflicts with our traditional licensing customers. Many of our semiconductor and systems company customers who have historically licensed our IP may face direct competition from us in certain market segments, and our partnerships and certain commercial relationships may be perceived by other customers as preferential treatment or as creating conflicts of interest. As a result, these customers or partners may terminate or materially reduce their relationship with us, seek alternative architectures or products, develop their own proprietary architectures, withhold sensitive roadmap information, reduce collaboration on product development, challenge our pricing models or demand more favorable commercial terms, or pursue legal action. We may also be subject to greater regulatory scrutiny in relation to our business. Accordingly, to the extent that we pursue entry into any new market or offer any new product or solution, we may not realize the anticipated financial benefits of such changes in the amounts we may anticipate, on our expected timeline or at all. The loss of one or more significant licensing customers as a result of these competitive conflicts could have a material adverse effect on our licensing revenue and could materially harm our business, results of operations, financial condition,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we have, and may in the future, need to recruit and hire engineers or other employees or acquire companies that possess the requisite expertise, which we may not be able to do successfully on a timely basis, on competitive terms or at all. We have also begun exploring potential acquisitions of, or service agreements with, companies with the required expertise. The recruitment and retention of engineers and other employees or the acquisition of companies may require significant expenditures, including compensation costs or the acquisition of businesses employing the required expertise. We may also be required to seek to hire engineers or other employees from customers, partners or competitors in order to secure the necessary expertise to develop new or enhanced products or solutions, which may result in customers or partners terminating or materially reducing their relationship with us. Additionally, to the extent we seek to hire engineers or other employees from competitors, we may be unsuccessful due to, among other reasons, such competitors having greater resources or long-standing relationships with such engineers and other employees. To the extent that we do not have the technical expertise, financial resources or other capabilities for a particular research and development project with respect to new products or solutions, we have partnered, and may in the future partner, with third parties, including SoftBank Group and/or its affiliates. There can be no assurance that such partnerships will be established on a timely basis, on competitive terms or at all. In such circumstances, we rely on third parties over which we exercise little or no control, and we can provide no assurances that any such third parties will dedicate the resources, or have the requisite technical or other capabilities, necessary to achieve our and/or our customers’ expectations.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Competitive pressures or market opportunities may necessitate changes in our pricing or our business terms or business model, which could materially and adversely affect our business, results of operations, financial condition and prospects.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remain competitive in the highly competitive markets in which we do business, we may need to reduce the prices of our products or services or otherwise change the structure and terms of our customer relationships or our business model. If our competitors offer significant discounts on certain products in an effort to recapture or gain market share or to sell other software or hardware products, we may need to lower our prices or offer other favorable terms to compete successfully. Any such changes would likely reduce our profits and could have a material adverse effect on our business, results of operations, financial condition and prospects. Any substantial changes to our other commercial arrangements with our customers or our business model could cause revenues to decline or be delayed as our sales force implements and our customers adjust to the commercial arrangements or business model. Changes to our business model could also necessitate changes in our product mix, which could cause revenues or profitability to decline, particularly if such changes in our product mix result in an increased reliance on lower margin offerings. If we cannot offset price reductions with a corresponding increase in sales volume or by reducing our costs, then the reduced revenues resulting from lower prices could have a material adverse effect on our business, results of operations, financial condition and prospects.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 we can provide no assurances that customers will accept changes in our business model, which could result in lower revenues, particularly in the period immediately following the initial introduction of a new business model. In such case, we may not realize the anticipated financial benefits of such changes in the amounts we anticipate, on the expected timeline or at all.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from time to time, engage in commercial activities that are accretive to our business but are not part of our core business. We have entered, and expect in the future to enter, into arrangements with third parties where we undertake to arrange for products to be supplied to a customer by a third party. For example, we recently entered into an agreement to arrange for certain semiconductor products to be supplied by a third party to a customer. In connection with this agreement, we have purchase commitments of approximately $100 million to be purchased over the next 12 months. We expect that our purchase commitments are likely to grow materially in subsequent years pursuant to this agreement or others of a similar nature. As a result, we face additional risk and financial exposure from these arrangements in the form of third-party default, order cancellation, periods during which we bear financial exposure without corresponding customer cash flows, and related inventory risks. We may also be exposed to claims for contractual breach, reputational harm and loss of future business opportunities. Such risks may be amplified in markets for high-demand or scarce technology products, where supply-and-demand imbalances, competitive pressures for supplier allocation and supplier prioritization of other customers may increase the risk of default.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increases in the number or value of commercial contracts signed in the future may not materialize in the same way or at all under a new business model or in connection with accretive commercial activities and, therefore, our revenue may be lower than expected. Further, the use of a new business model or accretive commercial activities may have unexpected consequences for our company, including making our products less attractive to current and prospective customers or otherwise changing how we must operate our business, which could have a material adverse effect on our business, competitive position, results of operations, financial condition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Failure to adequately fund our research and development efforts may materially impair our ability to compete effectively.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 remain competitive, we must continue to innovate and develop new products, applications and enhancements to our existing products and services, particularly as next-generation technology is adopted by market participants. Allocating and maintaining adequate research and development resources, such as the appropriate personnel and development technology, to meet the evolving demands of the market is essential to our continued success, but our allocations may be inadequate or we may pursue research and development initiatives based on assumptions about future demand that prove to be incorrect. Our competitors may expend considerably greater resources to support their respective research and development programs than we do, which may give our competitors a competitive advantage.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fund research and development expenditures depends on generating sufficient revenue and cash flow from operations and the availability of external financing, if necessary. Our research and development expenditures, together with other ongoing operating expenses, is a substantial drain on cash flow and may decrease cash balances, which may limit our ability to pursue other potentially attractive initiatives. On the other hand, if we allocate our resources to such other potentially attractive initiatives or pay dividends to our shareholders, our research and development efforts may be harmed or we may need to seek external financing in order to fund our efforts. If new competitors, technological advances by existing competitors, other competitive factors or market changes require us to invest significantly greater resources than anticipated in research and development efforts, total operating expenses would increase. If we are required to invest significantly greater resources than anticipated in research and development efforts without an associated increase in revenue, our operating results could decline.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 in determining the appropriate allocation of research and development resources, our management continuously evaluates opportunities to develop new technologies and advanced products, including more complete compute subsystems (such as Arm CSS), chiplets, complete chip solutions, and other production silicon products (such as the Arm AGI CPU). In order to respond to expressed or anticipated customer demand and/or to take advantage of expected market opportunities, we continually consider the optimal allocation of resources across our business, including to existing product lines and to research and development of new technology offerings, including technologies beyond individual design IP elements. Based on management’s expectations for current and projected market demand, the allocation of resources to any of these may be increased or reduced over time.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our processors often run software created by independent software vendors or through open-source communities. Each end market has its own ecosystem of software and tools providers, including from open-source communities. These ecosystems need to be supported by our engineers and resources, and by our customers, including, from time to time, through direct monetary investment. In some circumstances, we may also need to subsidize or fund our customers’ research and development efforts. Insufficient investment may result in the ecosystems and/or customers providing better support for end products not based on our products leading to systems companies not choosing chips based on our products, which would result in a reduction in our revenues.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If we are unable to attract new customers and sell additional products to our existing customers, our business, results of operations, financial condition and prospects may be materially and adversely affected.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Adding new customers while maintaining our existing customers, selling additional products to our existing customers and increasing the price we charge to existing customers represent our principal opportunities to increase revenue. We currently generate a significant portion of our revenues from customers who incorporate our products into chips used in smartphones, consumer electronics and other embedded chips. If growth in these markets declines (especially in the mobile applications processors market which is our current largest single market for revenue, or in the data center market which is our fastest growing market for revenue), our business, financial condition, results of operations and cash flows could be negatively affected, and we would become more dependent on new growth areas to increase revenue and improve our financial condition. We are currently focused on growing our business in key areas such as automotive, cloud and AI data centers, IoT, personal computers and robotics. Numerous factors, however, may impede our ability to grow our business in these key areas, add new customers and sell additional products to our existing customers. Those factors include, among others: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failure to develop new products that are attractive to current and prospective customers;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slow adoption of our new products in the key areas listed above;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inaccurate assumptions about the growth of the AI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failure to develop or expand relationships with channel partners;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failure to develop new distribution channels appropriate for such new technology areas;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failure to successfully provide quality technical support once deployed; and </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color w:val="000000"/>
          <w:sz w:val="20"/>
        </w:rPr>
        <w:t xml:space="preserve">failure to retain new customers and failure to ensure the effectiveness of our marketing programs.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if prospective customers do not perceive our products to be of sufficiently high value and quality or they do not believe the costs of our products relative to competing technology can be passed along to their customers, we may not be able to effectively attract new customers, which would materially and adversely affect our business, results of operations, financial condition and prospects.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Being engaged to design chips for one or more customers could subject us to a variety of risks, any of which could have a material adverse effect on our business, results of operations, financial condition and prospects. </w:t>
      </w:r>
    </w:p>
    <w:p>
      <w:pPr>
        <w:pStyle w:val="TextBody"/>
        <w:bidi w:val="0"/>
        <w:spacing w:lineRule="auto" w:line="288" w:before="120" w:after="240"/>
        <w:ind w:left="0" w:right="0" w:firstLine="360"/>
        <w:jc w:val="both"/>
        <w:rPr/>
      </w:pPr>
      <w:r>
        <w:rPr>
          <w:rFonts w:ascii="Times New Roman;serif" w:hAnsi="Times New Roman;serif"/>
          <w:b w:val="false"/>
          <w:color w:val="000000"/>
          <w:sz w:val="20"/>
        </w:rPr>
        <w:t>We have been, and may in the future be, engaged to advise on or design chips for certain existing customers and other third parties, including affiliates of SoftBank Group, across a variety of use cases and end markets. We can provide no assurances that customers would engage us to design chips or, even if one or more customers were to engage us, that we would be successful in designing chips for our customers’ intended use cases. Designing chips for one or more customers may necessitate substantial investments in technology and human capital, on any number of different permutations of commercial terms and it could take several years for us to realize any associated benefits, if ever, which may reduce our available cash and adversely affect our ability to grow our business. In addition, these efforts may require substantial time and attention from our executives, engineers and other employees, and may involve partnerships with third parties, including SoftBank Group and/or its affiliates, which could divert resources and distract attention away from our core IP licensing business and expose us to additional risks, including risks related to project oversight and quality control. Furthermore, any decision to design chips for customers may create real or perceived competitive conflicts with companies that are important to our business. If our relationships with existing customers deteriorated or terminated as a result of any opportunistic expansion into chip designs, our business, results of operations and prospects could be materially and adversely affected. See “</w:t>
      </w:r>
      <w:r>
        <w:rPr>
          <w:color w:val="000000"/>
        </w:rPr>
        <w:t>—</w:t>
      </w:r>
      <w:r>
        <w:rPr>
          <w:rFonts w:ascii="Times New Roman;serif" w:hAnsi="Times New Roman;serif"/>
          <w:b w:val="false"/>
          <w:i/>
          <w:color w:val="000000"/>
          <w:sz w:val="20"/>
        </w:rPr>
        <w:t>Our development of production silicon products, such as the Arm AGI CPU, CSS, chiplets, complete chip solutions, and other more integrated compute products may subject us to new or enhanced competitive, brand, technological, regulatory, operational and financial risks.”</w:t>
      </w:r>
      <w:r>
        <w:rPr>
          <w:color w:val="000000"/>
        </w:rPr>
        <w:t xml:space="preserve"> </w:t>
      </w:r>
      <w:r>
        <w:rPr>
          <w:rFonts w:ascii="Times New Roman;serif" w:hAnsi="Times New Roman;serif"/>
          <w:b w:val="false"/>
          <w:color w:val="000000"/>
          <w:sz w:val="20"/>
        </w:rPr>
        <w:t>and “</w:t>
      </w:r>
      <w:r>
        <w:rPr>
          <w:color w:val="000000"/>
        </w:rPr>
        <w:t>—</w:t>
      </w:r>
      <w:r>
        <w:rPr>
          <w:rFonts w:ascii="Times New Roman;serif" w:hAnsi="Times New Roman;serif"/>
          <w:b w:val="false"/>
          <w:i/>
          <w:color w:val="000000"/>
          <w:sz w:val="20"/>
        </w:rPr>
        <w:t>Failure to adequately fund our research and development efforts may materially impair our ability to compete effectively</w:t>
      </w:r>
      <w:r>
        <w:rPr>
          <w:rFonts w:ascii="Times New Roman;serif" w:hAnsi="Times New Roman;serif"/>
          <w:b w:val="false"/>
          <w:color w:val="000000"/>
          <w:sz w:val="20"/>
        </w:rPr>
        <w:t>.”</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We rely on third parties to market and sell chips incorporating our products and to enhance the value of our products.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IP business relies on our customers to design, manufacture and sell chips incorporating our products in order to generate royalty revenue. A substantial portion of our revenue depends upon the commencement of new design projects by semiconductor companies, OEMs, and CSPs, and their ability to provide complete chips based on our products to meet the specific application needs of their customers. However, our customers are not contractually obligated to design, manufacture, sell or deploy chips using our products on an exclusive basis or at all. Some of our existing customers design, manufacture, sell and deploy chips based on competing technology, including their own, and other existing or potential customers may do so in the future. To the extent that our customers elect to license technology from competitors, our competitive position could be adversely affected and we could lose market share. Furthermore, under many of our arrangements with customers, there is generally no minimum purchase obligation or guaranteed revenue stream. </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We are also subject to risks related to the competition faced by our customers, the engineering and marketing capabilities of our customers, the technical challenges, geopolitical challenges, and supply chain constraints unrelated to our products faced by our customers in developing, manufacturing and selling their chips, and the financial and other resources of our customers. We cannot assure you that our customers and other partners will dedicate the resources necessary to promote and further develop chips incorporating our products, that they will manufacture chips containing our products in quantities sufficient to meet demand, that we will be successful in developing, expanding or maintaining our relationships with current or prospective customers or other partners, or that such customers will effectively and successfully promote and sell chips using our products. In addition, if their chips that incorporate our products are faulty, we may suffer reputational harm whether or not any fault results from our products. See </w:t>
      </w:r>
      <w:r>
        <w:rPr>
          <w:color w:val="000000"/>
        </w:rPr>
        <w:t>“—</w:t>
      </w:r>
      <w:r>
        <w:rPr>
          <w:rFonts w:ascii="Times New Roman;serif" w:hAnsi="Times New Roman;serif"/>
          <w:b w:val="false"/>
          <w:i/>
          <w:color w:val="000000"/>
          <w:sz w:val="20"/>
        </w:rPr>
        <w:t>Errors, defects, bugs or security vulnerabilities in or associated with our products could expose us to liability and damage our brand and reputation, which could harm our competitive position and result in a loss of market share.”</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Our results of operations can vary significantly between periods and may be unpredictable.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experienced, and may in the future experience, significant fluctuations in our period-to-period results of operations. Our results may fluctuate and be unpredictable because of a variety of factors, including, among others: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the adoption and demand for new products, such as Arm AGI CPU and other production silicon products;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any strategic investments, acquisitions or divestitures that we might undertake, and the timing thereof, including in furtherance of our initiatives to develop more complete compute subsystems (such as Arm CSS), chiplets, and complete chip solutions;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the scope and nature of our investment in any new products or solutions and the resources to effect these;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the timing of entry into high-value agreements of which we historically have signed only a limited number each quarter;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the mixture of licensing and other revenue, royalty revenue, and revenue from software and services;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our ability to correctly accrue royalty revenue;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the financial terms and delivery and revenue recognition schedules of our agreements with customers;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the timing of license renewals and license extensions;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the demand for chips and end products that incorporate our products or expected future demand for such chips and end products;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seasonal effects on demand for end products that incorporate our products;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product and sales cycles;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the introduction of new technology by us, our customers or our competitors, or other actions taken by our competitors;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the timing of orders from, and shipments to, technology companies of chips based on our products from our semiconductor partners and customers;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the financial results of Arm China and its ability to make payments to us in a timely manner, or at all;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new litigation or developments in current litigation, including, but not limited to, lawsuits with Qualcomm and Nuvia (each as defined below), as described under </w:t>
      </w:r>
      <w:r>
        <w:rPr>
          <w:color w:val="000000"/>
        </w:rPr>
        <w:t>“—</w:t>
      </w:r>
      <w:r>
        <w:rPr>
          <w:rFonts w:ascii="Times New Roman;serif" w:hAnsi="Times New Roman;serif"/>
          <w:b w:val="false"/>
          <w:i/>
          <w:color w:val="000000"/>
          <w:sz w:val="20"/>
        </w:rPr>
        <w:t>We are currently involved in pending litigation, and may in the future become involved in litigation, government investigations or regulatory proceedings that may adversely affect us”</w:t>
      </w:r>
      <w:r>
        <w:rPr>
          <w:rFonts w:ascii="Times New Roman;serif" w:hAnsi="Times New Roman;serif"/>
          <w:b w:val="false"/>
          <w:color w:val="000000"/>
          <w:sz w:val="20"/>
        </w:rPr>
        <w:t xml:space="preserve">;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the timing of new employees joining the Company;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the timing of bonuses and other remuneration to employees, consultants and advisors, including for recruitment or retention purposes; </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the volatility of the market price of our ADSs may cause our operating expenses and cash expenditures to increase as a result of vesting of restricted share units (“RSUs”) and cash-settled awards;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supply chain constraints, including shortages of critical semiconductor components and chips, such as memory chips, and inventory correction in or affecting the semiconductor market and the markets of our customers’ end customers;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cyclical fluctuations in the semiconductor market and the markets of our customers’ end customers;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sudden technological or other changes in the semiconductor industry, including consolidation among our customers or the emergence of new disruptive technologies;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changes in the global economy (such as inflation, stagflation, fluctuating interest rates, adverse developments affecting international trade relations or a recession), disruptions in the global supply chain (including shortages of critical semiconductor components and chips, such as memory chips) or regulatory changes that impact the semiconductor industry;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changes in political, regulatory, legal or economic conditions or geopolitical turmoil (including PRC-Taiwan relations), including terrorism, war (including the ongoing conflict between Russia and Ukraine and conflicts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Middle East, such as in Iran) or political or military coups, state-sponsored or politically motivated cyberattacks, or foreign and domestic civil disturbances or political instability; and </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color w:val="000000"/>
          <w:sz w:val="20"/>
        </w:rPr>
        <w:t xml:space="preserve">changes to accounting policies and accounting standards applicable to us, and changes to key accounting estimates and judgments applied by us.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Accurate prediction of the timing of inception of new licenses and renewals of existing licenses is difficult because the development of a business relationship with a potential customer may frequently span a year or more. The fiscal quarter in which a new or renewed license agreement will be entered into, if at all, is difficult to predict, as are the financial terms of any such agreement.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license and other revenue and royalty revenue are also affected by market conditions in the industries in which our customers operate, particularly in the semiconductor industry, which is cyclical by nature and impacted by broad economic factors, such as worldwide gross domestic product and consumer spending. The semiconductor industry has experienced significant and sometimes sudden and prolonged downturns in the past, including in recent years as a result of supply chain constraints.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our expansion into production silicon may have materially different margin profiles, revenue recognition characteristics, and sales cycles compared to our IP licensing business, which may also vary across different products or segments. This transition may result in margin compression, greater quarter-to-quarter revenue volatility, increased capital intensity and working capital requirements, and the need for significant investment in new sales and operational capabilities, any of which could constrain our ability to invest in our core IP licensing business or return capital to shareholders and could have a material adverse effect on our business, results of operations, financial condition, and prospects.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these factors and others, many of which are outside of our control, it may be difficult for us to provide accurate forecasts of our revenues and results of operations for future periods, and such factors and others could have a material adverse effect on our business, competitive position, results of operations, financial condition and prospects.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Customers may decide to license our architecture and develop their own processors based on our architecture, rather than utilize our processor products pursuant to an implementation license.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customers may decide to license our ISA and develop their own processors based on our ISA, rather than utilize our predeveloped products through an implementation license, resulting in less fees paid to us. Customers may choose to develop their own processors if they believe they can do so more effectively than us or if supply and capacity constraints within the semiconductor industry further incentivize vertical integration in an effort to secure additional control over their supply chains. Some of these customers may have greater name recognition and substantially greater financial, management, marketing, service, support, technical, distribution and other resources than we do. If our customers, and particularly one or more key customers from whom we generate a significant portion of our total revenues, elect to develop their own processors based on our ISA, the market for our developed processor portfolio would decline, which could have a material adverse effect on our business, results of operations, financial condition and prospects.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A significant portion of our total revenue comes from a limited number of customers, which exposes us to greater risks than if our customer base were more diversified.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significant portion of our total revenue is generated from a limited number of key customers. In particular, our top five customers (including Arm China and SoftBank Group) collectively accounted for approximately 57%, 56% and 54% of our total revenue for the fiscal years ended March 31, 2026, 2025 and 2024, respectively, and our largest customer individually, Arm China, accounted for approximately 16%, 17% and 21% of our total revenue, respectively, during those fiscal years. A portion of our near-term revenue is dependent on commercial arrangements with SoftBank Group and/or its affiliates. Any reduction, restructuring, delay, or termination of such arrangements could adversely affect our business, results of operations, and financial condition. As a result of this customer concentration, we are particularly susceptible to adverse developments affecting our key customers and their respective businesses, including industry downturns, decreased demand for their products, increased competition, changes in trade protection and other government policies, financial hardship and changes in their business model, purchasing behavior and strategic priorities, among other factors, many of which are beyond our control. In particular, developments in our key customers’ respective businesses that adversely affect their ability to satisfy their payment obligations to us or result in their determination not to continue or expand their use of our products would have a material adverse impact on our revenue and results of operations to a greater extent than if our customer base were more diversified. Our customer concentration also has afforded certain customers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bargaining power, which has, in some cases, resulted in pricing or other contractual terms that are less favorable to us. For example, subject to certain limitations, certain of our contracts with key customers contain provisions allowing such customers to obtain licenses to our latest products as soon as they are made available to any other customer. In addition, to the extent that we develop new products, those products may be competitive with, or may be perceived as competitive with, products sold by our customers, which could cause existing customers to significantly reduce or terminate their relationships with us and could result in existing and new customers electing to use alternative architectures such as x86 and RISC-V. If one or more of our most significant customers were to cease or significantly reduce their historical levels of business with us, it could have a material adverse effect on our business, reputation, financial condition, cash flows and results of operations. If we were to lose one or more of our key customers or if our business with one or more key customers were to decrease significantly, whether as a result of external impacts on the business of those customers, or, for example, as a result of disputes with such customers with respect to pricing models, there are no assurances that we would be successful in identifying and contracting with one or more customers to replace any lost revenue, which would materially and adversely affect our business, results of operations, financial condition and prospects.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Our revenues predominantly come from a limited number of end markets.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Royalty revenue from mobile applications processors constituted approximately 43% of our royalty revenue for the fiscal year ended March 31, 2026. In these end markets, our substantial existing market share may limit opportunities for future growth. Additionally, demand in these markets may be adversely impacted if consumers reduce their purchases of smartphones and consumer electronics as a result of changes in consumer behavior, or as a result of price increases. If these end markets contract significantly, we may be unable to continue to grow our revenues meaningfully from these markets, if at all. Additionally, circumstances outside of our control, such as the invention of new technologies, could adversely affect the smartphone and consumer electronics markets, or enterprise electronics market, which would have a material adverse impact on our revenue, profitability, and ability to attract new customers.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products are extensible and have been licensed and used in various other target end markets. While these new target markets represent a meaningful opportunity for us, they may not grow or develop as quickly as we expect them to. Furthermore, it could take years to reach a market share similar to our position in smartphones and consumer electronics.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Other microprocessor architectures such as x86 and RISC-V may already exist across all of these markets, or may be developed for applications within these markets. For applications in markets such as computing, data centers, networking and servers, competing microprocessor architectures, such as x86, already have a large, well-established customer base and are supported by a broad base of related software and development tools. These markets represent a significant portion of our revenue growth opportunity, and they also introduce new sources of competition, including, in some cases, incumbent competitors with established technologies, ecosystems, and customer bases, lower prices or costs, and greater brand recognition. These new markets may not grow as projected or at all, and we may not realize an adequate return on our investments. Due to the interdependence of various components in the products in which our architecture and our competitors’ architectures are used, customers are unlikely to change to another product, once adopted, until the next generation of a technology. As a result, even if our products are superior to alternative offerings, it may be difficult for our products to displace alternative technologies as a result of high switching costs to change to our products, including the need for potential customers to make significant investments in additional training and development tools and to convert software for existing devices. Additionally, to the extent our competitors have done business with prospective customers for a long period of time and have established relationships, our competitors may have information regarding future trends and requirements of such prospective customers that may not be available to us. If any of these markets do not develop as we currently anticipate or we fail to establish ourselves in these new markets, we could suffer a material adverse effect on our competitive position and business prospects.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If we fail to develop new products in response to, or in anticipation of, rapid technological changes in our industry or the industries we serve, our business may be materially and adversely affected.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market for our products is characterized by rapidly changing technology and end-user needs. For example, improvements are rapidly being made in AI, cloud computing, data centers, image sensors, and machine learning (“ML”), among other technologies. There are also alternative approaches to developing chips such as chiplets and multi-chip packaging, and some OEMs and CSPs are taking more control over how their chips are developed including using specialist companies to design chips on their behalf. Furthermore, the once-rapid improvements in semiconductor transistor density, with consequent reductions in cost and power consumption, are decelerating, and further innovation will become incrementally more difficult and expensive to achieve. As a result of these rapid technological changes and others currently unknown, the future market for our products is difficult to predict. These risks are further exacerbated by the fact that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products often use a common architecture for multiple end markets and our new architecture products often are based on legacy products. Therefore, if our architecture were rendered uncompetitive, obsolete, or otherwise unmarketable it may impact multiple products and may cause us to expend significant resources and incur significant expenses to develop a new architecture.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reputation and relationships with our third-party partners could be adversely affected if we cannot develop technological improvements or adapt our products to technological changes on a timely basis. Whether we will be able to compete in the future will substantially depend on our ability to advance our products to meet these changing market and end-user needs and to anticipate successfully or respond to technological changes in hardware, software and architecture standards on a cost-effective and timely basis. If our products do not conform to, or are not compatible with, existing or emerging industry standards, demand for our products may decrease. Further, as a result of the rapidly changing technology and end-user needs in the semiconductor industry, our customers expect rapid development of new or enhanced products and solutions. The demand and expected timeline for development of our products and solutions, in the aggregate, often exceeds our available resources, requiring us to prioritize certain products and solutions. These resource constraints may be exacerbated when developing and distributing new products and solutions, particularly if those proposed products and solutions require greater resources than we anticipated. To the extent that customers are dissatisfied with the timeline for the development of certain products or solutions, such customers may terminate or materially reduce their relationship with us and seek alternative architectures or products from competitors. Conversely, pursuing an accelerated timeline for developing products or solutions may increase the likelihood of defects, cause us to allocate more resources away from other components of our business or result in our failure to timely develop the products or solutions, any of which could lead to customer dissatisfaction and lost opportunities. There is additional risk that public opinion regarding products that enable or enhance AI and ML technologies may not be consistent with our expectations, or that market acceptance of such products may be slower than anticipated. For example, failure to achieve widespread acceptance of and to generate significant revenues from AI and ML technologies could materially and adversely impact our business and operating results. In addition, we increasingly rely on third-party providers of AI technologies, and any disruption, degradation or unavailability of such technologies, whether due to cyberattacks, security breaches, or other events, could adversely affect our product development efforts and internal operations.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our entry into production silicon and our commitment to a multi-generation roadmap create new execution risks across multiple product generations and requires material commitments to new resources in order to overcome these. Unlike our IP licensing model, we now face exposure to risks relating to transitioning to advanced process nodes; competing against established production silicon companies; coordinating multi-year roadmaps with lead development partners; managing product transitions and inventory across generations; maintaining backward compatibility and software ecosystem support; and executing on advanced packaging, memory integration, and system-level optimization. The rapidly evolving requirements of AI workloads create additional uncertainty around product-market fit and technical requirements, including the risk of the emergence of disruptive new technologies. Any failure to execute on our roadmap commitments, delays in product introductions, or technical shortfalls relative to competitors could result in customer losses, revenue shortfalls, inventory write-offs, and reputational damage that could have a material adverse effect on our business, results of operations, financial condition, and prospects.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Developing new products requires us to expend significant resources without assurances that we will generate revenue in the amounts we anticipate, on the expected timeline or at all.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have to make significant expenditures to continue developing our semiconductor products and other products. The long development time of generally five or more years from the initial design of our semiconductor products until its incorporation into new end-user applications can place significant strain on our financial resources and talent. Despite these investments, there can be no assurances that we will realize the financial benefits of our development efforts in the amounts we anticipate, on the expected timeline or at all. For instance, in the past we have experienced delays in the development of certain of our products, which then delayed product deployment and the associated revenues. This risk may be further exacerbated in respect of any new products or solutions, including production silicon products (such as the Arm AGI CPU), more complete compute subsystems (such as Arm CSS), chiplets and complete chip solutions that we may develop in the future, are for a new market, or are solutions that we have not previously offered which may require the build-out of any additional capabilities, relationships and infrastructure.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be unable to predict the timing or development of trends in our target markets with any accuracy. If we fail to accurately predict market requirements or market demand for our products in our target markets, our business will suffer. A market shift towards an industry standard that we do not currently support and for which we are not currently developing new products could significantly decrease the demand for our products. Despite these uncertainties, we devote substantial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and other resources, including design, engineering, sales, marketing, and management efforts, to developing and marketing our products in anticipation of incorporation into new end-user applications. Additionally, our competitors may have a competitive advantage if their assessments relating to market adoption of new technologies prove to be more accurate than our assessments. Our failure to anticipate or timely develop new or enhanced products in response to changing market demand could result in the loss of customers and decreased revenue and have a material and adverse effect on our business, cash flows, results of operations and prospects.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we develop and introduce new products, we face the risk that customers may not value or be willing to bear the cost of incorporating these newer products into their chips, products or services, including increases in royalty rates for such new products (as compared to existing products), particularly if they believe their customers are satisfied with the current products or unwilling to pay for improved products. Regardless of the improved features or superior performance of the newer products we develop, customers may be unwilling to adopt our new products for a variety of reasons, including design or pricing constraints. Moreover, the complexity and expense associated with our products generally requires a lengthy customer education, evaluation and approval process. Further, economic conditions, including economic downturns and rising rates of inflation or stagflation, may adversely impact our ability to license products by making it difficult for our customers to plan future business activities, which could cause customers to limit spending or delay decision-making.</w:t>
      </w:r>
    </w:p>
    <w:p>
      <w:pPr>
        <w:pStyle w:val="TextBody"/>
        <w:bidi w:val="0"/>
        <w:spacing w:lineRule="auto" w:line="288" w:before="120" w:after="240"/>
        <w:ind w:left="0" w:right="0" w:firstLine="360"/>
        <w:jc w:val="both"/>
        <w:rPr/>
      </w:pPr>
      <w:r>
        <w:rPr>
          <w:rFonts w:ascii="Times New Roman;serif" w:hAnsi="Times New Roman;serif"/>
          <w:b w:val="false"/>
          <w:color w:val="000000"/>
          <w:sz w:val="20"/>
        </w:rPr>
        <w:t>We may not be successful in developing, licensing or selling new products and may experience difficulties or delays that would prevent the successful development, introduction and marketing of new products, and any new products that we may introduce may not achieve market acceptance and generate revenues and profits in the amounts we anticipate, on the expected timeline or at all, which could materially and adversely affect our business, cash flows, results of operations and prospects. These risks are further exacerbated by our focus on developing and marketing high-value products, which naturally require more resources to develop. See “</w:t>
      </w:r>
      <w:r>
        <w:rPr>
          <w:color w:val="000000"/>
        </w:rPr>
        <w:t>—</w:t>
      </w:r>
      <w:r>
        <w:rPr>
          <w:rFonts w:ascii="Times New Roman;serif" w:hAnsi="Times New Roman;serif"/>
          <w:b w:val="false"/>
          <w:i/>
          <w:color w:val="000000"/>
          <w:sz w:val="20"/>
        </w:rPr>
        <w:t>Our development of production silicon products, such as the Arm AGI CPU, CSS, chiplets, complete chip solutions, and other more integrated compute products may subject us to new or enhanced competitive, brand, technological, regulatory, operational and financial risks.</w:t>
      </w:r>
      <w:r>
        <w:rPr>
          <w:color w:val="000000"/>
        </w:rPr>
        <w:t>”</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Our concentration of revenue from the PRC market makes us particularly susceptible to economic and political risks affecting the PRC, which could be exacerbated by tensions between (on the one hand) the U.S. or the U.K. and (on the other hand) the PRC with respect to trade and national security.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fiscal years ended March 31, 2026, 2025 and 2024, revenues from the PRC accounted for approximately 18%, 19% and 22% of our total revenue, respectively, including both direct revenues and revenues derived from our relationship with Arm China. Our revenues in the PRC are derived from PRC semiconductor companies and OEMs, and from non-PRC semiconductor companies and OEMs that utilize our products in chips and end products they sell into the PRC, which, by country, has the largest number of smartphone users in the world. Our failure to maintain PRC-sourced revenues, access new and existing markets in the PRC or gain traction for new business areas in the PRC, or our loss of market share to competition in the PRC, could materially and adversely affect our results of operations and competitive position.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PRC is a significant source of semiconductor industry revenues. However, the near-term growth prospects of the PRC semiconductor industry and related industries are unclear due to the uncertain effects of trade and national security policies, continued elevated levels of private and public indebtedness and related policies. For the fiscal year ended March 31, 2026, our total revenues derived from the PRC increased by 17% as compared to the prior fiscal year, mainly due to royalty revenue growth. However, it is still premature to determine if this positive trend in royalty growth will continue. It is possible that a long-term decline or plateauing of royalty revenues derived from the PRC could occur. A prolonged downturn or slow recovery in the PRC semiconductor industry or the PRC economy generally could materially and adversely affect our results of operations and competitive position.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Regulatory and legislative actions, including trade and national security policies of the U.S. and PRC governments, such as tariffs, placing companies on restricted lists, supply chain restrictions, export controls or new end-use controls, have in the past, currently do and could in the future limit or prevent us, directly or through our commercial relationship with Arm China, from transacting business with certain PRC customers or suppliers, limit, prevent or discourage certain PRC customers or suppliers from transacting business with us or Arm China, or make it more expensive to do so, which could adversely affect demand for our products. Given our revenue concentration in the PRC, if, due to actual, threatened or potential U.S., U.K. or PRC government actions or policies: Arm China is further limited in, or prohibited from, licensing our products to PRC semiconductor companies and OEMs; our non-PRC semiconductor companies and OEM customers were limited in, or prohibited from, selling devices into the PRC that incorporate our products; PRC semiconductor companies and OEMs develop and use their own technology or use our competitors’ technology in some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all of their devices; or our PRC customers delay or cease making payments of license fees owed, our business, revenues, results of operations, cash flows and financial condition could be materially harmed.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U.S. and U.K. have trade and national security policies regarding exports to the PRC and certain countries that the U.S. Government suspects are supplying the PRC of technology with potential advanced compute, AI, advanced node semiconductor applications, or military uses that would require us to obtain export licenses for certain processors, which can be difficult to obtain. For example, our Neoverse V series processors meet or exceed performance thresholds under U.S. and U.K. export control regimes and thereby trigger U.S. and U.K. export license requirements prior to export and delivery to customers in the PRC. Given that national security concerns are higher for AI data centers, high-performance computing (“HPC”) and advanced compute technologies destined for the PRC and certain countries suspected of supplying the PRC and government response timelines are not defined, it can be challenging and unpredictable to obtain such export licenses. Combined with customer need for certainty, we have been able to address customer demand by licensing other central processing unit (“CPU”) cores that do not exceed the HPC performance or advanced compute export control thresholds but yet still present a compelling solution. Although export-related restrictions on our ability to sell such HPC or advanced compute processors into the PRC has not had a material impact on our business to date, future restrictions on sales of our products into the PRC could have a material adverse impact on our business.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October 28, 2024, the U.S. Department of Treasury issued a final rule implementing Executive Order 14105, issued on August 9, 2023 (the “Final Rule”) to address investments by U.S. persons in companies located in the PRC that engage with certain categories of sensitive technology and products, including semiconductors and microelectronics, quantum information technologies and artificial intelligence. The Final Rule, which took effect January 2, 2025, implements limits on such investments. The Final Rule has not had a material effect on Arm to date but could potentially have a future impact on our PRC customers, our suppliers, Arm China, or our business with respect to China. Additionally, the U.S. federal government may affect the manner in which the Final Rule is interpreted and enforced.</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Finally, government policies in the PRC that regulate the amount and timing of funds that may flow out of the country have impacted and may continue to impact the timing and/or ability to receive funds generated from PRC-related revenues, which may negatively affect our cash flows.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We utilize our commercial relationship with Arm China to access the PRC market for IP revenue. If that commercial relationship no longer existed or deteriorates, our ability to compete in the PRC market and generate IP revenue could be materially and adversely affected.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Substantially all of our PRC-related revenue is earned through the intellectual property license agreement (“IPLA”) with Arm China, pursuant to which, among other things, we granted Arm China certain exclusive rights to sublicense certain of our IP to PRC customers. We expect that our licensing relationship with Arm China will continue to account for substantially all of our total IP revenues from the PRC and represent a significant portion of our revenues for the foreseeable future. It would be difficult for us to replace any lost PRC-sourced IP revenue in the event that our commercial relationship with Arm China were to terminate or deteriorate. Accordingly, we expect that Arm China will continue to provide our primary access to IP revenue from the PRC market for the foreseeable future. Further, in the event we license our IP to PRC customers outside of the IPLA, this could cause our relationship with Arm China to deteriorate. If we fail to maintain our commercial relationship with Arm China, our access to the PRC market could be materially diminished and our business, results of operations, financial condition and prospects for growth could be materially and adversely affected.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Neither we nor SoftBank Group control the operations of Arm China, which operates independently of us.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Despite our significant reliance on Arm China through our commercial relationship with them, both as a source of revenue and as a conduit to the important PRC market, Arm China operates independently of us. On March 28, 2022, we transferred our entire equity interest in Arm China to a subsidiary of SoftBank Group. As of the date of this Annual Report, approximately 48% of the equity interest in Arm China is owned by Acetone Limited, which is controlled by SoftBank Group and in which we own a 10% non-voting interest, approximately 35% is indirectly owned by HOPU Investment Management Company, and approximately 17% is directly and indirectly owned by other Chinese parties. Our 10% non-voting interest in Acetone Limited represents an approximate 4.8% indirect ownership interest in Arm China.</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we do not have any direct management rights with respect to Arm China, such as a right to representation on Arm China’s board of directors, although Mr. Abbey, our Chief Commercial Officer, serves on the board as an appointee of the SoftBank Group affiliate holding Arm’s former equity interest in Arm China. Following the transfer of our interest in Arm China to a subsidiary of SoftBank Group, under the terms of the Arm China arrangement, the SoftBank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Group affiliate holding Arm’s former equity interest in Arm China is entitled to appoint a minority of the directors of the board of Arm China, and SoftBank Group’s appointees are unable to unilaterally implement certain measures that require action by all of or a supermajority of the directors of Arm China.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fact that Arm China operates independently of us exposes us to significant risks. Arm China’s value to us as a customer is dependent on Arm China’s business results, which are, in turn, subject to substantial risks that are outside of our control. For example, Arm China may not commit the necessary resources to market and sublicense our IP products to PRC end-users. Arm China also may fail to comply with the laws and regulatory requirements applicable to its business, which could limit its ability to market or sell our IP products in the PRC. In addition, Arm China may fail to attract, train, retain and motivate highly skilled managerial and technical talent necessary for its business. Arm China may also have difficulties accessing funding or enforcing contractual relationships. The realization of these or other risks related to Arm China’s business may have a material adverse effect on Arm China’s business, results of operations, financial condition and prospects and, by extension, our own. Since Arm China operates independently of us and we do not control Arm China, our ability to take measures to address the various risks facing Arm China is limited. If any of such risks related to Arm China’s business are realized, our revenue could materially decline and our results of operations could be materially adversely affected.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IPLA with Arm China, Arm China’s payments due to us are determined based on the financial information that Arm China provides to us. Accordingly, similar to our other royalty customers, we are dependent on Arm China providing us with reliable and timely information. We perform various procedures to assess the reasonableness of Arm China’s data, and the IPLA includes rights for us to audit Arm China’s activities to ensure compliance with the IPLA. In the past, we have had issues obtaining timely and accurate information from Arm China, as well as enforcing our right to conduct an audit. We believe the underlying problems causing our past inability to obtain such information have been resolved, but we can provide no assurances that our access to Arm China’s records will not be inhibited again in the future or that Arm China will not suffer from any material weaknesses or significant deficiencies in its financial reporting. If Arm China does not provide us with timely and accurate information, our revenue could materially decline and our results of operations could be materially adversely affected. We are also dependent on Arm China paying us the amounts that it owes us in a timely manner and in full. In the past, we have received late payments from Arm China and have had to expend company resources to obtain payments from Arm China. Although these historical issues did not have a material impact on our operations, any future failure to pay us the amounts we are owed under the IPLA could have a material adverse effect on our business, results of operations, cash flows and financial condition.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Arm China has possession of or access to certain material IP and customer data pursuant to the IPLA and other commercial arrangements with us. Although Arm China is contractually obligated to protect this IP and data, we are limited in our ability to monitor or influence the manner in which Arm China protects our IP and data from theft, loss or misuse. Arm China operates its own separate information technology infrastructure. Aside from customary audit rights and protections under the IPLA, we are therefore unable to independently assure the adequacy of protections that Arm China implements with respect to its possession and/or access to our IP and data.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under the IPLA with Arm China, we are contractually obligated to indemnify both Arm China and its PRC customers that sublicense our IP in the event that either Arm China or such customers incur damages or costs in lawsuits, administrative proceedings or similar actions based upon a claim that our IP infringes the IP of a third party. The liability that we incur to Arm China or its PRC customers under such provisions could be significant and have a material adverse effect on our results of operations and liquidity.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since April 2022, Allen Wu, the former Chief Executive Officer of Arm China, and certain entities under his effective control, have initiated several lawsuits in the courts of the PRC seeking to challenge certain aspects of Arm China’s corporate governance and the actions of Arm China’s board of directors. To date, all cases that have been resolved at the trial court level have been resolved favorably to Arm China, but certain of those cases remain subject to appeal. In the event that certain of these cases were to be decided adversely to Arm China, it could result in further changes to Arm China’s corporate governance and management structure, which could reduce SoftBank Group’s ability to conduct effective oversight of Arm China and result in a material adverse effect on our business, results of operations, financial condition and prospects.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We may face increasing competition with PRC companies that develop their own IP.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Due to various factors, including local requirements, encouragement or incentives from, as well as the policies of, the PRC government promoting self-sufficiency (such as the “Made in China 2025” campaign or the “AI Plus” initiative),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pPr>
      <w:r>
        <w:rPr>
          <w:rFonts w:ascii="Times New Roman;serif" w:hAnsi="Times New Roman;serif"/>
          <w:b w:val="false"/>
          <w:color w:val="000000"/>
          <w:sz w:val="20"/>
        </w:rPr>
        <w:t>concerns over actual, threatened or potential U.S., U.K. or PRC government actions or policies, including trade or national security policies, or other reasons, PRC semiconductor companies and OEMs may increasingly develop their own technology and use such technology in their devices, or use our competitors’ technology in their devices. Specifically, the PRC government’s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 xml:space="preserve">Five-Year Plan and related initiatives have emphasized self-sufficiency, particularly with respect to key core technologies, such as semiconductors. As part of a government-wide effort to encourage investment and development of domestic semiconductor capabilities, the PRC government could encourage financing opportunities to our competitors in the PRC on favorable terms, or influence major PRC customers to favor adoption of IP of our competitors in the PRC over our own IP.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 respect to Arm China, although the terms of the IPLA with Arm China prohibit Arm China from developing microprocessor cores and only allow Arm China to develop derivative products using Arm IP with our consent, Arm China may independently develop competitive products other than microprocessor cores and could divert customer interest from our products to increase its market share to our detriment. The realization of any such risks could materially harm our business, results of operations, cash flows and financial condition.</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Consolidation in the semiconductor and electronics industries could have a material adverse effect on our business, results of operations, financial condition and prospects.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number of business combinations, including mergers, asset acquisitions and strategic partnerships, have been consummated among our customers in the semiconductor and electronics industries, and more could occur in the future. Consolidation among our customers could lead to a loss of customers, increased customer bargaining power, or reduced customer spending on our products, each of which could have a material adverse effect on our business, results of operations, financial condition and prospects. For example, in the past, some of our larger customers who have negotiated lower pricing models have acquired customers with higher pricing models. In some cases, we have been, and in the future may be, required to renegotiate the pricing model with the acquired company or to honor the lower pricing model applicable for the acquiring customer while providing the same products prior to the acquisition by the larger company.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Our business and future operating results may be materially and adversely affected by global economic conditions and other events outside of our control.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risks arising from adverse changes in global economic conditions. In particular, due to economic uncertainties in many of our key markets, our customers and their customers may delay, suspend or reduce technology purchases and investments and/or delay their payments to us.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Economic conditions could continue to deteriorate in the future, including as a result of fluctuating inflation and interest rates, a sustained global semiconductor shortage, supply chain disruptions and any disruptions of international trade relationships, such as tariffs, export licenses or other government trade restrictions or new or continued conflicts. In particular, the semiconductor and electronics industries could fail to grow and sustained or increasing inflation could increase our operating expenses, increase costs for our customers and reduce demand for our products or our customers’ products. In addition, adverse economic conditions affect demand for devices that our products help create, such as smartphones, automobiles and servers. Longer-term reduced demand for these or other devices could result in reduced demand for our products and significant decreases in our licensing fees and royalty revenues over time. In addition, if our customers, distributors or other companies in the value-chain build elevated inventory levels, we could experience a decrease in short-term and/or long-term demand for our products. If any of these events or disruptions were to occur, the demand for our products could be materially adversely affected along with our business, results of operations, financial condition and prospects.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and operating results are also vulnerable to interruption by other events outside of our control, such as earthquakes, fire, extreme weather events, power loss, telecommunications failures, epidemics, pandemics or other public health crises, political instability, geopolitical turmoil, such as the war in Ukraine and conflicts in the Middle East, including Iran, and any sanctions, export controls or restrictions on doing business with Russia and Belarus, or with other countries (including the PRC), as well as any resulting disruption, instability or volatility in the global markets and industries resulting from such conflict, pandemics, military conflict and uncertainties arising out of terrorist attacks, including a global economic slowdown, the economic consequences of the recent resurgence and escalation of trade conflicts between the U.S. and the PRC as well as other major U.S. trade partners, the potential for deteriorating relations between the PRC and Taiwan and the associated disruptions to, or effects on, the semiconductor industry, military action or terrorist activities and associated political instability. Economic or political instability may undermine consumer confidence and/or cause current or potential customers, including the end customers of our customers or potential customers, to reduce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pPr>
      <w:r>
        <w:rPr>
          <w:rFonts w:ascii="Times New Roman;serif" w:hAnsi="Times New Roman;serif"/>
          <w:b w:val="false"/>
          <w:color w:val="000000"/>
          <w:sz w:val="20"/>
        </w:rPr>
        <w:t>or delay their technology purchases and investments. Such events could also materially adversely affect our ability to operate and supply our products to our customers, including by disrupting our global supply chain. See “</w:t>
      </w:r>
      <w:r>
        <w:rPr>
          <w:color w:val="000000"/>
        </w:rPr>
        <w:t>—</w:t>
      </w:r>
      <w:r>
        <w:rPr>
          <w:rFonts w:ascii="Times New Roman;serif" w:hAnsi="Times New Roman;serif"/>
          <w:b w:val="false"/>
          <w:i/>
          <w:color w:val="000000"/>
          <w:sz w:val="20"/>
        </w:rPr>
        <w:t>Risks Relating to Government Regulation and Legal Compliance—Our international operations expose us to risks in international jurisdictions and we may be negatively impacted by export restrictions and trade barriers.</w:t>
      </w:r>
      <w:r>
        <w:rPr>
          <w:color w:val="000000"/>
        </w:rPr>
        <w:t xml:space="preserve">”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such geopolitical and economic factors could contribute to the fragmentation of the global semiconductor market, as certain countries, including the United States, seek more end-to-end control over architecture, leading to increased fragmentation and a reduced role for a global architecture. Countries may take political decisions to enforce the use of an alternative architecture, or locally generated implementations for certain use cases, to make their country more resilient in the case of trade barriers or for national security reasons. This could lead to increased costs to support region specific products, reduced revenue as a result of lost investment in territories that no longer use our products and potential market loss and loss of future licensing opportunities, all of which could have a material adverse effect on our business, results of operations, financial condition and prospects.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regularly maintain cash balances at third-party financial institutions in excess of government-insured limits. If banks and financial institutions, including financial institutions at which we maintain deposits, enter receivership or become insolvent in the future in response to financial conditions affecting the banking system and financial markets or otherwise, our ability and our customers’ ability to access cash, cash equivalents and investments may be threatened.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factors could cause customers to delay, decrease or cancel the licensing of our products and could expose us to increased credit risk on customer obligations owed to us, each of which could have a material adverse effect on our business, results of operations, financial condition and prospects.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Our operating results and revenue could be adversely affected by customer payment delays, customer bankruptcies and defaults or modifications of contractual commitments.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customers have and may continue to, and others in the future may, face challenging financial or operating conditions, including due to macroeconomic conditions or catastrophic events or other factors, and delay or default on their payment commitments to us, request to modify contract terms, or modify or cancel plans to license our products. Our customers’ inability to fulfill payment commitments, in turn, could adversely affect our revenue, operating expenses and cash flow. Additionally, certain of our customers have in the past sought, and customers may in the future seek, to renegotiate pre-existing contractual commitments. Payment defaults by our customers or significant reductions in existing contractual commitments could have a material adverse effect on our financial condition and results of operations.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The semiconductor industry relies on a limited number of manufacturers whose operations tend to be concentrated in certain geographic regions to manufacture chips and other products, and developments that adversely affect such regions or manufacturers could have a material adverse effect on our business, results of operations, financial condition and prospects.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semiconductor industry relies on a limited number of companies to manufacture chips and related products. The chip manufacturing operations of these companies are concentrated in certain geographic regions, including Taiwan and other parts of East Asia, which makes us susceptible to adverse developments in these regions’ economic and political conditions, particularly to the extent that such developments create an unfavorable business environment that significantly affects our and our customers’ operations or the foundries and other contract manufacturers which we rely. These manufacturers or the geographic regions in which they operate may be impacted by events outside of our or their control, including, among other things, company-specific operational issues, trade conflicts and military action or terrorist activities and associated political instability, any of which could have a material adverse effect on our business, results of operations, financial condition and prospects. Although the governments of certain countries, including the U.S., have taken actions to make their countries more attractive for chip manufacturing operations, there can be no assurances that the current geographic concentration of chip manufacturing will be meaningfully changed in the near term or at all.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Any escalation in geopolitical tensions in Asia, particularly between the PRC and Taiwan, could significantly disrupt semiconductor chip manufacturing and interrupt the global semiconductor chip supply chain. A significant portion of the world’s semiconductor manufacturing is in Taiwan, and increased geopolitical tensions there could exacerbate supply chain disruptions. In addition, geopolitical conflicts, such as the war in Ukraine and conflicts in the Middle East, including Iran, could lead to market disruptions and exacerbate current supply chain constraints, including with respect to certain materials and metals, which are essential in semiconductor manufacturing.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New technologies may use algorithms that are not suitable for a general-purpose CPU, such as our processors, and the failure to successfully implement new technologies in our processors could have a material adverse effect on our business, competitive position, results of operations, financial condition and prospects.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New technologies may use algorithms that are not suitable for a general-purpose CPU, such as our processors. Consequently, our processors may become less important in a chip based on our products, thus eroding its value to the customer and resulting in lower revenue for us. If we are unable to develop and commercialize processors that are compatible with new technologies or competitors are successful in developing compatible technologies more quickly or efficiently than we can, our business, competitive position, results of operations, financial condition and prospects may be materially and adversely affected. In addition, the introduction of new technologies into our processors may increase IP, cybersecurity, operational, data protection and technological risks and result in new or enhanced governmental or regulatory scrutiny, litigation, ethical concerns, or other complications that could materially and adversely affect our business. As a result of the complexity and rapid development of new technologies, it is not possible to predict all the legal, operational or technological risks related to use of such technologies.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We rely on our management team and will need additional talent to grow our business, and the loss of one or more key employees or our inability to attract and retain qualified talent could harm our business. </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Our future success is substantially dependent on our ability to attract, integrate, retain and motivate our management team and other key talent and we are particularly dependent on our senior management team, including Mr. Haas, our Chief Executive Officer, Mr. Child, our Chief Financial Officer, Mr. Collins, our Chief Legal Officer, Mr. Grisenthwaite, our Chief Architect, and other key employees. In April 2026, Mr. Haas was appointed as Chief Executive Officer of SoftBank Group International (“SBGI”), which manages certain portfolio companies of our controlling shareholder, SoftBank Group. Mr. Haas’s role at SBGI is expected to be limited and part-time. Mr. Haas will continue to serve as our Chief Executive Officer and a member of our Board of Directors. </w:t>
      </w:r>
      <w:r>
        <w:rPr>
          <w:rFonts w:ascii="Times New Roman;serif" w:hAnsi="Times New Roman;serif"/>
          <w:b w:val="false"/>
          <w:color w:val="000000"/>
          <w:sz w:val="20"/>
          <w:shd w:fill="FFFFFF" w:val="clear"/>
        </w:rPr>
        <w:t>This strategic appointment seeks to strengthen the integration between Arm and certain portfolio companies of our controlling shareholder, SoftBank Group, focusing on accelerating AI and semiconductor strategies. Although policies and procedures are in place to address any conflict of interest between Arm, SoftBank Group and/or any of its affiliates, this arrangement may lead to competing demands for Mr. Haas’s time and attention, and may have an adverse effect on our business, results of operations, financial condition and prospects and subject us to increased legal, governance, accounting, regulatory, operational risks, and unforeseen conflicts.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Competition for highly skilled talent, and particularly engineers, can be intense. Other companies may be successful in recruiting and hiring members of our management team or other key employees, and it may be difficult for us to find suitable replacements on a timely basis, on competitive terms or at all. We experience voluntary attrition on an ongoing basis. If we lose the services of any of our senior management, other key talent or a significant number of our engineers or sales and marketing talent, our development efforts or business relationships could be disrupted, which could have a material adverse effect on our business, results of operations, financial condition and prospects. Our future success significantly depends on our ability to identify, attract, motivate and retain qualified engineers and consultants with the requisite educational background and industry experience. Competition for such qualified engineers is intense and the cost of attracting and retaining qualified employees and consultants may increase without a corresponding increase in the prices we charge our customers, which could materially and adversely affect our profitability. In certain geographic regions, there is also intense competition for sales and marketing talent, which may adversely affect our ability to expand into new markets. Particularly, changes to the U.K.’s and U.S.’s border and immigration policy could occur, potentially affecting our ability to recruit and retain employees from outside the U.K or U.S. If we are unsuccessful in attracting and retaining qualified talent to fulfill our current or future needs, our business, results of operations, financial condition and prospects could be materially and adversely affected.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If development tools, systems software, EDA tools and operating systems that are compatible with our products cease to be available or are inadequate to satisfy customer needs, then our business, results of operations, financial condition and prospects may be materially and adversely affected.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it is crucial for the market acceptance of our products to have available development tools, systems software, EDA software and operating systems that are compatible with our products. Although we currently work with other third-party partners to offer such tools and software compatible with our products, we cannot assure you that such tools and software are or will continue to be sufficient to support customers’ needs, that our existing partners will continue to offer such tools, software and operating systems compatible with our products, or that we will continue to attract additional tools, software and operating systems partners. If development tools, systems software, EDA tools and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systems that are compatible with our products cease to be available or are inadequate to satisfy customer needs, then our business, results of operations, financial condition and prospects may be materially and adversely affected.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Participation in standards-setting organizations may subject us to IP licensing requirements or limitations that could adversely affect our business and prospects.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participation in standards-setting organizations or with other industry initiatives may require us to license our patents or products to companies that adopt industry-standard specifications. Depending on the rules of the organization, government regulations, or court decisions, we may be required to grant to all other participants licenses to our patents or products that are essential to the practice of those standards for little or no cost, or otherwise on reasonable and non-discriminatory (“RAND”) terms. RAND typically is used to describe a voluntary licensing commitment that standards-setting organizations often request from the owner of an IP right that is, or may become, essential to practice a technical standard. Accordingly, RAND terms could limit our control over the use of these patents and products. If we fail to limit to whom we license our patents or products, or fail to limit the terms of any such licenses, we may be required to license our patents or other IP to others in the future, which could limit the effectiveness of our patents against competitors. In these situations, the royalty rates we charge could be limited for these products, and we may be unable to limit to whom we license such products or to restrict many terms of the license. As a result, we may be unable to enforce certain patents against others, our costs of enforcing our licenses or protecting our patents may increase, and the value of our IP rights may be impaired. We may in the future be subject to claims that our licensing of industry standard technologies may not conform to the requirements of the standards-setting organization. Allegations such as these could be asserted in private actions seeking monetary damages and injunctive relief, or in regulatory actions. Claimants in such cases could seek to restrict or change our licensing practices or our ability to license our products. Any of the foregoing could have a material adverse effect on our business, results of operations, financial condition and prospects.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We use certain software governed by open-source licenses and we contribute to certain open-source projects, which under certain circumstances could materially adversely affect our business, results of operations, financial condition and prospects.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software, as well as that of our customers, third-party partners and vendors, may be derived from “open-source” software that is generally made available to the public by its authors or other third parties. Open-source software is made available under licenses that impose certain obligations on us in the event we were to distribute derivative works of the open-source software. These obligations may require us to make source code for the derivative works available to the public and/or license such derivative works under a particular type of license, rather than the forms of license we customarily use to protect our IP. In the event that the copyright holder of any open-source software were to successfully establish in court that we had not complied with the terms of a license for a particular work, we could be required to release the source code of that work to the public or stop distribution of that work if the license is terminated, which could adversely affect our business, results of operations, financial condition and prospects.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While we take steps to monitor the use of all open-source software in our products and try to ensure that no open-source software is used in such a way as to require us to disclose the source code to the related products when we do not wish to do so, such use could inadvertently occur. Additionally, if a third-party software provider has incorporated certain types of open-source software into software we license from such third party for our products, we could, under certain circumstances, be required to disclose the source code to our products. This could harm our IP position and have a material adverse effect on our business, results of operations, financial condition and prospects.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 although some open-source vendors provide warranty and support agreements, it is common for such software to be available “as-is” with no warranty, indemnity or support. Some of our products use open-source libraries that could contain vulnerabilities, and these may be discovered at any time. These vulnerabilities are often disclosed publicly without forewarning to the users of the software. Accordingly, our products may contain vulnerabilities originating from open-source software without our knowledge, and we may not have the opportunity to address such vulnerabilities before they are disclosed to the public. Although we monitor our use of open-source software to avoid subjecting our products to unintended conditions or vulnerabilities, such use, under certain circumstances, could materially adversely affect our business, results of operations, financial condition, prospects and reputation, including if we are required to take remedial action that may divert resources away from our development efforts.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Finally, from time to time we contribute software source code to open-source projects under open-source licenses. Any source code we contribute to open-source projects is publicly available. As such, our ability to protect our IP rights with respect to such software source code may be limited or lost entirely, and we may be unable to prevent our competitors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others from using such contributed software source code. Any of these risks could be difficult to eliminate or manage, and could harm our IP position and have a material adverse effect on our business, results of operations, financial condition and prospects.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It may be difficult for us to verify customer data, including royalty revenue amounts owed to us under our licensing agreements, and this may cause us to lose revenues.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seek to ensure that our customers adhere to the terms of our license agreements, including their obligation to provide certain data to us. We perform various procedures to assess customer data related to royalties for reasonableness, and our license agreements generally include rights for us to audit the books and records of our customers to verify certain types of customer data. However, audits can be expensive and time-consuming, and even after conducting an audit, it may still be challenging for us to verify the accuracy of information contained in customer royalty reports, or a customer could potentially object to the results of such audit. We can provide no assurances that our procedures to assess customer data and any audits that we undertake to verify the accuracy of our customers data will be successful. As a result, we may not always receive complete or accurate information (financial or otherwise) from our customers or obtain all royalty payments to which we are legally entitled, which could have a material adverse effect on our business, results of operations, financial condition and prospects.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We may be unable to make acquisitions and investments, or successfully integrate them into our business, and we may be unable to divest businesses on acceptable terms or at all.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our business strategy, we consider a wide array of potential strategic transactions, including acquisitions of businesses, new technologies, services and other assets, joint ventures and strategic investments that complement our business. We may be unable to identify or complete prospective transactions for many reasons, including increasing competition from other potential acquirers or investors, the effects of consolidation in our industries or potentially high valuations of acquisition or investment candidates. Certain agreements to which we are subject from time to time may also contractually restrict our ability to make acquisitions and investments in some circumstances. In addition, applicable antitrust, national security (including with respect to the U.K. National Security and Investment Act 2021 or the Committee on Foreign Investment in the United States) or other laws or regulations may limit our ability to acquire, invest in or integrate targets, or may force us to divest an acquired business or impose restrictions on an investment. If we are unable to identify suitable targets or complete or successfully integrate acquisitions, our growth prospects may suffer, and we may not be able to realize sufficient scale and technological advantages to compete effectively in all markets. Acquisitions involve numerous risks, any of which could negatively affect our business, results of operations, financial condition and prospects, including with respect to timing or delays, diversion of financial and management resources from existing operations or alternative acquisition opportunities, subsequent litigation, retention of key employees or business partners, integration costs and theft of information disclosed during the transaction. If we fail to address the foregoing risks or other problems encountered in connection with past or future acquisitions of businesses, new technologies, services and other assets and strategic investments, or if we fail to successfully integrate such acquisitions or investments to realize anticipated benefits or synergies, our business, results of operations, financial condition and prospects could be adversely affected.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have in the past divested and reduced, and may in the future divest or reduce, our investment in certain businesses or product lines from time to time. For example, on August 26, 2025, the Company completed the sale of its Artisan foundation IP business, consisting of standard cell libraries, memory compilers, and general-purpose I/Os to Cadence Design Systems, Inc. (“Cadence”). Such divestitures involve risks, such as the difficulty of identifying and separating out specific assets within a business, distracting employees, incurring potential loss of revenue and cash flow, negatively impacting margins, and potentially disrupting customer and employee relationships. We may also incur significant costs associated with exit or disposal activities, related impairment charges, or both.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There may be risks associated with organic growth or growth from strategic investments or acquisitions we make, and we may fail to effectively manage our growth.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could experience rapid growth in our headcount and operations through acquisitions, strategic investments and organic growth. This growth can place significant demands on our management and our operational and financial infrastructure. Our ability to manage our growth effectively and to integrate new technologies, businesses and talent into our existing business may require us to expand our operational and financial infrastructure and to address the retention, attraction, training, motivation and management of employees and consultants across a broader geographical and operational footprint. Such growth could strain our ability to develop and improve our operational, financial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controls, enhance our reporting systems and procedures, recruit, train and retain highly skilled talent, implement systems, policies, benefits and compliance programs across different jurisdictions, maintain our culture and maintain customer and brand satisfaction. Additionally, if we do not effectively manage the growth of our business and operations, the quality of our products and services could suffer, which could negatively affect our brand, operating results and overall business. The failure to effectively manage the growth of our strategic investments could also cause the value of such investments to decline. If we fail to achieve the necessary level of efficiency in our organization as it grows, our business, results of operations, financial condition and prospects could be materially and adversely affected.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Our financial statements include significant amounts of goodwill and other intangible assets. The impairment of a significant portion of these assets would adversely affect our reported results of operations and financial position.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goodwill and other intangible assets recognized in our financial statements represented 15% and 2%, respectively, of our total assets as of March 31, 2026 (18% and 2%, respectively, as of March 31, 2025). Within other intangible assets, our principal assets are our patents and licenses (10% of total other intangible assets as of March 31, 2026) and software or software assets under construction (90% of total other intangible assets as of March 31, 2026). Any further acquisitions may result in our recognition of additional goodwill or other intangible assets. We evaluate on a regular basis whether all or a portion of our goodwill and other intangible assets may be impaired. Under current accounting rules, any determination that impairment has occurred would require us to record an impairment charge, which would negatively affect our results of operations. We have recognized impairments in the past.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capitalize and amortize the qualifying costs of internally developed software for its operating platforms and related back-office systems over the estimated useful lives of these intangible assets (generally between three and five years). If projects fail to deliver anticipated results in line with our estimates and assumptions, then we may be required to write-down the intangible asset costs, which could adversely affect our financial condition, results of operations and the trading price of our securities.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impairment or write-down of a significant portion of goodwill, other intangible assets or capitalized development costs could have a material adverse effect on our reported results of operations and our financial position.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Our financial and operational flexibility may be restricted by covenants contained in loan agreements we may enter into in the future, and we may be unable to comply with the restrictions and financial and operational covenants imposed by such agreements.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do not currently have any debt, but we may incur debt in the future. Future creditors may subject us to certain restrictions on our business and future financing activities as well as certain financial and operational covenants. Such restrictions and covenants may prevent us from taking actions that otherwise might be deemed to be in the best interest of us and holders of our ADSs. If we were to assume debt in connection with an acquisition of a company or business, we may have limited or no ability to negotiate the restrictions and covenants included in the agreements or instruments providing for such debt, and such restrictions and covenants may require us to change how we operate and, therefore, could have material adverse effect on us. Debt service obligations may require us in the future to dedicate a substantial portion of our cash flows from operations to payments of principal and interest on our interest-bearing debt, which could limit our ability to obtain additional financing, make capital expenditures and acquisitions and carry out other general corporate activities in the future. Any such obligations may also limit our flexibility in planning for, or reacting to, changes in our business and the industry in which we operate or detract from our ability to successfully withstand a downturn in our business or the economy in general.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Failure to obtain, maintain, protect, defend or enforce our IP rights could impair our ability to protect our proprietary products and our brand, and the costs of obtaining, maintaining, protecting, defending and enforcing such IP rights, particularly as a result of litigation, may adversely and materially affect our results of operations.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and ability to compete depend significantly on protecting our IP rights. We primarily rely on patent, copyright, trade secret and trademark laws, trade secret protection and contractual protections, such as confidentiality, invention assignment and license agreements with our employees, customers, third-party partners and others, to protect our IP rights. The steps we take to protect our IP rights may be inadequate. We also may not be able to obtain desired patents, and our pending (of which we currently have approximately 2,750) or future patent applications, whether or not being currently challenged, may not result in the issuance of patents with the scope of protection we seek, including in jurisdictions of strategic importance and, if issued, may not provide any meaningful protection or competitive advantage. The scope of our patent protections may be adversely affected by changes in legal precedent and patent office interpretation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of these precedents. Further, patents directed to particular subject matter associated with our business (e.g., CPU architecture) may be difficult to obtain and enforce in many jurisdictions and there may also be limits on recovery for damages in those jurisdictions. Any of our existing patents, and any future patents, may be challenged, narrowed, invalidated or circumvented. Further, we may be unsuccessful in executing adequate invention assignment agreements with all employees, contractors or other third parties involved in the development of our IP portfolio. In certain jurisdictions, rights to IP developed by our employees or contractors or other third parties may not automatically vest in us, and our employees or contractors or other third parties may claim ownership in IP that we believe is owned by us. We may also be required to spend significant resources to establish, monitor and protect our IP rights, particularly as we expand our operations globally.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exposure to different legal jurisdictions also may impact our ability to exercise our contractual and other rights around IP in such jurisdictions, in particular in countries whose laws regarding the protection of IP are less rigorous or more difficult to enforce than in the U.K., the U.S. and the European Union. In jurisdictions where effective IP protection is unavailable or limited, our IP rights may be vulnerable to unauthorized disclosure, infringement, misappropriation or other violation by employees, third-party partners, suppliers, customers and other entities or individuals, even though our customers and partners are contractually restricted from using our IP outside of the agreed-upon licensing arrangements. Policing unauthorized use of our IP is difficult and expensive, and we may not be able, or may lack the resources, to prevent infringement, misappropriation or other violation of our IP rights, including increased difficulty as a foreign entity in certain international locations, particularly outside the U.K., the U.S. and the European Union. In addition, our ability to monitor and control theft, misappropriation or infringement is uncertain, particularly in countries outside of the U.K., the U.S. and the European Union, as the laws of some countries do not provide the same level of protection of our proprietary and confidential information as do the laws of the U.K., the U.S. and the European Union. Moreover, because we deliver our products to our customers in a source form, we have limited ability to trace the source of misappropriation of our IP and there are limited technological barriers (e.g., remote authorization requirements) we can put in place to protect our products from use by unauthorized parties. Additionally, theft of our IP or proprietary business information (including our trade secrets) could require substantial expenditures and resources to remedy. If we, our employees or our third-party partners, consultants, contractors, vendors or service providers were to suffer an attack or breach, for example, that results in the unauthorized access to, or use, theft, disclosure, misappropriation or sale of, our IP by any unauthorized third parties, we may have to notify consumers, partners or governmental authorities, and may be subject to investigations, civil penalties, administrative and enforcement actions and litigation, any of which could be costly and distracting or otherwise harm our business and reputation.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be unable to successfully obtain, maintain, protect and enforce our IP rights (including defending against counterfeit, knock-off, grey-market, infringing or otherwise unauthorized goods). Specifically, third parties may distribute, license and sell counterfeit or grey-market versions of our products, which may be inferior or pose safety risks and could confuse consumers or customers, which could cause them to refrain from purchasing our brands in the future or otherwise damage our reputation. The presence of counterfeit versions of our products and technology in the market could also dilute the value of our brands, force us and our customers to compete with heavily discounted products and technology, cause us to be in breach of contract (including license agreements), impact our compliance with distribution and competition laws in jurisdictions including the U.K., the U.S., the European Union and the PRC, or otherwise have a negative impact on our reputation and business, prospects, financial condition or results of operations. Further, we may not be able to detect all violations of our IP rights and, even if we do become aware of any such violations, we may not be able to adequately enforce our IP rights in certain domestic and foreign jurisdictions. If we are unable to successfully navigate the relevant legal and regulatory environment and/or enforce our IP rights and/or contractual rights in relevant jurisdictions, our business, results of operations, financial condition and prospects could be materially and adversely impacted.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Litigation may be necessary in the future to enforce our patents and other IP rights, to protect our trade secrets, to determine the validity and scope of the proprietary rights of others, or to defend against claims of infringement, misappropriation or invalidity. We have in the past been and may in the future be subject to claims by third parties alleging our infringement, misappropriation or other violation of third-party IP rights, including patent rights, or misuse of third-party confidential information. Additionally, our increasing use of AI internally as well as our entry into production silicon may increase these risks. Any such litigation, whether or not determined in our favor or settled by us, would divert the efforts and attention of our management and technical talent from normal business operations, could be costly, require us to enter into royalty or licensing arrangements, subject us to damages or injunctions restricting the sale of our products, result in the invalidation of a patent or family of patents, require us to refund license fees to our customers or to forgo future payments or require us to redesign or rebrand certain of our products, any one of which could have a material adverse effect on our business, results of operations, financial condition and prospects. Furthermore, our efforts to enforce our IP rights may be met with defenses, counterclaims and countersuits attacking the validity and enforceability of our IP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In addition, counterparties in litigation may have greater resources that they can dedicate to litigation-related matters than we can. Moreover, litigation against current or former customers and partners may adversely impact existing relationships. Accordingly, we may not be able to prevent third parties from infringing, misappropriating or otherwise violating our IP rights.</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In any potential dispute involving our patents or other IP, our licensees or the customers of our licensees could also become the target of litigation and we may be bound to indemnify such parties under the terms of our customer agreements. Although we do not agree to indemnify our customers’ end customers and our indemnification obligations are generally subject to a maximum amount, such obligations could nevertheless result in substantial expenses to us and end customers may initiate claims against us as well. See </w:t>
      </w:r>
      <w:r>
        <w:rPr>
          <w:color w:val="000000"/>
        </w:rPr>
        <w:t>“</w:t>
      </w:r>
      <w:r>
        <w:rPr>
          <w:rFonts w:ascii="Times New Roman;serif" w:hAnsi="Times New Roman;serif"/>
          <w:b w:val="false"/>
          <w:i/>
          <w:color w:val="000000"/>
          <w:sz w:val="20"/>
        </w:rPr>
        <w:t>Item 4. Information on the Company—B. Business Overview—Legal Proceedings.”</w:t>
      </w:r>
      <w:r>
        <w:rPr>
          <w:color w:val="000000"/>
        </w:rPr>
        <w:t xml:space="preserve"> </w:t>
      </w:r>
      <w:r>
        <w:rPr>
          <w:rFonts w:ascii="Times New Roman;serif" w:hAnsi="Times New Roman;serif"/>
          <w:b w:val="false"/>
          <w:color w:val="000000"/>
          <w:sz w:val="20"/>
        </w:rPr>
        <w:t xml:space="preserve">In addition to the time and expense required for us to indemnify our licensees or the customers of our licensees, such parties’ development, marketing and sales of chips and end products utilizing our products could be severely disrupted or discontinued as a result of litigation, which, in turn, could have a material adverse effect on our business, results of operations, financial condition and prospects.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Moreover, the semiconductor industry is generally subject to high turnover of employees, so the risk of trade secret misappropriation may be amplified. If any of our trade secrets are subject to unauthorized disclosure or are otherwise misappropriated by third parties, our competitive position may be materially and adversely affected.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Any adverse determinations in litigation could result in the loss of our IP rights or proprietary rights, subject us to significant liabilities, require us to seek licenses from third parties or prevent us from licensing our products, any of which could have a material adverse effect on our business, results of operations, financial condition and prospects. Our failure to obtain, maintain, protect, defend and enforce our IP rights could have a material adverse effect on our brand or our business, results of operations, financial condition and prospects. Furthermore, because our products are often based on a common architecture and our new products are often based on legacy products, adverse events related to our IP may have a more significant impact on us than if our products were less related.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We are currently involved in pending litigation, and may in the future become involved in litigation, government investigations or regulatory proceedings that may adversely affect us.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are involved in various legal, administrative and regulatory proceedings, claims, demands and investigations relating to our business, which may include claims with respect to commercial, product liability, IP, cybersecurity, privacy, data protection, antitrust, breach of contract, labor and employment, whistleblower, mergers and acquisitions and other matters. We are involved in pending litigation, including, but not limited to, lawsuits with Qualcomm Inc. and Qualcomm Technologies, Inc. (together “Qualcomm”) and Nuvia, Inc. (“Nuvia”). In addition, our products are involved in pending litigation to which we are not a party. We cannot provide you any assurances regarding how any such litigation will be resolved, what benefits we will obtain or what losses we might incur.</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31, 2022, we sued Qualcomm and Nuvia, in the U.S. District Court for the District of Delaware alleging that, inter alia, Qualcomm and Nuvia breached the termination provisions of Nuvia’s Architecture License Agreement (the “Nuvia ALA”) with us by failing to destroy technology Nuvia developed under the Nuvia ALA, which we terminated in March 2022 based on Nuvia’s failure to obtain our consent to the assignment of the Nuvia ALA to Qualcomm. Our complaint sought, among other things, specific performance of the Nuvia ALA termination provisions to require Qualcomm and Nuvia to stop using and to destroy the relevant Nuvia technology, and to stop their improper use of our trademarks with their related products. The claims were tried to a jury in December 2024. The jury failed to reach a complete verdict on the three issues presented to it. The jury concluded that certain technology was licensed to Qualcomm under the Qualcomm license and that Qualcomm had not breached the Nuvia ALA but failed to reach a verdict on whether Nuvia breached the Nuvia ALA. Both parties filed post-trial motions seeking judgment as a matter of law, and we also sought a new trial on the issues that were tried. On September 30, 2025, the Court affirmed the jury verdict on the issues on which it reached a conclusion and granted Qualcomm judgment as a matter of law in its favor to conclude that Nuvia did not breach the Nuvia ALA. We have filed an appeal with the United States Court of Appeals for the Third Circuit, which is currently pending.</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18, 2024, Qualcomm brought a new action in Delaware against Arm Holdings plc, asserting claims that were rejected for inclusion in the original action. In this new action, Qualcomm asserted that we failed to satisfy certain delivery obligations under Qualcomm’s Architecture License Agreement with us (the “Qualcomm ALA”). On December 16, 2024, Qualcomm amended its complaint to add allegations relating to an Arm notice of breach of the Qualcomm ALA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related tort and anti-competition claims. In 2025, Qualcomm amended its complaint again to add claims relating to an alleged breach of Qualcomm’s Technology License Agreement.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7, 2026, Qualcomm’s motion seeking to add Arm Limited, our wholly-owned subsidiary through which we have historically conducted our business, to the April 2024 lawsuit was denied. Subsequently, Qualcomm filed a separate lawsuit against Arm Limited seeking to make the April 2024 lawsuit’s allegations against Arm Limited. In March 2026, the lawsuit against Arm Limited was consolidated with the April 2024 lawsuit against us. On March 30, 2026, Qualcomm filed an amended complaint against only Arm Limited seeking to add another breach of contract claim. We have moved to strike this new claim. We disagree with the assertions made by Qualcomm (as referred to above) and intend to vigorously defend against them. The case is expected to go to trial in the fourth calendar quarter of 2026.</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can provide no assurances regarding the outcome of either litigation or how the litigation will affect our relationship with or revenue from Qualcomm, which is currently a major customer of ours and accounted for 9% of our total revenue for the fiscal year ended March 31, 2026. These cases will likely require significant legal expenditures going forward and may also require substantial time and attention from our executives or employees, which could distract them from operating our business. Further, we are subject to antitrust laws and regulations in multiple jurisdictions, which could and has from time to time subjected us to investigations by antitrust regulators. Our involvement in litigation with Qualcomm or in any antitrust investigation could cause us to incur significant reputational damage in the industry, in our relationship with Qualcomm or in our relationship with other third-party partners.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matters can be time-consuming, divert management’s attention and resources, and cause us to incur significant expenses. Any allegations made in the course of regulatory or legal proceedings may also harm our reputation, regardless of whether there is merit to such claims.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Errors, defects, bugs or security vulnerabilities in or associated with our products could expose us to liability and damage our brand and reputation, which could harm our competitive position and result in a loss of market share.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products have in the past and could have a substantial technical flaw or an undetected design error, which could result in unanticipated costs. Our products are used in billions of consumer and enterprise products across a wide range of industries, and many of these products are depended on by individuals and businesses. We use third-party AI software products in our business, including use by our engineers. AI software products rely on extracting and processing data from various sources, including third parties, and new training methods, and the resulting products offered by us or our customers may contain unknown or undetected defects and errors, or reflect unintended bias. The discovery of any design defect, fault or bug associated with our products, including those resulting from third-party suppliers, as well as any ensuing litigation or claims for indemnification could adversely affect our reputation and our relationships with partners, thereby having a material adverse effect on our business, results of operations, financial condition and prospects. Any such defects, faults or bugs could cause us to lose customers, increase our service costs, subject us to liability for damages or divert our resources from other tasks, any one of which could materially and adversely affect our business, results of operations, financial condition and prospects. The ramifications of a design defect, fault, or bug may be further exacerbated by the fact that many of our products are based on a common architecture and our new architecture products often are based on legacy products. Accordingly, a design defect, fault, or bug may affect multiple end products that are based on the same products, thereby potentially exposing us to additional liability and requiring additional resources to remedy the error.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our software could contain errors, defects or bugs, especially when first introduced or when new versions are released. Product errors, including those resulting from third-party suppliers and open-source vendors, could affect the performance or interoperability of our products, could delay the development or release of new products or new versions of products and could adversely affect market acceptance or perception of the quality and attractiveness of our products. Any such errors or delays in releasing new products or new versions of products, or allegations of unsatisfactory performance, could cause us to lose customers, increase our service costs, subject us to liability for damages or divert our resources from other tasks, any one of which could materially and adversely affect our business, results of operations, financial condition and prospects.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selling production silicon exposes us to product liability, warranty, and performance guarantee risks that are materially different from those associated with our traditional IP licensing business. If our production silicon fails to meet contractual specifications or customer expectations, we may face warranty claims, product liability claims, performance-related penalties or credits, contractual damages, reputational harm affecting both our production silicon and IP licensing businesses, and potential litigation or regulatory investigations. Our warranty and indemnification obligations for production silicon may be substantially greater in scope and amount than those associated with our IP licensing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business, and we may not have adequate insurance coverage or reserves to cover all potential claims. Any significant product liability claims, warranty obligations, or performance failures could have a material adverse effect on our business, results of operations, financial condition, and prospects.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Security vulnerabilities have previously been, and may continue to be, identified in our products, and it is possible that vulnerabilities may not be mitigated before they become known or at all. Publicity related to any such security vulnerabilities, whether accurate or inaccurate, and any attempted or successful exploitation of such vulnerabilities, may cause increased third-party attempts to identify additional security vulnerabilities or could result in litigation, indemnification or other regulatory actions or inquiries, which could harm our brand and have an adverse effect on our business and results of operations and financial performance.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our products are used, and may be used in the future, in a variety of safety critical systems and equipment, including, but not limited to, autonomous vehicles, robotics, drones, data centers and medical equipment. Faults, security vulnerabilities or errors in such systems can result in harm to individuals, including loss of life. Any such fault, security vulnerability, or errors that may be attributed to our products, regardless of merit, could result in litigation, indemnification obligations or regulatory actions or inquiries, which could harm our brand and have a material adverse effect on our business, results of operations and financial performance.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of our customers have stringent technical and quality requirements that require us to meet certain test and qualification criteria or to adopt and comply with specific quality standards. Certain customers also periodically audit our performance. Failure to meet technical or quality requirements or a negative customer audit could result in the loss of current sales revenue, customers, and future sales.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Actual or perceived security vulnerabilities in our information technology systems, including cyberattacks, security breaches or other similar incidents with respect to our or our third-party partners’ information technology systems, or any unauthorized access to our data or our third-party partners’ and our customers’ data, could harm our reputation, business and operating results.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collect, store and otherwise process certain personal, confidential and proprietary information in the operation of our business, including trade secrets, customer information, corporate data, personal information and other sensitive and protected data. Further, our third-party partners and customers regularly provide us with highly sensitive information, including details about their future product plans and roadmaps. Any unauthorized access to or disclosure of this information, whether inadvertent, malicious or as the result of a cyberattack, security breach or other similar incident, could have a material adverse effect on our third-party partners and customers as well as our own operations, which may in turn result in significant damage to our reputation, business and operating results.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Cyberattacks, including, but not limited to, ransomware events, computer viruses or other malware, phishing, denial of service attacks, illegal hacking and credential stuffing, targeted attacks driven by AI tools, or other malicious attempts to compromise and/or interrupt the operation of information technology systems continue to increase in frequency, magnitude and sophistication. These increasing threats are being driven by a variety of sources, including nation-state sponsored espionage and hacking activities, industrial espionage, organized crime, advanced persistent threat actors, and hacking by groups and individuals. These sources can also implement social engineering techniques to induce our third-party partners, users, employees or customers to disclose passwords or other sensitive information or take other actions to gain access to our or our third-party partners’ data or our users’ data. Additionally, the increased usage of AI internally may create new attack surfaces or methods for malicious actors and may increase the risk of unintended or inadvertent transmission of our proprietary or confidential information. We have also incorporated third-party data into some of our or third-party AI models and used proprietary and open-source datasets to train our or third-party models and may continue to do so. These datasets may be flawed, insufficient, or contain certain biased information, and may otherwise decrease resilience to security incidents that may compromise the integrity of our AI outputs, leading to potential reputational damage, regulatory scrutiny, or adverse impacts on the performance and reliability of our products, which could, in turn, materially and adversely affect our partners' and customers’ operations and trust. We may have limited insight into the data privacy or security practices of third-party providers, including for our AI algorithms. Techniques, including techniques based on or otherwise using AI, used to obtain unauthorized access to, or to sabotage, systems or networks are constantly evolving and may not be recognized until launched against a target. In addition, as new AI models are developed and released, the ability of cyberattacks to use these models to detect and exploit vulnerabilities may significantly increase. Therefore, we may be unable to anticipate these techniques, react in a timely manner, or implement adequate preventive measures, and we may face delays in our detection, containment, or remediation of, or other responses to, such cyberattacks, security breaches and other similar incidents. Geopolitical instability, such as ongoing conflict between Russia and Ukraine and conflicts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Middle East, including Iran, may increase the likelihood that we or our third-party partners and customers could experience direct or collateral consequences from cyber conflicts between nation-states or other politically motivated actors targeting critical technology infrastructure. Furthermore, we may in the future acquire companies that have less robust security measures, which may expose us to increased risk of cyberattacks, security breaches or other similar incidents. As we increase our customer base and our brand becomes more widely known and recognized, and as our products are used in more heavily regulated industries where there may be a greater concentration of sensitive and protected data, such as healthcare, government, life sciences and financial services, we and our third-party partners may become more of a target for these malicious actors.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Cyberattacks, security breaches or other similar incidents with respect to our information technology systems or those of our third-party partners could result in unauthorized access to, or misappropriation, loss of availability or integrity, disclosure, modification, misuse, loss, destruction or theft of, personal, confidential and proprietary information belonging to us or our employees, third-party partners, customers or suppliers, requiring us to notify individuals, regulators, customers, or other persons under applicable laws or contractual obligations. Such incidents could also cause a significant disruptive effect on our services, which could result in us, our third-party partners or our customers suffering significant financial or reputational damage and potential third-party legal action. If our security measures are, or are believed to be, inadequate or breached as a result of third-party action, including third-party partners that have access to our internal network and environment, employee negligence, error or malfeasance, fraud, product defects, accidental technological failure, social engineering techniques, improper user configuration or otherwise, and this results in, or is believed to result in, compromise of the confidentiality, integrity or availability of our data or our third-party partners’ and customers’ data, or otherwise causes a significant disruptive effect on our services, we could incur significant liability to various parties, including our third-party partners and customers, and to individuals or organizations whose information is being processed by us, our third-party partners or our customers. Further, such information and data being stored in foreign jurisdictions, could lead to us being required to disclose or provide access to data or other IP to a foreign government pursuant to national security or other laws of such foreign jurisdiction. Any perceived or actual violation of security, data protection and/or reporting obligations under relevant privacy and data protection laws, regulations, rules, standards and other obligations could also result in regulatory inquiries, investigations and enforcement actions, fines and/or legal action. We spend significant effort to detect and prevent cyberattacks, security breaches and other similar incidents, and we may face increased costs and be required to expend substantial resources in the event of an actual or perceived cyberattack, security breach or other similar incident. While we and our third-party partners and customers have experienced cyberattacks, including attempts to breach our information technology systems, and may experience cyberattacks in the future, as of the date of this Annual Report, we have identified no material breaches of our information technology systems. We can provide no assurances that we will not experience material breaches of our information technology systems in the future, that our third-party partners and customers will not experience breaches of their information technology systems in the future that are material to us, or that we or our third-party partners and customers have not experienced such a breach but have not yet discovered it.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Hardware and software we procure from third parties, including AI software, or through open-source solutions may contain vulnerabilities and be susceptible to cyberattacks, security breaches or other similar incidents. Additionally, our vendors or service providers may suffer, or be perceived to suffer, cyberattacks, security breaches or other similar incidents that may compromise data stored or processed for us or that may result in a compromise of our information technology system, which may also give rise to any of the foregoing. In addition, in certain circumstances, we provide third-party partners with access to our internal networks and environment, which may increase the risk of security vulnerabilities and cyberattacks. Our ability to monitor our vendors’ and service providers’ data security is limited, and, in any event, third parties may be able to circumvent those security measures, resulting in the unauthorized access to, misuse, disclosure, loss, acquisition, modification, unavailability, destruction or other processing of, our and our customers’ data. If our vendors or service providers suffer cyberattacks, security breaches or other incidents, we may be unable to perform essential functions to operate our business. To the extent any of our IP is compromised as a result of a security breach experienced by us or by a vendor or service provider, and we do not promptly identify or are not promptly made aware of such breach, we may incorporate compromised IP in our products, thereby making customer implementations of our products vulnerable to future cyberattacks, security breaches or other similar incidents. Moreover, if we, or any of our vendors or service providers, experience a security breach resulting in the exfiltration of confidential data about our information technology systems, such data may provide additional avenues for further attacks. In addition, employees and contractors, and former employees and contractors, including those who become employees or contractors of competitors or other third parties, may misappropriate, wrongfully use, publish or provide to our competitors or other third parties our personal, proprietary or confidential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ensure that any limitations of liability in our agreements with customers, third-party partners, service providers and other third parties with which we do business would be enforceable or adequate or would otherwise protect us from any liabilities or damages with respect to any particular claim in connection with a cyberattack, security breach or other similar incident. Additionally, we cannot be certain that our insurance coverage will be adequate for cybersecurity liabilities actually incurred, that insurance will continue to be available to us on economically reasonable terms, or at all, or that our insurer will not deny coverage as to any future claim. Any of the foregoing may cause our business to suffer and our reputation or competitive position to be damaged, which may have a material adverse effect on our business, results of operations, financial condition and prospects.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Any failure, interruption, disruption, damage or outage with respect to our information technology systems, including or due to an inability to operate our disaster recovery plans to adequately mitigate the effects of such, could adversely affect our reputation, operations and financial condition.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depends on the efficient and uninterrupted operation of our information technology and communications systems. If such systems were to fail, in whole or in part, for any reason or if we were to experience any unscheduled downtimes, even for only a short period, our reputation, operations and financial results could be adversely affected.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information technology and communication systems could be damaged or interrupted by several scenarios including natural hazards, extreme weather, fire, utility loss, infrastructure failure, service provider failure or cyber threats.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In many cases we use cloud provided software solutions where we are reliant on the software provider meeting our service level and contractual agreements. In the event that a critical software provider cannot provide their agreed service, this could have an adverse impact on our reputation, operations and financial reporting.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disaster recovery and business continuity plans in place for all critical systems and key business services, which are reviewed and tested regularly. However, these plans may not be successful in preventing delays or other complications that could arise from information technology systems failure or cyberattacks and, if they are not successful, insurance may not adequately compensate us for all losses that may occur and have a material adverse effect on our business, results of operations, financial condition and prospects.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Claims may be made for which we do not have adequate insurance, which could have a material adverse effect on our results of operations, cash flows and financial condition.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recent years, the insurance industry has faced unprecedented and escalating global events compounded by international economic uncertainty. As a result of these and other pressures, many insurers have withdrawn from certain market sectors and certain available insurance has become costly to procure, renew or maintain. We currently have global insurance policies, including coverage for the following significant risks (all of which are subject to certain important scope limitations, exceptions and company/deductible arrangements): property damage, business interruption, employee liability, public and products liability, directors’ and officers’ liability, and cybersecurity and technology-related losses. We do not insure against claims concerning patent litigation or other IP infringement claims and potential related indemnification obligations, because we are of the view that any limited coverage that could be obtained would be prohibitively expensive. Our business, results of operations, financial condition and prospects could be materially adversely affected by the occurrence of a catastrophic event, to the extent that any resulting loss or claim was not covered under the terms of our then existing insurance policies.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Foreign exchange fluctuations could have a material adverse effect on our business, results of operations, financial condition and prospects.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Although a substantial majority of our revenues, as well as a significant proportion of our assets and liabilities, are denominated in USD, certain of our costs are denominated in British pounds sterling and a number of other currencies, such as the Euro and Chinese Yuan Renminbi. Consequently, our results of operations have been, and are likely to continue to be, affected by changes in the relative value of the various currencies in which our revenues, costs, assets and liabilities are denominated, and especially the U.S. dollar to British pound sterling exchange rate, as well as the exchange rates to the Euro and Chinese Yuan Renminbi, may have a material impact on our reported results of operations and financial condition. To manage our exposure, we may engage in the use of financial derivatives or currency hedging transactions, although such activities may not cover all of our exposure, may be costly and may also expose us to counterparty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Despite hedging and other mitigating techniques implemented by us, fluctuations in exchange rates have in the past and may in the future have a material adverse effect on our business, results of operations, financial condition and prospects.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We could suffer significant damage to our brand and reputation, which could harm our competitive position, results of operations and prospects.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brand and reputation are critical factors in our relationships with customers, employees, governments, suppliers, and other stakeholders. Our failure to address, or the appearance of our failure to address, issues that give rise to reputational risk, including those described throughout this “Risk Factors” section, could significantly harm our brand and reputation. Our reputation can be impacted by catastrophic events, incidents involving unethical behavior or misconduct, product quality, security, or safety issues, allegations of legal noncompliance, internal control failures, corporate governance issues, security incidents, workplace incidents, climate issues, the use of our products for illegal or objectionable applications, including AI and ML or military applications that present ethical, regulatory, or other issues, marketing practices, media statements, the conduct of our suppliers or representatives, and other issues, incidents, or statements that, whether actual or perceived, result in adverse publicity. </w:t>
      </w:r>
    </w:p>
    <w:p>
      <w:pPr>
        <w:pStyle w:val="TextBody"/>
        <w:bidi w:val="0"/>
        <w:spacing w:lineRule="auto" w:line="288" w:before="120" w:after="240"/>
        <w:ind w:left="0" w:right="0" w:firstLine="360"/>
        <w:jc w:val="both"/>
        <w:rPr/>
      </w:pPr>
      <w:r>
        <w:rPr>
          <w:rFonts w:ascii="Times New Roman;serif" w:hAnsi="Times New Roman;serif"/>
          <w:b w:val="false"/>
          <w:color w:val="000000"/>
          <w:sz w:val="20"/>
        </w:rPr>
        <w:t>Our own internal use of AI, including but not limited to generative AI, concerns about our AI- and ML-related practices or the ultimate uses of our products in conjunction with AI and ML technologies, even if unfounded, could damage our reputation and materially and adversely affect our business and operating results. Third parties may use our products for harmful or controversial purposes, and the use of our products by our customers or end users to power AI and ML features and functionality may result in harm or controversy. See “—</w:t>
      </w:r>
      <w:r>
        <w:rPr>
          <w:rFonts w:ascii="Times New Roman;serif" w:hAnsi="Times New Roman;serif"/>
          <w:b w:val="false"/>
          <w:i/>
          <w:color w:val="000000"/>
          <w:sz w:val="20"/>
        </w:rPr>
        <w:t>Errors, defects, bugs or security vulnerabilities in or associated with our products could expose us to liability and damage our brand and reputation, which could harm our competitive position and result in a loss of market share</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Actual or perceived security vulnerabilities in our information technology systems, including cyberattacks, security breaches or other similar incidents with respect to our or our third-party partners’ information technology systems, or any unauthorized access to our data or our third-party partners’ and our customers’ data, could harm our reputation, business and operating results.”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our brand and reputation may be damaged by the actions of third parties that are imputed to us. For example, although Arm China operates independently of us, Arm China uses our trademarks in its marketing and branding. To the extent that Arm China’s actions are imputed to us due to Arm China’s use of our trademarks, our own brand and reputation may suffer significant damage. Furthermore, our CEO has been appointed CEO of SoftBank Group International and sits on the board of SoftBank Group. To the extent SoftBank’s actions are imputed to us due to this connection, our own brand and reputation may suffer significant damage in relation to matters outside our control.</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the extent we fail to respond quickly and effectively to address corporate crises and other threats to our brand and reputation, the ensuing negative public reaction could significantly harm our brand and reputation, which could result in loss of trust from our customers, third-party partners and employees and could lead to an increase in litigation claims and asserted damages or subject us to regulatory actions or restrictions, any of which could adversely affect our business, results of operations, financial condition and prospects.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 we are in the process of rebranding many of our products, which may not produce the benefits we expect. Initially, our rebranded products will not have as established brand recognition as our prior product names and could result in customer confusion. In addition, while we have processes and procedures in place to ensure that our rebranded products will not infringe on the IP of others, our rebranded products may unintentionally infringe on others’ IP rights. Additionally, we may be unable to obtain adequate IP protection over the product names we intend to use. If our rebranding initiative does not produce the intended result, we may incur substantial costs and incur damage to our brand and reputation.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Damage to our brand and reputation could reduce demand for our products and adversely affect our business, operating environment and the trading price of our securities. Damage to our reputation may also make us less attractive to current and prospective employees relative to our competitors, particularly given the intensely competitive market for highly skilled employees. Moreover, repairing our brand and reputation may be difficult, time-consuming, and expensive. The heightened competitive pressures could result in a loss of customers or a reduction in revenues or revenue growth rates, all of which could adversely affect our business, results of operations, financial condition and prospects.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Evolving expectations from governments, customers, partners, regulators, investors, and other stakeholders with respect to our environmental, social and governance (“ESG”) practices may impose additional costs on us, expose us to new or additional risks, or harm our reputation.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evolving expectations from governments, customers, partners, regulators, investors, and other stakeholders related to ESG practices and disclosure. In addition, organizations that provide information to investors on corporate governance and related matters have developed ratings processes for evaluating companies on their approach to ESG matters. Such ratings are used by some investors to inform their investment and voting decisions. Unfavorable ESG ratings may lead to negative investor sentiment toward us, which could have a negative impact on the trading price of our securities and our access to and costs of capital. Increased ESG-related compliance costs could result in increases to our overall operational costs. Failure to adapt to or comply with regulatory requirements or investor or stakeholder expectations and standards could negatively impact our reputation, ability to do business with certain partners, and the trading price of our securities. New government regulations could also result in new or more stringent forms of ESG oversight and expanding mandatory and voluntary reporting, diligence, and disclosure.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established corporate social responsibility programs aligned with sound ESG principles. These programs reflect our current initiatives and are not guarantees that we will be able to achieve them. Our ability to successfully execute these initiatives and accurately report our progress presents numerous operational, financial, legal, reputational and other risks, many of which are outside our control, and all of which could have a material negative impact on our business. Additionally, the implementation of these initiatives imposes additional costs on us. If our ESG initiatives fail to satisfy investors, customers, partners and our other stakeholders, our reputation, our ability to license our products to customers, our ability to attract or retain employees, and our attractiveness as an investment, business partner or acquirer could be negatively impacted. Similarly, our failure or perceived failure to pursue or fulfil our goals, targets and objectives or to satisfy various reporting standards within the timelines we announce, or at all, could also have similar negative impacts and expose us to government enforcement actions and private litigation.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the same time, “anti-ESG” sentiment has gained momentum across the U.S. with a growing number of states, federal agencies, the executive branch and Congress having enacted, proposed or indicated an intent to pursue “anti-ESG” policies, legislation, or initiatives or issued related legal opinions, and the U.S. federal government having recently issued policy statements and directives potentially impacting diversity equity and inclusion (“DEI”) initiatives in the private sector. Such “anti-ESG” and anti-DEI related policies, legislation, initiatives, litigation, legal opinions and scrutiny could result in us facing additional compliance obligations, becoming the subject of investigations and enforcement actions or sustaining reputational harm.</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We have previously identified a material weakness in our internal control over financial reporting and may identify additional material weaknesses in the future or otherwise fail to maintain proper and effective internal controls, which may impact our ability to produce accurate financial statements or comply with applicable regulations. As a result, shareholders could lose confidence in our financial and other public reporting, which would harm our business and the trading price of our ADSs.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required, pursuant to the requirements of Section 404 of the Sarbanes-Oxley Act of 2002 (the “Sarbanes-Oxley Act”), to furnish a report from management on, among other things, the effectiveness of our internal control over financial reporting, including control deficiencies that constitute a “material weakness” or changes in internal controls that, or that are reasonably likely to, materially affect internal controls over financial reporting. In addition, our independent registered public accounting firm is required to express an opinion on the effectiveness of our internal control over financial reporting on an annual basis. For example, for the fiscal years ended March 31, 2022 and 2021 we identified a material weakness relating to our information technology general controls over information systems that are necessary for preparation of our financial statements. To address the material weakness, we implemented a remediation plan which was completed during the fiscal year ended March 31, 2025, and management has concluded that the material weakness has been remediated. There can be no assurance that similar control issues will not be identified in future periods.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or are unable to comply with the requirements of Section 404 in a timely manner or assert that our internal control over financial reporting is effective, if we are required to make restatements of our financial statements, or if our independent registered public accounting firm is unable to express an opinion as to the effectiveness of our internal control over financial reporting, investors may lose confidence in our operating results, the price of our ADSs could decline and we may be subject to litigation or regulatory enforcement actions. In addition, if we are unable to meet the requirements of Section 404, we may not be able to remain listed on Nasdaq and may become subject to investigations by the SEC, Nasdaq, or other regulatory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Risks Relating to Government Regulation and Legal Compliance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international operations expose us to risks in international jurisdictions and we may be negatively impacted by export restrictions and trade barriers.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headquarters are in the U.K., and we currently also have operations in various jurisdictions around the world, including the U.S., Europe, the PRC, India, South Korea, Japan, and Taiwan. We may in the future expand our operations either within these jurisdictions or to new jurisdictions or otherwise reorganize our operations. Risks associated with these international operations include exposure to political, economic and financial conditions and expected and unexpected changes in legal and regulatory environments. As we continue to develop our business to include new products and solutions, these risks may evolve or expand. We may, from time to time, enter into strategic partnerships, joint ventures or similar business relationships with entities in foreign jurisdictions, including governmental or quasi-governmental entities, pursuant to which we may be required to license or transfer certain of our IP rights to such entities. For example, we recently entered into a strategic partnership with Danantara Indonesia, the sovereign investment institution of the Republic of Indonesia. Such relationships could expose us to increased risks inherent in such activities, such as protection of our IP, economic and political risks, and contractual enforcement issues. In addition, we could face potentially adverse tax consequences from our international expansion, changes in our international operations or changes in tax laws in any of the multiple jurisdictions in which we operate. Managing operations in multiple jurisdictions also places further strain on management’s time and our ability to manage overall growth. These risks could have a material adverse effect on our business, results of operations, financial condition and prospects.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governmental export and import requirements that could subject us to liability or restrict our ability to license our products. If the U.S. Department of Commerce were to further broaden U.S. export restrictions on advanced semiconductors or foreign-origin items, these expanded restrictions would subject more of our products to U.S. export controls and could impose export restrictions on the licensing and delivery of impacted items to certain customers and trading partners. Furthermore, if the U.S. Government implemented expanded economic sanctions on specific countries or regions, that could impact our portfolio. For instance, over the last couple of years and in response to changing geopolitical events, the U.S. has introduced significant changes to export controls and sanctions with respect to advanced AI semiconductors, as well as “countries of concern” (e.g., Russia and the PRC), and, while unpredictable, we anticipate additional changes to such regulations in the future.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Trade relations between countries where we do business or where our customers have end customers have recently been volatile. For example, the U.S. Government has imposed enhanced sanctions and export controls on the semiconductor industry, in particular advanced computing chips and services, impacting the provision of certain services and cross-border transfer of technology and software products and announced new licensing requirements which impact exports of some of our customer’s ICs and certain related items, and these restrictions are subject to frequent change or expansion and could have a material adverse effect on our business. The collective impact of the rules, described below, have in the past and may in the future reduce our ability to license our products directly to entities and end users in affected countries and could potentially harm our commercial relationships by limiting the ability of certain of our customers and partners to manufacture, ship, or receive chips and end products incorporating certain of our products.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2025, the U.S. Government published export control rules and guidance on advanced compute chips and services, large compute clusters, closed-weight AI models, Gate All-Around Field-Effect Transistor (“GAAFET”) and High Bandwidth Memory (“HBM”) technologies, and semiconductor manufacturing equipment, as well as controls on transactions involving items for supercomputer and semiconductor manufacturing end-uses. The rulemakings in 2025 also results in new additions to the U.S. Entity List and modifications to the scope of items subject to license requirements for certain entities on the U.S. Entity List. As a result, our ability to license our products to designated countries or entities could be reduced, and our commercial relationships could be further harmed by limiting the ability of certain of our customers and partners from shipping chips and end products incorporating certain of our products. For instance, given U.S. and U.K. trade and national security policies regarding exports of technology with potential advanced compute or military uses, it is unlikely that we would be able to obtain a U.S. or U.K. export license for certain high performance compute cores in the Neoverse series processor family. This and any similar limitations could also reduce our revenues and cause significant uncertainty in our products roadmap, which could have an adverse effect on our business, results of operations, financial condition and prospects.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in May 2025, the U.K. updated its advanced compute export control rules to align with similar rules in the U.S., which could have an adverse effect on our business, results of operations, financial condition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Also in 2025, the U.S. administration announced increased tariffs applicable to U.S. imports from all countries with some countries subject to a flat 10% tariff and others subject to higher individualized tariffs, known as reciprocal tariffs. Since the initial announcement of tariffs, a pause on certain tariffs for most countries, including China went into effect for 90 days, and exemptions were announced for certain strategic sectors, including semiconductors and electronics. On February 20, 2026, the U.S. Supreme Court issued a ruling striking down certain tariffs previously imposed under the International Emergency Economic Powers Act (“IEEPA”). Following the Supreme Court’s decision, the U.S. administration announced its intention to invoke other laws to collect tariffs and announced new tariffs on imports from all countries, in addition to any existing non-IEEPA tariffs. Although temporary relief has been provided from certain newly imposed tariffs and new trade agreements may be negotiated with existing trade partners, the economic uncertainty surrounding these actions, or the prospect that these or similar actions will be taken, could result in adverse consequences to us, including, among others, causing new or existing customers to decrease their level of business with us or causing our customers to increase the prices of their products to offset increased costs resulting from global trade conditions, which could make them less competitive. The ultimate availability, timing, and amount of any potential tariff refunds remains highly uncertain and are subject to further legal, regulatory and administrative developments.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BIS initiated a Section 232 investigation in 2025 into the effects of U.S. national security of imports of, among other things, semiconductors and semiconductor manufacturing equipment. The investigation resulted in an announcement of tariffs, effective January 15, 2026, applicable to NVIDIA H200 and AMD MI325X chips and systems incorporating such chips.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in 2026, the U.S. government launched a "Section 301" investigation into semiconductors and significantly expanded Section 232 tariffs on steel, aluminum, and copper to apply to the value of the full product not just the value of the metal contained within the full product.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While tariffs on imports into the U.S. do not directly apply to our licensing and royalties, these measures may increase costs and/or reduce distribution in key markets. This in turn could require us to increase prices to our customers which may reduce demand, or, if we are unable to increase prices to adequately address any restrictions, it could result in lower margins on products sold or fewer products sold, which would reduce royalty revenues. </w:t>
      </w:r>
    </w:p>
    <w:p>
      <w:pPr>
        <w:pStyle w:val="TextBody"/>
        <w:bidi w:val="0"/>
        <w:spacing w:lineRule="auto" w:line="288" w:before="120" w:after="240"/>
        <w:ind w:left="0" w:right="0" w:firstLine="360"/>
        <w:jc w:val="both"/>
        <w:rPr/>
      </w:pPr>
      <w:r>
        <w:rPr>
          <w:rFonts w:ascii="Times New Roman;serif" w:hAnsi="Times New Roman;serif"/>
          <w:b w:val="false"/>
          <w:color w:val="000000"/>
          <w:sz w:val="20"/>
        </w:rPr>
        <w:t>Changes in U.S. trade policy have resulted in, and could result in more, U.S. trading partners adopting responsive trade policies, including imposition of increased tariffs, quotas or duties, or imposition of technology or financial sanctions or controls, making it more difficult or costly for us to export our products to those countries. The implementation of a border tax, tariff or higher customs duties on products of our customers or their end customers manufactured outside of the U.S. or components that our customers or their end customers import into the U.S., or any potential corresponding actions by other countries in which our customers or their end customers do business, could negatively impact our financial performance and/or ability to protect our IP. Such developments could also result in a decrease in the demand for or injunctions on the products of our customers or their end customers, which would reduce our royalties and have an adverse effect on our revenues and profitability and thereby on or business, results of operations, financial condition and prospects. See</w:t>
      </w:r>
      <w:r>
        <w:rPr>
          <w:color w:val="000000"/>
        </w:rPr>
        <w:t xml:space="preserve"> “—</w:t>
      </w:r>
      <w:r>
        <w:rPr>
          <w:rFonts w:ascii="Times New Roman;serif" w:hAnsi="Times New Roman;serif"/>
          <w:b w:val="false"/>
          <w:i/>
          <w:color w:val="000000"/>
          <w:sz w:val="20"/>
        </w:rPr>
        <w:t>Risks Relating to Our Business and Industry—Our concentration of revenue from the PRC market makes us particularly susceptible to economic and political risks affecting the PRC, which could be exacerbated by tensions between (on the one hand) the U.S. or the U.K. and (on the other hand) the PRC with respect to trade and national security.”</w:t>
      </w:r>
      <w:r>
        <w:rPr>
          <w:color w:val="000000"/>
        </w:rPr>
        <w:t xml:space="preserve">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Failure to comply with, and changes in, governmental laws and regulations could harm our business.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is subject to regulation by various governmental agencies, including, but not limited to, such agencies in the U.K., the European Union, the U.S. and the PRC. These laws and regulations affect our activities in areas including, but not limited to, labor, telecommunications, IP ownership and infringement, tax, economic sanctions, import and export control requirements and sanctions, anti-corruption, national security and foreign investment, foreign exchange controls and cash repatriation restrictions, privacy and data protection (such as the European Union General Data Protection Regulation (“GDPR”), the U.K. General Data Protection Regulation (“U.K. GDPR”), and the California Consumer Privacy Act as amended by the California Privacy Rights Act (collectively, “CCPA”)), security and cybersecurity, and anti-competition, environmental, health and safety, financial reporting and the certification requirements associated with public sector contracts. These laws, regulations and orders are complex, may change frequently and with limited notice, and many have become more stringent and have intensified over time, especially in light of continuing tensions between the U.S. and the PRC and sanctions on Russia and individual Russians as a result of the ongoing war in Ukraine.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Compliance with these laws, regulations and similar requirements may be onerous, expensive and time consuming. Laws and regulations are often inconsistent from jurisdiction to jurisdiction, further increasing the cost and complexity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compliance. We have implemented policies and procedures designed to ensure compliance with applicable laws and regulations, but there can be no assurance that our employees, contractors, or agents will not violate such laws and regulations or our policies and procedures. In addition, inadequate systems and processes have in the past and could in the future result in non-compliance with applicable laws and regulations (and this can be particularly challenging in complex areas such as licensing and export controls). We may be required to incur significant expense to remedy violations of these laws and regulations.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if our customers fail to comply with these regulations, we may be required to suspend sales to these customers, which could damage our reputation and negatively impact our results of operations. For example, BIS maintains and frequently updates the “U.S. Entity List,” which limits our ability to deliver products and services to these entities, some of which are our customers. Anticipated or actual changes in trade restrictions could also affect customer purchasing behaviors.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Non-compliance with applicable laws, regulations or requirements could subject us to investigations, sanctions, enforcement actions, disgorgement of profits, fines, damages, civil and criminal penalties, or injunctions. If any governmental sanctions are imposed, or if we do not prevail in any possible civil or criminal litigation, our business, results of operations, financial condition and prospects could be materially adversely affected and our reputation and brand could be damaged. In addition, responding to any action will likely result in a significant diversion of management’s attention and resources and an increase in professional fees.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a portion of our revenue is derived from contracts with governmental entities, governmental subcontractors and public universities. Our contracts with such entities, including in the U.K., the European Union and its member states, and the U.S., are subject to various regulations and other requirements relating to their formation, administration and performance. We may be subject to audits and investigations relating to government contracts, and any violations could result in various civil and criminal penalties and administrative sanctions, including termination of the contract, payment of fines or suspension or debarment from future government business.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Actual or perceived failures to satisfy data protection, security, privacy or other laws, regulations, rules, standards and other government- and industry-specific obligations could adversely affect our business, results of operations, financial condition and reputation.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Privacy and data protection has become a significant issue in the U.K., the U.S., the European Union and in many other jurisdictions where we operate and where the chips and end products incorporating our products are offered. The regulatory framework for privacy and data protection issues worldwide is rapidly evolving and is likely to remain uncertain for the foreseeable future, which could expose us to further regulatory burdens. Many government bodies and agencies, including in the U.K., the European Union and the U.S., have adopted or are considering adopting or modifying laws and regulations addressing privacy and data protection, including the collection, storage, transfer, use and other processing of personal information. Certain jurisdictions have also enacted data localization laws mandating that certain types of data collected in a particular country be stored and/or processed primarily within that country. It is possible that our practices may be deemed not to comply with those privacy and data protection legal requirements that apply to us now or in the future, which could adversely affect our operations, financial condition, and reputation.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European Union and in the U.K., we are subject to the GDPR and the U.K. GDPR, respectively, which impose stringent obligations regarding the collection, control, use, sharing, disclosure and other processing of personal data. Failure to comply with the GDPR or the U.K. GDPR can result in significant fines and other liability. European data protection authorities have already imposed fines on companies for GDPR violations up to, in some cases, hundreds of millions of euros. While the U.K. GDPR currently imposes substantially the same obligations as the GDPR, the U.K. GDPR does not automatically incorporate changes to the GDPR, which creates a risk of divergent parallel regimes and related uncertainty. We cannot predict how the U.K. GDPR and other U.K. privacy and data protection laws, regulations or rules may develop, including as compared to the GDPR, nor can we predict the effects of divergent laws and related guidance. Moreover, the U.K. government has introduced proposed reforms to the U.K. GDPR in ways that, if formalized, may create a risk of divergent parallel regimes and related uncertainty, along with the potential for increased compliance costs. In addition, in the European Union, there are a number of new and revised laws focused on cybersecurity and product security. For example, the new Network and Informative Security Directive (“NIS2”) establishes a high common level of cybersecurity across the European Union by strengthening the security of network and information systems and covers a wider range of sectors and entities, including critical infrastructure. Further, the EU Cyber Resilience Act (the “CRA”) is a new regulation, which imposes obligations on manufacturers, importers and distributors of products with a digital component to ensure that such products adhere to minimum security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jurisdictions have enacted or are considering similar cross-border personal data transfer laws and local personal data residency laws, any of which would increase the cost and complexity of doing business and could result in fines from regulators. For example, China’s law imposes various requirements relating to data processing and data localization. Data broadly defined as important under China’s law, including personal data, may not be transferable outside of China without prior assessment and approval by the Cyberspace Administration of China (“CAC”). Compliance with these requirements, including CAC assessments and any deemed failures of such assessments, could cause us to incur liability, prevent us from using data collected in China or impact our ability to transfer data outside of China. The inability to import personal data to the United States could significantly and negatively impact our business operations, limit our ability to collaborate with parties that are subject to European, China and other data privacy and security laws, or require us to increase our personal data processing capabilities in Europe and/or elsewhere at significant expense. Some European regulators have prevented companies from transferring personal data out of Europe for allegedly violating the GDPR’s cross-border data transfer limitations, which could negatively impact our business.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 our business may be affected by laws, regulations, rules and standards aimed at regulating the use of personal information for marketing purposes, the tracking of the online activities of individuals and the regulation of machine-to-machine communications. For example, the European Union’s proposed ePrivacy Regulation, which is still being negotiated, may impose burdensome requirements around obtaining consent and impose fines for violations that are materially higher than those imposed under the European Union’s current ePrivacy Directive and related European Union member state legislation. Compliance with these laws, regulations, rules and standards may result in increased costs and limit the effectiveness of our marketing activities, while failure to comply may subject us to substantial fines and reputational damage.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U.S., we are subject to various federal, state and local privacy and data protection laws, rules, and regulations governing the collection, sharing, use, retention, disclosure, security, transfer, storage and other processing of personal information. For example, at the state level, we are subject to the CCPA, which broadly defines personal information and gives California residents expanded privacy rights and protections, such as affording them the right to access and request deletion of their information and to opt out of certain sharing and sales of personal information. The CCPA provides for severe civil penalties and statutory damages for violations and a private right of action for certain data breaches that result in the loss of unencrypted personal information. Numerous other states also have enacted, or are in the process of enacting or considering, comprehensive state-level privacy and data protection laws, rules and regulations that share similarities with the CCPA. Additionally, the U.S. Department of Justice has recently issued rules concerning the cross-border transfer of certain sensitive data that will have widespread compliance implications.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Moreover, we make public statements about our collection, use, disclosure and other processing of personal information through our privacy policies and information on our website. Although we endeavor to comply with our public statements and documentation, we may at times fail to do so or be alleged to have failed to do so. Our privacy policies and other public statements that provide promises and assurances about privacy, information security, and data protection can subject us to potential government or legal action if they are found to be deceptive, unfair or misrepresentative of our actual practices. Any concerns about our privacy and data protection practices, even if unfounded, could damage our reputation and adversely affect our business.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monitor the regulatory environment and have invested in addressing new developments, we may be required to make additional changes to our services and business practices to enable us and our customers to comply with applicable laws, regulations, rules, standards and other obligations. Evolving regulatory and legal obligations may also increase our potential liability exposure through higher potential penalties for non-compliance. Laws, regulations, rules, standards and other obligations relating to privacy and data protection are subject to differing interpretations and may be inconsistent among jurisdictions, thereby making compliance with such obligations challenging. Revising our services and business practices to comply with these requirements could reduce demand for our services, require us to take on more onerous obligations in our contracts, or restrict our ability to store, transfer and otherwise process data or, in some cases, impact our ability or our customers’ ability to offer our services in certain locations, to deploy our products, to reach current and prospective customers, or to derive insights from customer data globally.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Third-party partners with access to personal information or other sensitive or confidential information for which we are responsible could breach their contractual obligations to us, or may experience data breaches or security incidents, which could impact our business, including by causing us to breach our obligations under privacy and data protection laws, regulations, rules, standards and other obligations. This could in turn adversely affect our business, results of operations and financial condition. In addition, our third-party due diligence, contractual measures, and other privacy and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protection-related safeguards may not sufficiently protect us from the risks associated with the third-party processing, storage and transmission of such information. </w:t>
      </w:r>
    </w:p>
    <w:p>
      <w:pPr>
        <w:pStyle w:val="TextBody"/>
        <w:bidi w:val="0"/>
        <w:spacing w:lineRule="auto" w:line="288" w:before="120" w:after="240"/>
        <w:ind w:left="0" w:right="0" w:firstLine="360"/>
        <w:jc w:val="both"/>
        <w:rPr/>
      </w:pPr>
      <w:r>
        <w:rPr>
          <w:rFonts w:ascii="Times New Roman;serif" w:hAnsi="Times New Roman;serif"/>
          <w:b w:val="false"/>
          <w:color w:val="000000"/>
          <w:sz w:val="20"/>
        </w:rPr>
        <w:t>Our failure or perceived failure to comply with any applicable privacy or data protection laws, regulations, rules, standards or other obligations could result in increased costs for our products, monetary penalties, damage to our reputation, government and regulatory inquiries, investigations and enforcement actions, fines,</w:t>
      </w:r>
      <w:r>
        <w:rPr>
          <w:color w:val="000000"/>
        </w:rPr>
        <w:t xml:space="preserve"> </w:t>
      </w:r>
      <w:r>
        <w:rPr>
          <w:rFonts w:ascii="Times New Roman;serif" w:hAnsi="Times New Roman;serif"/>
          <w:b w:val="false"/>
          <w:color w:val="000000"/>
          <w:sz w:val="20"/>
        </w:rPr>
        <w:t xml:space="preserve">orders to stop or limit processing of personal information, or legal action.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the uncertain and shifting regulatory environment and trust climate may cause concerns regarding privacy and data protection and may cause our customers or their customers to resist providing the data necessary to allow our customers to use our services effectively. Even the perception that the privacy of personal information is not satisfactorily protected or does not meet regulatory requirements could inhibit sales of our products or services and could limit adoption of our products. Any of the foregoing could have a material adverse effect on our business, results of operations, financial condition and prospects.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AI and ML are subject to a changing regulatory landscape in multiple jurisdictions in which we operate, and may present certain reputational risks.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development and use of AI and ML are the subject of evolving review by various governmental and regulatory bodies and agencies. New and updated laws, rules, directives, and regulations governing the use of such technologies may adversely affect the ability of our business to develop, use and commercialize such technologies and processors and products that use, incorporate or otherwise rely on such technologies. Several jurisdictions have already enacted measures related to the development and use of AI and ML in products and services and new laws, rules, directives and regulations will likely emerge over time. We may not always be able to anticipate how courts and regulators will apply existing laws to AI, to predict how new legal frameworks will develop to address AI, or to otherwise respond to these frameworks, as they are still rapidly evolving. Increased regulation may impact our customers’ ability to develop and deploy AI-systems that rely on our products. It is not possible to predict all of the risks related to the use of AI and ML. Changes in laws, rules, directives, and regulations governing the use of AI and ML may materially and adversely affect our business and operating results, increase our compliance costs or subject us to legal liability.</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We are subject to anti-corruption laws and other laws governing our operations. If we fail to comply with these laws, we could be subject to civil or criminal penalties, other remedial measures and legal expenses, which could adversely affect our business, results of operations and financial condition.</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are subject to the U.K. Bribery Act 2010 (the “Bribery Act”), the U.S. Foreign Corrupt Practices Act (the “FCPA”), and other applicable anti-corruption laws in countries where we do business and may do business in the future. These anti-corruption laws generally prohibit us, our officers, our employees, affiliates, agents and intermediaries from offering or paying bribes, requesting or accepting bribes, or making other prohibited payments to government officials or other persons to obtain or retain business or gain some other business advantage. Under the Bribery Act, we may also be liable for failing to prevent a person associated with us from committing a bribery offense. We have operations in countries considered high risk for corruption, such as China and India, agreements and collaborations with third parties, interactions with government officials, and other business activities that could expose us to corruption risk. While we have compliance safeguards in place, it is possible that these safeguards prove insufficient, or that our employees, intermediaries, or other third-party business partners may engage in activities that subject us to liability under the Bribery Act, FCPA, or other anti-corruption laws. In addition, we cannot predict the nature, scope or effect of future regulatory requirements to which our international operations might be subject or the manner in which existing laws might be administered or interpreted. If we further expand our operations internationally, we will need to dedicate additional resources to comply with numerous laws and regulations in each jurisdiction in which we plan to operate.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is no assurance that we will be completely effective in ensuring our compliance with all applicable anti-corruption laws, including the Bribery Act, the FCPA, or other legal requirements. If we are not in compliance with the Bribery Act, the FCPA and other anti-corruption laws, we may be subject to criminal and civil penalties, disgorgement and other sanctions and remedial measures and legal expenses, which could have an adverse impact on our business, financial condition, results of operations and liquidity. The SEC also may suspend or bar issuers from trading securities on U.S. exchanges for violations of the FCPA’s accounting provisions. Any investigation of any potential violations of the Bribery Act, the FCPA, other anti-corruption laws or trade control laws by U.K., U.S. or other authorities could also have an adverse impact on our reputation, our business, results of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Our employees, independent contractors, consultants and vendors may engage in misconduct or other improper activities, including non-compliance with regulatory standards and requirements and insider trading laws, which could cause significant liability for us and harm our reputation.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of fraud or other misconduct by our employees, independent contractors, consultants and vendors. Misconduct by these partners could include intentional failures to comply with laws, standards, regulations, guidance or codes of conduct, provide accurate information to regulatory authorities, comply with manufacturing standards, report financial information or data accurately or disclose unauthorized activities to us. We may also be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contractual requirements or codes of conduct. If any such actions are instituted against us, and we are not successful in defending ourselves or asserting our rights, those actions could have a significant impact on our business and results of operations and prospects, including the imposition of significant fines or other sanctions and damage to our reputation. </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 xml:space="preserve">Risks Relating to Our Status as a Controlled Company and Foreign Private Issuer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We are a “controlled company” within the meaning of the Nasdaq corporate governance rules and, as a result, are eligible to rely on exemptions from certain corporate governance requirements that provide protection to stockholders of companies that are not controlled companies.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May 21, 2026, SoftBank Group beneficially owns approximately 86.4% of our total issued and outstanding share capital, representing a majority of the total voting power of our ordinary shares. As a result of SoftBank Group’s ownership, we are a “controlled company” under the Nasdaq corporate governance standards.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Because we qualify as a controlled company, we have the option not to comply with certain requirements to which companies that are not controlled companies are subject, including the requirement that a majority of the Board of Directors consists of independent directors, the requirement that a majority of the independent directors select or recommend our director nominees, the requirement that the remuneration committee be responsible for determining or recommending the compensation of executive officers other than our CEO and the requirement that its remuneration committee be composed entirely of independent directors. Since we have elected to use certain of the controlled company exemptions, holders of our ADSs do not have the same protections afforded to stockholders of companies that are subject to these corporate governance requirements.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As long as SoftBank Group controls us and/or is entitled to certain rights under the Shareholder Governance Agreement, other holders of our ordinary shares and ADSs will have limited ability to influence matters requiring shareholder approval or the composition of our Board of Directors.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May 21, 2026, SoftBank Group beneficially owns approximately 86.4% of our total issued and outstanding share capital. As a result, for so long as SoftBank Group and its controlled affiliates hold shares representing a majority of the votes entitled to be cast by the holders of our outstanding ordinary shares at a shareholder meeting, SoftBank Group will generally have the ability to control the outcome of any matter submitted for the vote of our shareholders, except in certain limited circumstances as set forth in the Articles of Association, as amended (the “Articles”) and the Companies Act.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so long as SoftBank Group and its controlled affiliates hold ordinary shares representing at least a majority of the votes entitled to be cast by the holders of our ordinary shares at a shareholder meeting, SoftBank Group will have the ability to control the election of all of the members of our Board of Directors. The directors elected by SoftBank Group will have the authority to make important decisions regarding our business, including decisions affecting our capital structure, such as the issuance of equity, the incurrence of indebtedness, the implementation of stock repurchase programs and the declaration of dividends.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shareholder governance agreement we entered into with SoftBank Group (the “Shareholder Governance Agreement”), SoftBank Group has the right to designate a number of candidates for election to our Board of Directors depending on its and its controlled affiliates’ level of ownership of our outstanding ordinary shares. SoftBank Group’s designation rights range from the ability to designate seven candidates so long as it owns more than 70% of our outstanding ordinary shares down to the ability to designate one candidate so long as it owns more than 5% of our outstanding ordinary shares. Additionally, for so long as SoftBank Group and its controlled affiliates own more than 70%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pPr>
      <w:r>
        <w:rPr>
          <w:rFonts w:ascii="Times New Roman;serif" w:hAnsi="Times New Roman;serif"/>
          <w:b w:val="false"/>
          <w:color w:val="000000"/>
          <w:sz w:val="20"/>
        </w:rPr>
        <w:t>of our outstanding ordinary shares, SoftBank Group has the right to increase the size of our Board of Directors to nine directors and appoint a director, who need not be independent, to the board to fill the newly created vacancy. If such right is exercised, SoftBank Group will have the right to nominate up to eight candidates for election to our Board of Directors for as long as it and its controlled affiliates hold more than 70% of our outstanding ordinary shares. The Shareholder Governance Agreement also gives SoftBank Group certain rights with respect to committees of our Board of Directors, approvals of related party transactions, pre-emptive rights, registration rights, information and other rights, consultation rights and a consent right, among others, including during periods in which SoftBank Group beneficially owns less than a majority of our outstanding ordinary shares. Accordingly, SoftBank Group will maintain significant control over our corporate and business activities until such rights terminate. See “</w:t>
      </w:r>
      <w:r>
        <w:rPr>
          <w:rFonts w:ascii="Times New Roman;serif" w:hAnsi="Times New Roman;serif"/>
          <w:b w:val="false"/>
          <w:i/>
          <w:color w:val="000000"/>
          <w:sz w:val="20"/>
        </w:rPr>
        <w:t>Item 7. Major Shareholders and Related Party Transactions—B. Related Party Transactions—Transactions with SoftBank Group—Shareholder Governance Agreement—Rights Relating to Our Board of Directors</w:t>
      </w:r>
      <w:r>
        <w:rPr>
          <w:rFonts w:ascii="Times New Roman;serif" w:hAnsi="Times New Roman;serif"/>
          <w:b w:val="false"/>
          <w:color w:val="000000"/>
          <w:sz w:val="20"/>
        </w:rPr>
        <w:t xml:space="preserve">.” </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 xml:space="preserve">SoftBank Group’s interests may conflict with our own interests and those of holders of our ADSs.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interests of SoftBank Group may not coincide with our own interests or the interests of holders of our ADSs. Because SoftBank Group will generally have the ability, subject to limitations in the Articles and the Companies Act, to control all matters submitted to our shareholders for approval, including the election of all of the members of our Board of Directors, and will have certain enhanced rights pursuant to the Shareholder Governance Agreement, other shareholders will have limited ability to influence corporate matters. As a result, SoftBank Group may cause us to take corporate actions, including engaging in transactions with SoftBank Group or affiliates of SoftBank Group, that members of our management or other shareholders do not view as beneficial, or that provide SoftBank Group with benefits at our expense. Such actions could have a material and adverse effect on our business, results of operations and the trading price of our ADSs.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have, and in the future we expect to, advise SoftBank Group with respect to certain of its proposed investments or acquisitions in, or commercial arrangements or strategic partnerships with, businesses in or adjacent to our industry. For example, we are a party to a consulting agreement with SoftBank Group pursuant to which we provide to SoftBank Group and its affiliates certain technical consultancy and advisory services relating to potential transactions, strategic partnerships, commercial arrangements or other arrangements involving SoftBank Group or its affiliates. See “Item 7. Major Shareholders and Related Party Transactions—B. Related Party Transactions—Transactions with SoftBank Group—Consulting Agreement.” Our efforts to advise SoftBank Group may require substantial time and attention from our executives, engineers and other employees, which could divert attention and resources away from our business. We can provide no assurances that SoftBank Group will not acquire, invest in or partner with businesses that compete with us, and we will have no control over SoftBank Group’s acquisition, investment or strategic partnership activities, including any investments in, acquisitions of or strategic partnerships with businesses that compete with us or our customers, or any other actions that SoftBank Group may take to compete with us or our customers. Any SoftBank Group investments in, or acquisitions of, or strategic partnerships with, businesses that compete with us or our customers could have a material adverse effect on us and our relationships with affected customers and cause those customers to seek alternatives to our products and invest in the ecosystems of our competitors like RISC-V, which could have a material adverse effect on our business, results of operations, reputation, financial condition and/or prospects. In connection with the performance of services under the consulting agreement or otherwise, we may enter into strategic partnerships, licensing agreements or other commercial arrangements involving businesses or other assets owned by SoftBank Group or its affiliates, business or assets in which SoftBank Group or its affiliates have a controlling interest, or businesses with which SoftBank Group or its affiliates have a commercial arrangement or partnership. We have established, and in the future expect to establish, such commercial arrangements in furtherance of our initiatives to develop more complete compute subsystems (such as Arm CSS), chiplets and complete end chip solutions and may in future establish such commercial arrangements in furtherance of the manufacturing and distribution of such products or solutions. In addition, we have pursued, and may in the future pursue, commercial relationships with, acquisitions of or investments in entities owned by or affiliated with SoftBank Group or with whom SoftBank Group or its affiliates have a commercial relationship.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Disputes may arise between us and SoftBank Group or its affiliates in a number of areas, including relating to arrangements with third parties that are exclusionary to us or SoftBank Group or its affiliates and business opportunities that may be attractive to both us and SoftBank Group or its affiliates. For example, in January 2025, SoftBank Group announced the Stargate Project, a joint venture between SoftBank Group, OpenAI and Oracle Corporation, to invest in building new AI infrastructure, where we were named as a key technology partner. However, we have received no formal commitments that our technology will be used. Furthermore, disputes may arise between us and SoftBank Group or its affiliates with respect to Arm China. We may not be able to resolve any potential conflicts with SoftBank Group and, even if we do, the resolution may be less favorable than if we were dealing with an unaffiliated party, which could have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adverse effect on our business, results of operations and the trading price of our ADSs. In addition, any disputes between us and SoftBank Group could distract our management.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some of our directors and officers currently, and in the future may, directly or indirectly own equity interests in SoftBank Group, and Mr. Son is also the Chairman and Chief Executive Officer of SoftBank Group and Mr. Haas is a director of SoftBank Group. In addition, Mr. Haas is party to an agreement pursuant to which he provides certain advisory and consulting services to SoftBank Group, and, in April 2026, Mr. Haas was appointed as Chief Executive Officer of SoftBank Group International, which manages certain portfolio companies of SoftBank Group. Ownership of such equity interests by our directors and officers and the presence of Messrs. Son and Haas, as the chair of our Board of Directors and our CEO and a director, respectively, could create, or appear to create, conflicts of interest with respect to matters involving both us and any one of them, or involving us and SoftBank Group or any of its affiliates. Provisions of the Articles address corporate opportunities that are presented to our directors that are also directors or officers of SoftBank Group. We cannot assure you that the Articles will adequately address potential conflicts of interest or that potential conflicts of interest will be resolved in our favor or that we will be able to take advantage of corporate opportunities presented to individuals who are directors of both us and SoftBank Group. As a result, we may be precluded from pursuing certain advantageous transactions or growth initiatives. </w:t>
      </w:r>
    </w:p>
    <w:p>
      <w:pPr>
        <w:pStyle w:val="TextBody"/>
        <w:bidi w:val="0"/>
        <w:spacing w:lineRule="auto" w:line="288" w:before="120" w:after="240"/>
        <w:ind w:left="0" w:right="0" w:firstLine="360"/>
        <w:jc w:val="both"/>
        <w:rPr/>
      </w:pPr>
      <w:r>
        <w:rPr>
          <w:rFonts w:ascii="Times New Roman;serif" w:hAnsi="Times New Roman;serif"/>
          <w:b w:val="false"/>
          <w:color w:val="000000"/>
          <w:sz w:val="20"/>
        </w:rPr>
        <w:t>Moreover, under the terms of the Shareholder Governance Agreement, SoftBank Group has a contractual pre-emptive right. Specifically, under the terms of the Shareholder Governance Agreement, if we propose to allot or issue any ordinary or preferred shares or options, warrants or other securities convertible into or exercisable for ordinary or preferred shares (including ADSs) (other than: (i) pursuant to an offer made to all ordinary shareholders on the same terms; or (ii) in connection with any incentive plan or share scheme otherwise approved by SoftBank Group to the extent such approval is required under the Shareholder Governance Agreement), SoftBank Group will be entitled (but will not be obligated) to purchase up to an amount of the securities we propose to allot or issue such that it can maintain its proportional legal and economic interests in our share capital prior to such allotment or issuance. As a result, while other holders of our ADSs would risk suffering a reduction in percentage ownership in connection with a new issuance of securities by us, SoftBank Group and its controlled affiliates will have the opportunity to avoid a reduction in their legal and economic interests. See “</w:t>
      </w:r>
      <w:r>
        <w:rPr>
          <w:rFonts w:ascii="Times New Roman;serif" w:hAnsi="Times New Roman;serif"/>
          <w:b w:val="false"/>
          <w:i/>
          <w:color w:val="000000"/>
          <w:sz w:val="20"/>
        </w:rPr>
        <w:t>Item 7. Major Shareholders and Related Party Transactions—B. Related Party Transactions—Transactions with SoftBank Group—Shareholder Governance Agreement—Pre-emptive Rights</w:t>
      </w:r>
      <w:r>
        <w:rPr>
          <w:rFonts w:ascii="Times New Roman;serif" w:hAnsi="Times New Roman;serif"/>
          <w:b w:val="false"/>
          <w:color w:val="000000"/>
          <w:sz w:val="20"/>
        </w:rPr>
        <w:t xml:space="preserve">.”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regardless of the performance of our own business, SoftBank Group’s business, results of operations and the trading price of SoftBank Group’s securities or other matters affecting SoftBank Group or actions that SoftBank Group may take may adversely affect the trading price of our ADSs. In addition, SoftBank Group is not restricted from competing with us or otherwise taking for itself or its other affiliates certain corporate opportunities that may be attractive to us.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SoftBank Group’s ability to control all matters submitted to our shareholders may have the effect of delaying, preventing or deterring a change of control, which could deprive holders of our ADSs of an opportunity to receive a premium for their ADSs as part of a change of control, and might ultimately affect the fair market value of our ADSs.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SoftBank Group has engaged, and may in the future engage, in financing transactions whereby our shares are pledged as security.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SoftBank Group has engaged, and may from time to time engage, in financing transactions involving our shares (including ADSs representing our shares), such as loans whereby our shares are pledged as security. We may be unable to influence the timing or terms of financing transactions by SoftBank Group involving our securities. In addition, certain subsidiaries of SoftBank Group have entered into a margin loan facility secured by our ordinary shares (the “SoftBank Group Facility”). We have no material obligations with respect to the SoftBank Group Facility. The SoftBank Group Facility is initially secured by a pledge of 769,029,000 of our ordinary shares, which, as of May 21, 2026, represents a 72.0% equity interest in us. We face various risks in connection with the SoftBank Group Facility. The SoftBank Group Facility contains, and such other financing transactions may contain, provisions that, subject to their terms, require prepayment if certain events or circumstances occur, including certain change of control transactions or in the event the trading price of our ADSs declines below certain thresholds. From time to time, subject to certain requirements under the terms of the SoftBank Group Facility and any other such financing transactions, SoftBank Group or the relevant subsidiary of SoftBank Group, as applicable, may consider it advisable to sell shares in order to finance the prepayment or repayment of such financings, which number of shares may, individually or in the aggregate, be significant. In addition, in connection with the SoftBank Group Facility and any other such financings, if the price of our ADSs declines to certain levels, absent a repayment of the applicable financing, SoftBank Group may be required to provide additional collateral. For instance, the SoftBank Group Facility could be subject to a “margin call” by the providers of the facility if, among other events,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loan-to-value exceeds a certain threshold. In the event of such a margin call, the relevant subsidiary of SoftBank Group would need to deposit additional funds with the providers of the facility and may decide to sell some of the pledged shares to provide such funds. In the case of non-payment at maturity or another event of default, the providers of the SoftBank Group Facility and any other such financing may, in addition to other remedies, exercise their rights to foreclose on and sell or cause the sale of our shares that may be pledged as collateral. The foreclosure on our shares that are initially pledged as collateral for the SoftBank Group Facility could cause a change of control of us and if such shares are sold, such sales could cause the trading price of our ADSs to decline. Sales of our securities in connection with the SoftBank Group Facility and any other such financing transactions, whether by SoftBank Group or upon enforcement against collateral, could have a material and adverse effect on our business, results of operations, access to equity capital and the trading price of our ADSs.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If SoftBank Group sells a controlling equity interest in our company to a third party in a private transaction, you may not realize any change-of-control premium on your ADSs and we may become subject to the control of a currently unknown third party.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so long as the U.K. City Code on Takeovers and Mergers (the “Takeover Code”) does not apply to us, SoftBank Group will have the ability, should it choose to do so, to sell some or all of its shares in a privately negotiated transaction, which, if sufficient in size, could result in a change of control of us. The ability of SoftBank Group to privately sell its shares, with no requirement for a concurrent offer to be made to acquire all of the publicly traded ADSs, could prevent you from realizing any change-of-control premium on your ADSs that may otherwise accrue to SoftBank Group on its private sale of shares. In addition, if SoftBank Group privately sells its controlling equity interest or if a lender forecloses on a controlling interest pledged by SoftBank Group, including in connection with enforcement under the SoftBank Group Facility, we may become subject to the control of a currently unknown third party. The interests of this third party may not be the same as, or may conflict with, the interests of our other shareholders. Furthermore, if SoftBank Group sells a controlling equity interest in our company to a third party or a lender forecloses on a pledged controlling equity interest in our company, our future indebtedness may be subject to acceleration, and our other commercial agreements and relationships, including any remaining agreements with SoftBank Group, could be impacted. The occurrence of any of these events could adversely affect our business, results of operations, financial condition and prospects.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SoftBank Group’s ability to control our Board of Directors may make it difficult for us to recruit independent directors. </w:t>
      </w:r>
    </w:p>
    <w:p>
      <w:pPr>
        <w:pStyle w:val="TextBody"/>
        <w:bidi w:val="0"/>
        <w:spacing w:lineRule="auto" w:line="288" w:before="120" w:after="240"/>
        <w:ind w:left="0" w:right="0" w:firstLine="360"/>
        <w:jc w:val="both"/>
        <w:rPr/>
      </w:pPr>
      <w:r>
        <w:rPr>
          <w:rFonts w:ascii="Times New Roman;serif" w:hAnsi="Times New Roman;serif"/>
          <w:b w:val="false"/>
          <w:color w:val="000000"/>
          <w:sz w:val="20"/>
        </w:rPr>
        <w:t>For so long as SoftBank Group and its controlled affiliates hold our ordinary shares representing at least a majority of the votes entitled to be cast by the holders of our ordinary shares at a shareholder meeting, SoftBank Group will be able to elect all of the members of our Board of Directors. Additionally, pursuant to the Shareholder Governance Agreement, SoftBank Group has the right to designate a number of candidates for election to our Board of Directors depending on its and its affiliates’ level of ownership of our outstanding ordinary shares. SoftBank Group’s designation rights will range from the ability to designate seven candidates so long as it owns more than 70% of our outstanding ordinary shares (or up to eight if SoftBank Group exercises the right granted to it to increase the size of our Board of Directors and appoint an additional non-independent director to fill the resulting vacancy) down to the ability to designate one candidate so long as it owns more than 5% of our outstanding ordinary shares. The Shareholder Governance Agreement also provides SoftBank Group with proportional rights to representation on the committees of our Board of Directors, subject to applicable restrictions. See “</w:t>
      </w:r>
      <w:r>
        <w:rPr>
          <w:rFonts w:ascii="Times New Roman;serif" w:hAnsi="Times New Roman;serif"/>
          <w:b w:val="false"/>
          <w:i/>
          <w:color w:val="000000"/>
          <w:sz w:val="20"/>
        </w:rPr>
        <w:t>Item 7. Major Shareholders and Related Party Transactions—B. Related Party Transactions—Transactions with SoftBank Group—Shareholder Governance Agreement—Rights Relating to Our Board of Directors</w:t>
      </w:r>
      <w:r>
        <w:rPr>
          <w:rFonts w:ascii="Times New Roman;serif" w:hAnsi="Times New Roman;serif"/>
          <w:b w:val="false"/>
          <w:color w:val="000000"/>
          <w:sz w:val="20"/>
        </w:rPr>
        <w:t xml:space="preserve">.” Under these circumstances, qualified and experienced persons who might otherwise accept an invitation to join our Board of Directors may decline, which means that we would not be able to benefit from their qualifications and expertise in service as members of our Board of Directors.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While we are a foreign private issuer, we are exempt from a number of rules under the U.S. securities laws and may opt out of certain Nasdaq corporate governance rules applicable to public companies organized in the U.S.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a “foreign private issuer,” as defined in the SEC rules and regulations, and, consequently, we are not subject to all the disclosure requirements applicable to companies organized within the U.S. For example, we are not required to file periodic reports and financial statements with the SEC as frequently or as promptly as U.S. public companies. We are also entitled to rely on a provision in Nasdaq’s corporate governance rules that allows us to follow English corporate law with regard to certain aspects of corporate governance. This allows us to follow certain corporate governance practices that differ in significant respects from the corporate governance requirements applicable to domestic issuers listed on Nasdaq. Because of the exemptions above, our shareholders will not be afforded the same protections or information than what is accorded to investors holding shares in public companies organized in the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example, we are exempt from Nasdaq regulations that require a listed U.S. company to:</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obtain shareholder approval for certain issuances of securities, including shareholder approval of share option plans;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give the audit committee review and oversight responsibilities over all “related party transactions”;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hold regularly scheduled meetings of only the independent directors at least twice a year; and</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color w:val="000000"/>
          <w:sz w:val="20"/>
        </w:rPr>
        <w:t>solicit proxies and provide proxy statements for all meetings of shareholders.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Nasdaq listing rules, our audit committee is required to comply with the provisions of Section 301 of the Sarbanes-Oxley Act and Rule 10A-3 of the Exchange Act, both of which are also applicable to Nasdaq-listed U.S. companies. Because we are a foreign private issuer, however, our audit committee is not subject to additional requirements applicable to Nasdaq-listed U.S. companies, including an affirmative determination that all members of the audit committee are “independent,” using more stringent criteria than those applicable to us as a foreign private issuer, subject to certain phase-in requirements permitted by Rule 10A-3 of the Exchange Act.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If we were to lose our foreign private issuer status, this would then require us to comply with the Exchange Act’s domestic reporting regime and cause us to incur significant legal, accounting and other expenses.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required to test our foreign private issuer status at the end of our second fiscal quarter in each fiscal year. If we were no longer a foreign private issuer, we would be required to comply with all of the periodic disclosure and current reporting requirements of the Exchange Act applicable to U.S. domestic issuers as of the first day of the following fiscal year. In order to maintain our current status as a foreign private issuer, either (a) a majority of our securities must be either directly or indirectly owned of record by nonresidents of the U.S. or (b)(i) a majority of our executive officers or directors cannot be U.S. citizens or residents, (ii) more than 50% of our assets must be located outside the U.S. and (iii) our business must be administered principally outside the U.S. If SoftBank Group or its affiliates do not continue to hold a majority of our ordinary shares, we would likely fail to maintain our status as foreign private issuer. If we lose our status as a foreign private issuer,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is likely to make some activities highly time-consuming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The rights of our shareholders may differ from the rights typically offered to shareholders of a U.S. corporation.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incorporated under the laws of England and Wales. The rights of holders of ordinary shares and, therefore, certain of the rights of holders of ADSs, are governed by English law, including the provisions of the Companies Act and by the Articles. These rights differ in certain respects from the rights of shareholders in typical U.S. corporations. See the section titled Differences in Corporate Law in the Description of Securities included in Exhibit 2.3 to this Annual Report for a description of the principal differences between the provisions of the Companies Act applicable to us and, for example, the Delaware General Corporation Law relating to shareholders’ rights and protections. The principal differences include the following: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under English law, certain matters require the approval of not less than 75% of the shareholders who vote (in person or by proxy) on the relevant resolution (or on a poll of shareholders, by shareholders representing not less than 75% of the ordinary shares voting (in person or by proxy)), including amendments to the Articles. This may make it more difficult for us to complete corporate actions deemed advisable by our Board of Directors.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U.S. law, generally only majority shareholder approval is required to amend the certificate of incorporation or to approve other significant transactions;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in the U.K., takeovers may be structured as takeover offers or as schemes of arrangement. Under English law, a bidder seeking to acquire us by means of a takeover offer would need to make an offer for all of our outstanding ordinary shares and ADSs. If acceptances are not received for 90% or more of the ordinary shares and ADSs under the offer, under English law, the bidder cannot complete a “squeeze out” to obtain 100% control of us. Accordingly, acceptances of 90% of our outstanding ordinary shares and ADSs would likely be a condition in any takeover offer to acquire us, not 50% as is more common in tender offers for corporations organized under U.S. law. By contrast, a scheme of arrangement, the successful completion of which would result in a bidder obtaining 100% control of us, requires the approval of a majority in number of the shareholders or class of shareholders present and voting either in person or by proxy at the meeting and representing 75% in value of the ordinary shares (including those represented by ADSs) voting at the meeting for approval; and</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color w:val="000000"/>
          <w:sz w:val="20"/>
        </w:rPr>
        <w:t>under English law and the Articles,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As an English public limited company, certain capital structure decisions will require shareholder approval, which may limit our flexibility to manage our capital structure.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English law provides that, subject to certain exceptions (including the allotment, or the grant of rights to subscribe for or convert any security into shares, in pursuance of an employees’ share scheme), a board of directors of a public limited company may only allot shares (or grant rights to subscribe for or convert any security into shares) with the prior authorization of shareholders, such authorization stating the aggregate nominal amount of shares that it covers and being valid for a maximum period of five years, each as specified in the articles of association or relevant ordinary shareholder resolution passed by shareholders at a general meeting. We have obtained authority from our shareholders to allot 1,025,234,000 additional shares ending August 25, 2028, which authorization will need to be renewed upon expiration (i.e., at least every five years) but may be sought more frequently for additional five-year terms (or for any shorter period).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English law also generally provides shareholders with preemptive rights when new shares are issued for cash, except that such rights do not apply to the allotment of equity securities that would, apart from any renunciation or assignment of the right to their allotment, be held under or allotted or transferred pursuant to an employees’ share scheme. However, it is possible for the articles of association, or for shareholders to pass a special resolution at a general meeting, being a resolution passed by at least 75% of the votes cast, to disapply preemptive rights. Such a disapplication of preemptive rights may be for a maximum period of up to five years from the date of adoption of the articles of association, if the disapplication is contained in the articles of association, or from the date of the shareholder special resolution, if the disapplication is by shareholder special resolution, but not longer than the duration of the authority to allot shares to which the disapplication relates. In either case, this disapplication would need to be renewed by our shareholders upon its expiration (i.e., at least every five years). We have obtained authority from our shareholders to disapply preemptive rights ending August 25, 2028, which disapplication will need to be renewed upon expiration (i.e., at least every five years), but may be sought more frequently for additional five-year terms (or for any shorter period).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English law also generally prohibits a public company from repurchasing its own shares without the prior approval of shareholders by ordinary resolution, being a resolution passed by a simple majority of votes cast, and other formalities. Such approval may be for a maximum period of up to five years.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Under current law, transfers of ordinary shares outside the ADR program and the redeposit of ordinary shares into the ADR program will generally be subject to U.K. stamp duty or stamp duty reserve tax and the law may change to cover other transactions, including transactions in ADSs, which would increase the cost of dealing in ordinary shares or ADSs.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our initial public offering (“IPO”), ADSs were transferred to a nominee for The Depository Trust Company (“DTC”) and corresponding book-entry interests were credited in the facilities of DTC. On the basis of current law and HM Revenue &amp; Customs (“HMRC”) practice, no charges to U.K. stamp duty or stamp duty reserve tax (“SDRT”) are expected to arise on subsequent transfers of book-entry interests in ADSs entirely within DTC’s facilities. Similarly, on the basis of current law and HMRC practice, a transfer of title in the ADSs from within the DTC clearance system to a purchaser out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DTC clearance system and any subsequent transfers that occur entirely outside the DTC clearance system should not attract a charge to U.K. stamp duty or SDRT.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you choose to withdraw the ordinary shares underlying your ADSs (in accordance with the deposit agreement, applicable laws and regulations) from the depositary, U.K. stamp duty and SDRT will not generally be chargeable on any such withdrawal in your favor, but will generally be chargeable on any subsequent transfers of the ordinary shares or redeposits of the ordinary shares into the ADR program (at the rates specified below).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put in place arrangements to require that ordinary shares held in certificated form or otherwise outside the depositary system cannot be represented by ADSs within the DTC clearance system until the transferor of the ordinary shares has first delivered the ordinary shares to a depositary specified by us so that any U.K. stamp duty (or SDRT) may be collected in connection with the delivery to the depositary. Any such ADSs in respect of those ordinary shares so deposited may be evidenced by a receipt issued by the depositary. Before the transfer can be registered in the books of the depositary for the ADSs to be issued, the transferor will also be required to put funds in the depositary to settle any resultant liability to stamp duty (or SDRT), which will be charged at a rate of 1.5% of the value of the ADSs.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Retained EU Law (Revocation and Reform) Act 2023, enacted on June 29, 2023 has the effect that certain rights derived from European Union law will by default (that is, absent the exercise of a regulation-making power to restate or reproduce such rights in U.K. domestic law) cease to be recognized after December 31, 2023. As a result, rights derived from European Union law would cease to restrict the application of the rules providing for the 1.5% U.K. stamp duty or SDRT charge which may impact on the issue or transfer of our ordinary shares to, or appropriation of our ordinary shares by, a depositary receipt system (such as that operated by the depositary) or a clearance service (such as that operated by DTC). On February 22, 2024, the U.K. government enacted legislation to make provisions for and in connection with ensuring that it continues to be the case that no 1.5% charge to stamp duty or SDRT arises in relation to the issue or transfer of ordinary shares to depositary receipt systems and clearance services. The provisions took effect from January 1, 2024.</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It is also possible that, for example, in the future, a transfer of title in the ADSs from within the DTC clearance system to a purchaser out of the DTC clearance system and/or any subsequent transfers of ADSs that occur entirely outside (or inside) the DTC clearance system, will attract a charge to U.K. stamp duty or SDRT. Any such U.K. stamp duty or SDRT will be chargeable at a rate of 0.5% (or potentially 1.5% in certain circumstances) of any consideration, which is normally payable by the transferee. Any such duty must be paid (and the relevant transfer document, if any, stamped by HMRC) before the transfer can be registered in the books of the depositary and, if relevant, ADSs issued to a nominee for DTC and corresponding book-entry interests credited in the facilities of DTC. </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For further information about the U.K. stamp duty and SDRT implications of holding ADSs and withdrawing ordinary shares under current law, please see the section titled </w:t>
      </w:r>
      <w:r>
        <w:rPr>
          <w:color w:val="000000"/>
        </w:rPr>
        <w:t>“</w:t>
      </w:r>
      <w:r>
        <w:rPr>
          <w:rFonts w:ascii="Times New Roman;serif" w:hAnsi="Times New Roman;serif"/>
          <w:b w:val="false"/>
          <w:i/>
          <w:color w:val="000000"/>
          <w:sz w:val="20"/>
        </w:rPr>
        <w:t>Item 10. Additional Information</w:t>
      </w:r>
      <w:r>
        <w:rPr>
          <w:color w:val="000000"/>
        </w:rPr>
        <w:t>—</w:t>
      </w:r>
      <w:r>
        <w:rPr>
          <w:rFonts w:ascii="Times New Roman;serif" w:hAnsi="Times New Roman;serif"/>
          <w:b w:val="false"/>
          <w:i/>
          <w:color w:val="000000"/>
          <w:sz w:val="20"/>
        </w:rPr>
        <w:t>E. Taxation”</w:t>
      </w:r>
      <w:r>
        <w:rPr>
          <w:color w:val="000000"/>
        </w:rPr>
        <w:t xml:space="preserve"> </w:t>
      </w:r>
      <w:r>
        <w:rPr>
          <w:rFonts w:ascii="Times New Roman;serif" w:hAnsi="Times New Roman;serif"/>
          <w:b w:val="false"/>
          <w:color w:val="000000"/>
          <w:sz w:val="20"/>
        </w:rPr>
        <w:t>of this Annual Report.</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The Articles provide that, unless the Company by ordinary resolution consents to the selection of an alternative forum, the courts of England and Wales are the exclusive forum for the resolution of all shareholder complaints other than complaints asserting a cause of action arising under the Securities Act or the Exchange Act, and that the U.S. District Court for the Northern District of California is the exclusive forum for the resolution of any shareholder complaint asserting a cause of action arising under the Securities Act or the Exchange Act.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Articles provide that, unless the Company by ordinary resolution consents to the selection of an alternative forum, the courts of England and Wales are the exclusive forum for resolving all shareholder complaints other than shareholder complaints asserting a cause of action arising under the Securities Act, or the Exchange Act, and that the U.S. District Court for the Northern District of California is the exclusive forum for resolving any shareholder complaint asserting a cause of action arising under the Securities Act or the Exchange Act. In addition, the Articles will provide that any person or entity purchasing or otherwise acquiring any interest in our shares is deemed to have notice of and consented to these provisions.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This choice of forum provision may limit a shareholder’s ability to bring a claim in a judicial forum that it finds favorable for disputes with us or our directors, officers or other employees, which may discourage such lawsuits. The enforceability of similar exclusive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courts would enforce the exclusive forum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provisions in the Articles. Additionally, our shareholders cannot waive compliance with the federal securities laws and the rules and regulations thereunder. If a court were to find either choice of forum provision contained in the Articles to be inapplicable or unenforceable in an action, we may incur additional costs associated with resolving such action in other jurisdictions, which could adversely affect our results of operations and financial condition. The courts of England and Wales and the U.S. District Court for the Northern District of California may also reach different judgments or results than would other courts, including courts where a shareholder considering bringing a claim may be located or would otherwise choose to bring the claim, and such judgments may be more or less favorable to us than our shareholders.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Shareholder protections found in provisions under the Takeover Code will not apply if our place of central management and control remains outside the U.K.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Takeover Code applies to all offers for companies which have their registered office in the U.K., the Channel Islands or the Isle of Man if any of their equity share capital or other transferable securities carrying voting rights are admitted to trading on a U.K. regulated market or a U.K. multilateral trading facility or on any stock exchange in the Channel Islands or the Isle of Man.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Takeover Code also applies to all offers for public companies which have their registered office in the U.K., the Channel Islands or the Isle of Man if they are considered by the Panel on Takeovers and Mergers (the “Takeover Panel”) to have their place of central management and control in the U.K., the Channel Islands or the Isle of Man. This is known as the “residency test.” In determining whether the residency test is satisfied, the Takeover Panel has regard primarily to whether a majority of a company’s directors are resident in these jurisdictions.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our registered office is in the U.K., the Takeover Code does not currently apply to us because our shares are not admitted to trading on a regulated market or multilateral trading facility in the U.K. or any stock exchange in the Channel Islands or the Isle of Man, and the Takeover Panel confirmed to us that, on the basis of the residency of our Board of Directors as of the date of the IPO Prospectus, we did not have our place of central management and control in the U.K., the Channel Islands or the Isle of Man. Our place of central management and control remains outside of the U.K. for the purposes of the Takeover Code.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our shareholders are not currently entitled to the benefit of certain takeover offer protections provided under the Takeover Code, including the rules regarding mandatory takeover bids and, therefore, holders of ADSs will not benefit from these protections.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that this changes, or if the interpretation and application of the Takeover Code by the Takeover Panel changes (including changes to the way in which the Takeover Panel assesses the application of the Takeover Code to English companies whose shares are listed outside of the U.K., the Channel Islands or the Isle of Man), the Takeover Code may apply to us in the future. </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Risks Relating to Ownership of Our Securities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The future exercise of registration rights by SoftBank Group may materially and adversely affect the market price of the ADSs.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Shareholder Governance Agreement, SoftBank Group and certain of its affiliates are entitled to certain registration rights pursuant to which they may demand that we register the resale of its ordinary shares or securities convertible into or exchangeable for ordinary shares (including ADSs) (“Registrable Securities”) and, under certain circumstances, will also have customary “piggyback” registration rights for its Registrable Securities in connection with certain registrations of securities by us. In addition, SoftBank Group or its relevant affiliates may require us to file and maintain an effective shelf registration statement under the Securities Act covering the resale of SoftBank Group’s Registrable Securities. The registration of the resale of these securities will facilitate the public sale by SoftBank Group of such securities without regard to any limitations on the volume of securities that SoftBank Group may sell. In light of SoftBank Group’s beneficial ownership of our ordinary shares, the registration of the resale of a significant number of ADSs, or the perception that significant sales by SoftBank Group may occur, may have a material adverse effect on the market price of our ADSs.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Raising additional capital or using our securities as consideration for acquisitions or similar activities may cause dilution to our existing shareholders, restrict our operations or cause us to relinquish valuable rights.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seek additional capital through a combination of public and private equity offerings, debt financings, strategic partnerships and alliances, and licensing arrangements. To the extent that we raise additional capital through the sale of equity, convertible debt securities or other equity-based derivative securities, your ownership interest will be diluted, and the terms of the securities may include liquidation or other preferences that may be senior to your rights as holder of ADSs. Any indebtedness we incur would result in increased payment obligations and could involve restrictive covenants, such as limitations on our ability to incur additional debt and other operating restrictions that could adversely impact our ability to conduct our business. Any debt or additional equity financing that we raise may contain terms that are not favorable to us or our shareholders. Furthermore, the issuance of additional securities, whether equity or debt, by us, or the possibility of such issuance, may cause the market price of our ADSs to decline and existing shareholders may not agree with our financing plans or the terms of such financings. If we raise additional funds through strategic partnerships, collaborations, and alliances and licensing arrangements with third parties, we may have to relinquish valuable rights to our IP or products, or grant licenses on terms unfavorable to us.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from time to time we may issue our ordinary shares, securities convertible into our ordinary shares or interests that mirror the economics associated with ownership of our ordinary shares in connection with acquisitions, financings, investments, to compensate consultants or advisors, or otherwise. Any such issuance could result in substantial dilution to our existing ADS holders and cause the market price of our ADSs to decline.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from time to time distribute rights to our shareholders, including rights to acquire our securities. However, we cannot make rights available to holders in the U.S. unless we register the offer and sale of the rights and the securities to which the rights relate under the Securities Act or an exemption from the registration requirements is available. Also, under the deposit agreement, the depositary bank will not make rights available to holders unless either both the rights and any related securities are registered under the Securities Act, or the distribution of them to ADS holders is exempted from registration under the Securities Act. We are under no obligation to file a registration statement with respect to any such rights or securities, to endeavor to cause such a registration statement to be declared effective or to establish an exemption from registration under the Securities Act. Accordingly, you may be unable to participate in such a rights offerings and may experience dilution in your holdings.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The market price of our ADSs may be volatile and may decline.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market price of our ADSs could be volatile and may decline. The stock market in general, and the market for technology companies in particular, has experienced extreme volatility that has often been unrelated to the operating performance of particular companies, and the trading price of our ADSs may be volatile due to factors beyond our control. As a result of this volatility, you may not be able to sell your ADSs at or above the price at which you purchased your ADSs. The market price for our ADSs may be influenced by many factors, including, among others: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variations in our actual or anticipated annual or quarterly operating results or those of others in our industry;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results of operations that otherwise fail to meet the expectations of securities analysts and investors;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changes in earnings estimates or recommendations by securities analysts, or other changes in investor perceptions of the investment opportunity associated with our ordinary shares relative to other investment alternatives;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market conditions in the semiconductor industry;</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changes to, or perceived changes to, our business model;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publications, reports or other media exposure of our licensed products, our business, or those of others in our industry, including reports or coverage by industry or equity research analysts, or of our industry generally;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additions or departures of key management;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significant lawsuits, including patent or shareholder litigation;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regulatory actions involving us or others in our industry, or actual or anticipated changes in applicable government regulations or enforcement thereof;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the development and sustainability of an active trading market for our ordinary shares;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sales, or anticipated sales, of large blocks of our ADSs;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general economic and securities market conditions; and </w:t>
      </w:r>
    </w:p>
    <w:p>
      <w:pPr>
        <w:pStyle w:val="TextBody"/>
        <w:bidi w:val="0"/>
        <w:spacing w:lineRule="auto" w:line="288" w:before="60" w:after="240"/>
        <w:ind w:left="0" w:right="0" w:hanging="360"/>
        <w:jc w:val="left"/>
        <w:rPr/>
      </w:pPr>
      <w:r>
        <w:rPr>
          <w:color w:val="000000"/>
        </w:rPr>
        <w:t>•</w:t>
      </w:r>
      <w:r>
        <w:rPr>
          <w:rFonts w:ascii="Times New Roman;serif" w:hAnsi="Times New Roman;serif"/>
          <w:b w:val="false"/>
          <w:color w:val="000000"/>
          <w:sz w:val="20"/>
        </w:rPr>
        <w:t xml:space="preserve">other factors discussed in this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section and elsewhere in this Annual Report.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Broad market and industry factors may negatively affect the market price of our ADSs, regardless of our actual operating performance. Further, a decline in the financial markets and related factors beyond our control may cause the price of our ADSs to decline rapidly and unexpectedly. In the past, securities class action litigation has often been brought against a company following a decline in the market price of its securities. If we were to become involved in securities litigation, it could subject us to substantial costs, divert resources and the attention of management from our business and materially and adversely affect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Holders of ADSs are not treated as holders of our ordinary shares.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Holders of ADSs are not treated as holders of our ordinary shares, unless they withdraw the ordinary shares underlying their ADSs in accordance with the deposit agreement and applicable laws and regulations. The depositary, the custodian or their nominee is the holder of the ordinary shares underlying the ADSs. Holders of ADSs therefore do not have any rights as holders of our ordinary shares, other than the rights that they have pursuant to the deposit agreement. See the Description of Securities included as Exhibit 2.3 to this Annual Report.</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Holders of ADSs may be subject to limitations on the transfer of their ADSs and the withdrawal of the underlying ordinary shares.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the right of ADS holders to cancel their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ADS holders may not be able to cancel their ADSs and withdraw the underlying ordinary shares when they owe money for fees, taxes and similar charges and when it is necessary to prohibit withdrawals in order to comply with any laws or governmental regulations that apply to ADSs or to the withdrawal of ordinary shares or other deposited securities. See the Description of Securities included as Exhibit 2.3 to this Annual Report.</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The depositary for our ADSs is entitled to charge holders fees for various services, including annual ADS service fees.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depositary for our ADSs is entitled to charge ADS holders fees for various services, including for the issuance of ADSs upon deposit of ordinary shares, cancellation of ADSs, distributions of cash dividends or other cash distributions, distributions of ADSs pursuant to share dividends or other free share distributions, distributions of securities other than ADSs and annual ADS service fees. In the case of ADSs issued by the depositary into the DTC, the fees will be charged by the DTC participants to the account of the applicable beneficial owners of ADSs in accordance with the procedures and practices of the DTC participants as in effect at the time.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You will not have the same voting rights as the holders of our ordinary shares and may not receive voting materials in time to be able to exercise your right to vote.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Except as described in the Description of Securities included as Exhibit 2.3 to this Annual Report and the deposit agreement, holders of the ADSs are not able to exercise voting rights attaching to the ordinary shares represented by the ADSs. Under the terms of the deposit agreement, holders of the ADSs may instruct the depositary to vote the ordinary shares underlying their ADSs. Otherwise, holders of ADSs do not have a right to vote unless they withdraw the ordinary shares underlying their ADSs to vote them in person or by proxy in accordance with applicable laws and regulations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Articles. Even so, ADS holders may not know about a meeting far enough in advance to withdraw those ordinary shares. If we ask for the instructions of holders of the ADSs, the depositary, upon timely notice from us, will notify ADS holders of the upcoming vote and arrange to deliver our voting materials to them. Upon our request, the depositary will mail to ADS holders a shareholder meeting notice that contains, among other things, a statement as to the manner in which voting instructions may be given to the depositary. We cannot guarantee that ADS holders will receive the voting materials in time to ensure that they can instruct the depositary to vote the ordinary shares underlying their ADSs. A shareholder is only entitled to participate in, and vote at, the meeting of shareholders, provided that it holds our ordinary shares as of the record date set for such meeting and otherwise complies with the Articles. In addition, the depositary’s liability to ADS holders for failing to execute voting instructions or for the manner of executing voting instructions is limited by the deposit agreement. As a result, holders of ADSs may not be able to exercise their right to give voting instructions or be able to vote in person or by proxy and they may not have any recourse against the depositary or us if the ordinary shares underlying their ADSs are not voted as they have requested or if such ordinary shares cannot be voted.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We are entitled to amend the deposit agreement and to change the rights of ADS holders under the terms of such agreement, or to terminate the deposit agreement, without the prior consent of the ADS holders.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or to the depositary. Amendments may reflect, among other things, operational changes in the ADS program, legal developments affecting ADSs or changes in the terms of our business relationship with the depositary. In the event that the terms of an amendment are materially disadvantageous to ADS holders, ADS holders will only receive 30 days’ advance notice of the amendment, and no prior consent of the ADS holders is required under the deposit agreement. Furthermore, we may decide to direct the depositary to terminate the ADS facility at any time for any reason. For example, terminations may occur if we decide to list our ordinary shares on a non-U.S. securities exchange and determine not to continue to sponsor an ADS facility or when we become the subject of a takeover or a going-private transaction. If the ADS facility will be terminated, ADS holders will receive at least 30 days’ prior notice, but no prior consent is required from them. Under the circumstances that we decide to make an amendment to the deposit agreement that is materially disadvantageous to ADS holders or terminate the deposit agreement, the ADS holders may choose to sell their ADSs or surrender their ADSs and become direct holders of the underlying ordinary shares, but will have no right to any compensation whatsoever.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ADS holders may not be entitled to a jury trial with respect to claims arising under the deposit agreement, which could result in less favorable outcomes to the plaintiff(s) in any such action.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deposit agreement governing the ADSs representing our ordinary shares provides that, to the fullest extent permitted by law, holders and beneficial owners of ADSs irrevocably waive the right to a jury trial of any claim they may have against us or the depositary arising out of or relating to the ADSs, any ADRs or the deposit agreement.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this jury trial waiver provision is not permitted by applicable law, an action could proceed under the terms of the deposit agreement with a jury trial. 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U.S. Supreme Court. However, it is our understanding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 condition, stipulation or provision of the deposit agreement or ADRs serves as a waiver by any holder or beneficial owner of ADSs or by us or the depositary of compliance with any substantive provision of the U.S. federal securities laws and the rules and regulations promulgated thereunder.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The deposit agreement expressly limits our and the depositary’s obligations and liabilities.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deposit agreement expressly limits our obligations and liabilities as well as those of the depositary. See the section titled Limitations on Obligations and Liabilities in the Description of Securities included in Exhibit 2.3 to this Annual Report. Such limitations include the following: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We and the depositary are obligated only to take the actions specifically stated in the deposit agreement without negligence or bad faith.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The depositary disclaims any liability for any failure to carry out voting instructions, for any manner in which a vote is cast or for the effect of any vote, provided it acts in good faith and without negligence and in accordance with the terms of the deposit agreement.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We and the depositary will not be obligated to perform any act that is inconsistent with the terms of the deposit agreement.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the Articles, or any provision of or governing the securities on deposit, or by reason of any act of God or war or other circumstances beyond our control.</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We and the depositary disclaim any liability by reason of any exercise of, or failure to exercise, any discretion provided for in the deposit agreement or in the Articles or in any provisions of or governing the securities on deposit.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We and the depositary further disclaim any liability for any action or inaction in reliance on the advice or information received from legal counsel, accountants, any person presenting ordinary shares for deposit, any holder of ADSs or authorized representatives thereof, or any other person believed by either of us in good faith to be competent to give such advice or information.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We and the depositary also disclaim liability for the inability by a holder to benefit from any distribution, offering, right or other benefit that is made available to holders of ordinary shares but is not, under the terms of the deposit agreement, made available to you.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We and the depositary disclaim any liability for any action or inaction of any clearing or settlement system (and any participant thereof).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We and the depositary may rely without any liability upon any written notice, request or other document believed to be genuine and to have been signed or presented by the proper parties. </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color w:val="000000"/>
          <w:sz w:val="20"/>
        </w:rPr>
        <w:t>We and the depositary also disclaim liability for any consequential or punitive damages for any breach of the terms of the deposit agreement.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provisions of the deposit agreement limit the ability of ADS holders to obtain recourse if we or the depositary fail to meet our respective obligations under the deposit agreement.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nothing in the deposit agreement gives rise to a partnership or joint venture, or establishes a fiduciary relationship, among us, the depositary and you as ADS holder.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nothing in the deposit agreement precludes the depositary (or its affiliates) from engaging in transactions in which parties adverse to us or the ADS owners have interests, and nothing in the deposit agreement obligates the depositary to disclose those transactions, or any information obtained in the course of those transactions, to us or to the ADS owners, or to account for any payment received as part of those transactions.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You may not receive distributions on our ordinary shares represented by the ADSs or any value for them if it is illegal or impractical to make them available to holders of ADSs.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depositary for the ADSs has agreed to pay to you the cash dividends or other distributions it or the custodian receives on our ordinary shares or other deposited securities after deducting its fees and expenses, and any taxes.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take any other action to permit distribution on the ADSs, ordinary shares, rights or anything else to holders of the ADSs. This means that you may not receive the distributions we make on our ordinary shares or any value from them if it is unlawful or impractical to make them available to you. These restrictions may have an adverse effect on the value of your ADSs.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Because we do not anticipate paying any cash dividends on our ordinary shares in the foreseeable future, capital appreciation, if any, will be your sole source of gains and you may never receive a return on your investment.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English law, a company’s accumulated realized profits, to the extent they have not been previously utilized by distribution or capitalization, must exceed its accumulated realized losses, to the extent that they have not been previously written off in a reduction or reorganization of capital duly made (on a non-consolidated basis), before dividends can be paid. Therefore, we must have distributable profits before issuing a dividend. In addition, as a public limited company in England, we will only be able to make a distribution if the amount of our net assets is not less than the aggregate of our called-up share capital and undistributable reserves and if, and to the extent that, the distribution does not reduce the amount of those assets to less than that aggregate.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retain earnings, if any, for use in our business and do not anticipate paying any cash dividends in the foreseeable future. As a result, capital appreciation, if any, on our ADSs will be your sole source of gains for the foreseeable future, and you will suffer a loss on your investment if you are unable to sell your ADSs at or above the price at which you acquired your ADSs.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Claims of U.S. civil liabilities may not be enforceable against us.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incorporated under the laws of England and Wales and have our registered office in England. The U.S. and the U.K. do not currently have a treaty providing for reciprocal recognition and enforcement of judgments (other than arbitration awards) in civil and commercial matters. Consequently, a final judgment for payment given by a court in the U.S., whether or not predicated solely upon U.S. securities laws, would not automatically be recognized or enforceable in the U.K. In addition, uncertainty exists as to whether English courts would entertain original actions brought in England and Wales against us or our directors or senior management predicated upon the securities laws of the U.S. or any state in the U.S. Any final and conclusive monetary judgment for a definite sum obtained against us in U.S. courts would be treated by English courts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subject to determination by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U.S. investors may not be able to enforce against us or our senior management, members of our Board of Directors who are residents of the U.K. or countries other than the U.S. any judgments obtained in U.S. courts in civil and commercial matters, including judgments under the U.S. federal securities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The requirements of being a public company may strain our resources, divert management’s attention, and affect our ability to attract and retain qualified members of our Board of Directors.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public company, we are subject to the reporting requirements of the Exchange Act, the Sarbanes-Oxley Act, the listing requirements of Nasdaq and other applicable securities rules and regulations. Compliance with these rules and regulations will continue to require us to incur significant legal and financial compliance costs, make some activities more difficult, time-consuming, or costly, and increase demand on our systems and resources. For example, these rules and regulations have made it more difficult and more expensive for us to obtain director and officer liability insurance, which in turn makes it more difficult for us to attract and retain qualified senior management or members for our Board of Directors. Further, the Exchange Act requires, among other things, that we file annual and current reports with respect to our business and operating results.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materially harm our business and operating results. </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Risks Relating to U.S. and U.K. Tax Regimes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If we are (or one of our non-U.S. subsidiaries is) a “controlled foreign corporation” (a “CFC”), there could be adverse U.S. federal income tax consequences to certain U.S. investors.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Generally, if a United States person is treated as owning, directly, indirectly or constructively, at least 10% of either the total value or total combined voting power of our stock, such U.S. investor may be treated as a “United States shareholder” with respect to each CFC in our group, if any, for U.S. federal income tax purposes. A non-U.S. corporation will generally be classified as a CFC for U.S. federal income tax purposes if United States shareholders own, directly, indirectly or constructively, in the aggregate, more than 50% of either the total value or the total combined voting power of the stock of such corporation. In 2025, legislation commonly known as the One Big Beautiful Bill Act (the “OBBBA”) reinstated section 958(b)(4) of the Internal Revenue Code of 1986, as amended (the “Code”), for taxable years of foreign corporations beginning after December 31, 2025. This change in law had the effect of eliminating certain downward attribution for purposes of determining constructive stock ownership under the CFC rules. By limiting constructive attribution of stock, that provision reduces the likelihood that we or any of our non-U.S. subsidiaries will be treated as CFCs relative to periods prior to the provision’s reinstatement. However, in the event that we or any of our non-U.S. subsidiaries is or becomes a CFC, a United States shareholder of such CFC will generally be required to annually report and include in its U.S. taxable income its pro rata share of the CFC’s “Subpart F income,” “global intangible low-taxed income” (renamed “net CFC tested income” for taxable years beginning after December 31, 2025, pursuant to the OBBBA) and investments of earnings in U.S. property, regardless of whether such CFC makes any distributions to its shareholders. Additionally, an individual that is a United States shareholder with respect to a CFC generally would not be allowed certain tax deductions or foreign tax credits that would be allowed to a United States shareholder that is a U.S. corporation. Failure to comply with CFC reporting obligations may also subject a United States shareholder to significant monetary penalties and may prevent the statute of limitations with respect to such United States shareholder’s U.S. federal income tax return for the year for which reporting was due from expiring. We cannot provide any assurances that we will furnish to any United States investor information that may be necessary to comply with the reporting and tax paying obligations applicable under the CFC rules of the Code or with respect to whether such investor is treated as a United States shareholder with respect to us or our non-U.S. subsidiaries that are CFCs, and the U.S. Internal Revenue Service (the “IRS”) has provided only limited guidance on situations in which investors may rely on publicly available information to comply with their reporting and tax paying obligations with respect to foreign-controlled CFCs. U.S. investors should consult their tax advisors regarding the potential application of these rules to their investment in our ordinary shares or ADSs.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If we are a passive foreign investment company (a “PFIC”) for any taxable year, there could be adverse U.S. federal income tax consequences to U.S. investors.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general, we will be a PFIC for any taxable year in which, after the application of certain look-through rules with respect to our subsidiaries, either (1) 75% or more of our gross income consists of passive income or (2) 50% or more of the average quarterly value of our assets consists of assets that produce, or are held for the production of, passive income (including cash and cash equivalents). For purposes of these tests, passive income generally includes, among other things, dividends, interest, gains from certain sales or exchanges of investment property and certain rents and royalties. If we are a PFIC for any taxable year during which a U.S. investor holds our shares, we will generally continue to be treated as a PFIC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such U.S. investor for all succeeding taxable years during which such U.S. investor holds our ordinary shares or ADSs, even if we cease to meet the threshold requirements for PFIC status. Such U.S. investor may be subject to adverse tax consequences with respect to our ordinary shares or ADSs, including ineligibility for any preferential tax rates on capital gains or on actual or deemed dividends, interest charges on certain taxes treated as deferred and additional reporting requirements. We cannot provide any assurance that we will furnish to such U.S. investor information that may be necessary to comply with the reporting and tax paying obligations applicable under the PFIC rules of the Code.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Based upon the value of our assets and the nature and composition of our income and assets, we do not believe that we were a PFIC for the taxable year ended March 31, 2026, and we do not expect to become a PFIC in the foreseeable future. However, the determination of whether we are a PFIC is a fact-intensive determination made on an annual basis applying principles and methodologies that in some circumstances are unclear and subject to varying interpretation, and no assurances can be made in this regard. For instance, for our current and future taxable years, the total value of our assets (including goodwill) for PFIC testing purposes may be determined in part by reference to the market price of our ordinary shares or ADSs from time to time, which may fluctuate considerably. If our market capitalization declines while we hold a substantial amount of cash and cash equivalents for any taxable year, we may be a PFIC for that taxable year. Furthermore, under the income test, our status as a PFIC depends on the composition of our income for the relevant taxable year, which will depend on the transactions we enter into in the future and our corporate structure. The composition of our income and assets is also affected by how we spend the cash we raise in any offering. As a result, there can be no assurance that we will not be treated as a PFIC for the current or any future taxable year. Even if we determine that we are not a PFIC for a taxable year, there can be no assurance that the IRS will agree with our conclusion and that the IRS would not successfully challenge our position. </w:t>
      </w:r>
    </w:p>
    <w:p>
      <w:pPr>
        <w:pStyle w:val="TextBody"/>
        <w:bidi w:val="0"/>
        <w:spacing w:lineRule="auto" w:line="288" w:before="120" w:after="240"/>
        <w:ind w:left="0" w:right="0" w:firstLine="360"/>
        <w:jc w:val="both"/>
        <w:rPr/>
      </w:pPr>
      <w:r>
        <w:rPr>
          <w:rFonts w:ascii="Times New Roman;serif" w:hAnsi="Times New Roman;serif"/>
          <w:b w:val="false"/>
          <w:color w:val="000000"/>
          <w:sz w:val="20"/>
        </w:rPr>
        <w:t>For further discussion of the PFIC rules and the adverse U.S. federal income tax consequences in the event we are classified as a PFIC, as well as certain elections that may be available to U.S. investors, see “</w:t>
      </w:r>
      <w:r>
        <w:rPr>
          <w:rFonts w:ascii="Times New Roman;serif" w:hAnsi="Times New Roman;serif"/>
          <w:b w:val="false"/>
          <w:i/>
          <w:color w:val="000000"/>
          <w:sz w:val="20"/>
        </w:rPr>
        <w:t>Item 10. Additional Information</w:t>
      </w:r>
      <w:r>
        <w:rPr>
          <w:color w:val="000000"/>
        </w:rPr>
        <w:t>—</w:t>
      </w:r>
      <w:r>
        <w:rPr>
          <w:rFonts w:ascii="Times New Roman;serif" w:hAnsi="Times New Roman;serif"/>
          <w:b w:val="false"/>
          <w:i/>
          <w:color w:val="000000"/>
          <w:sz w:val="20"/>
        </w:rPr>
        <w:t>E. Taxation—Material U.S. Federal Income Tax Considerations for U.S. Holders—Passive Foreign Investment Company Rules</w:t>
      </w:r>
      <w:r>
        <w:rPr>
          <w:color w:val="000000"/>
        </w:rPr>
        <w:t xml:space="preserve">” </w:t>
      </w:r>
      <w:r>
        <w:rPr>
          <w:rFonts w:ascii="Times New Roman;serif" w:hAnsi="Times New Roman;serif"/>
          <w:b w:val="false"/>
          <w:color w:val="000000"/>
          <w:sz w:val="20"/>
        </w:rPr>
        <w:t xml:space="preserve">of this Annual Report.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Changes and uncertainties in the tax system in the countries in which we have operations, could materially adversely affect our financial condition and results of operations, and reduce net returns to our shareholders.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 business globally and file income tax returns in multiple jurisdictions. Our income tax rate, results of operations, cash flows, financial position and the tax treatment of our ADSs and ordinary shares could be materially adversely affected by many factors, including: changing tax laws, regulations and treaties, or the interpretation thereof; tax policy initiatives and reforms; the practices of tax bodies in jurisdictions in which we operate, including any competent authority and its ability to resolve instances of double taxation; and the resolution of issues arising from tax examinations.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carry out extensive research and development activities. We benefit in the U.K. from the research and development expenditure credit (“RDEC”) regime, which provides relief against U.K. corporation tax. Broadly, RDEC provides a tax credit equal to 20% of ‘qualifying research and development expenditure’. We also benefit from the U.K.’s “patent box” regime, which allows certain profits attributable to revenues from patented products (and other qualifying income) to be taxed at an effective corporation tax rate of 10%. If there are unexpected adverse changes to the RDEC or the “patent box” regimes or we are unable to qualify for such tax incentives, then our income tax rate, results of operations, cash flows and financial condition may be adversely affected.</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provision for income taxes and our tax assets and liabilities is reasonable, but the ultimate tax outcome of our tax positions may differ from the amounts recorded in our financial statements and such differences may materially affect our financial results in the period or periods in which such outcome is determined and impact our future income, cash flows and balance sheet.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40"/>
        <w:jc w:val="both"/>
        <w:rPr>
          <w:rFonts w:ascii="Times New Roman;serif" w:hAnsi="Times New Roman;serif"/>
          <w:b/>
          <w:color w:val="000000"/>
          <w:sz w:val="20"/>
        </w:rPr>
      </w:pPr>
      <w:r>
        <w:rPr>
          <w:rFonts w:ascii="Times New Roman;serif" w:hAnsi="Times New Roman;serif"/>
          <w:b/>
          <w:color w:val="000000"/>
          <w:sz w:val="20"/>
        </w:rPr>
        <w:t>Item 4.    Information on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erif" w:hAnsi="Times New Roman;serif"/>
          <w:b/>
          <w:color w:val="000000"/>
          <w:sz w:val="20"/>
        </w:rPr>
        <w:t>A.    </w:t>
      </w:r>
      <w:r>
        <w:rPr>
          <w:rFonts w:ascii="Times New Roman;serif" w:hAnsi="Times New Roman;serif"/>
          <w:b/>
          <w:i/>
          <w:color w:val="000000"/>
          <w:sz w:val="20"/>
        </w:rPr>
        <w:t>History and development of the company</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 global leader in the semiconductor industry. The Company’s principal operations and activities are the licensing, marketing, research and development of central processing unit (“CPU”) IP, graphics processing unit IP,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systems IP, compute subsystems (“CSS”), and associated software, tools and other related services. In March 2026, the Company announced it is expanding its compute platform into production silicon products with the Arm AGI CPU.</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Arm Holdings plc was incorporated as a private limited company with the legal name Arm Holdings Limited under the laws of England and Wales on April 9, 2018, with the company number 11299879. Arm Holdings Limited re-registered as a public limited company under the laws of England and Wales on September 1, 2023 and changed its name to Arm Holdings plc.</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Arm Limited was incorporated as a private limited company with the legal name Widelogic Limited under the laws of England and Wales on November 12, 1990 with the company number 02557590. On December 3, 1990, Widelogic Limited changed its company name to Advanced RISC Machines Limited, and, on May 21, 1998, it changed its company name to Arm Limited (at which time it was a wholly owned subsidiary of Arm Holdings plc with the company number 02548782). Our business was initially operated through Arm Holdings plc with the company number 02548782, which was previously an independent publicly traded corporation until its acquisition in September 2016 by SoftBank Group. On March 19, 2018, as a part of a reorganization, Arm Holdings plc with the company number 02548782 re-registered as a private limited company and was renamed SVF HoldCo (UK) Limited, which became a subsidiary of SoftBank Vision Fund L.P. (“SoftBank Vision Fund”), which retained an approximate 25% interest in our company with the remainder beneficially held by SoftBank Group. In August 2023, a subsidiary of SoftBank Group acquired substantially all of SoftBank Vision Fund’s interest in Arm Limited at a purchase price of approximately $16.1 billion, with the associated payments to be made in installments over a two-year period. The purchase price was established by reference to the terms of a prior contractual arrangement between the parties. Accordingly, prior to Arm’s initial public offering, SoftBank Group beneficially owned substantially all of our outstanding shares. </w:t>
      </w:r>
    </w:p>
    <w:p>
      <w:pPr>
        <w:pStyle w:val="TextBody"/>
        <w:bidi w:val="0"/>
        <w:spacing w:lineRule="auto" w:line="26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registered office is 110 Fulbourn Road, Cambridge, Cambridgeshire, CB1 9NJ, U.K., and the telephone number at that office is +44 (1223) 400 400. The principal office for Arm Inc., our U.S. subsidiary, is located at 120 Rose Orchard Way, San Jose, CA 95134, and our telephone number at that office is +1 (408) 576-1500. Our website address is www.arm.com. We have included our website address in this Annual Report solely as an inactive textual reference. Information contained on, or that can be accessed through, our website is not incorporated by reference into this Annual Report, and you should not consider information on our website to be part of this Annual Report. Our agent for service of process in the United States is Arm, Inc.</w:t>
      </w:r>
    </w:p>
    <w:p>
      <w:pPr>
        <w:pStyle w:val="TextBody"/>
        <w:bidi w:val="0"/>
        <w:spacing w:lineRule="auto" w:line="288" w:before="120" w:after="240"/>
        <w:ind w:left="0" w:right="0" w:firstLine="360"/>
        <w:jc w:val="both"/>
        <w:rPr/>
      </w:pPr>
      <w:r>
        <w:rPr>
          <w:rFonts w:ascii="Times New Roman;serif" w:hAnsi="Times New Roman;serif"/>
          <w:b w:val="false"/>
          <w:color w:val="000000"/>
          <w:sz w:val="20"/>
        </w:rPr>
        <w:t>For a discussion of our principal capital expenditures, refer to “</w:t>
      </w:r>
      <w:r>
        <w:rPr>
          <w:rFonts w:ascii="Times New Roman;serif" w:hAnsi="Times New Roman;serif"/>
          <w:b w:val="false"/>
          <w:i/>
          <w:color w:val="000000"/>
          <w:sz w:val="20"/>
        </w:rPr>
        <w:t>Item 5. Operating and Financial Review and Prospects—B. Liquidity and Capital Resources”</w:t>
      </w:r>
      <w:r>
        <w:rPr>
          <w:rFonts w:ascii="Times New Roman;serif" w:hAnsi="Times New Roman;serif"/>
          <w:b w:val="false"/>
          <w:color w:val="000000"/>
          <w:sz w:val="20"/>
        </w:rPr>
        <w:t>, “</w:t>
      </w:r>
      <w:r>
        <w:rPr>
          <w:rFonts w:ascii="Times New Roman;serif" w:hAnsi="Times New Roman;serif"/>
          <w:b w:val="false"/>
          <w:i/>
          <w:color w:val="000000"/>
          <w:sz w:val="20"/>
        </w:rPr>
        <w:t>Item 4. Information on the Company—D. Property and Equipment”, “Item 8. Financial Information—Note 8 - Property and Equipment, Net</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Item 8. Financial Information—Note 9 - Leases</w:t>
      </w:r>
      <w:r>
        <w:rPr>
          <w:color w:val="000000"/>
        </w:rPr>
        <w:t xml:space="preserve">” </w:t>
      </w:r>
      <w:r>
        <w:rPr>
          <w:rFonts w:ascii="Times New Roman;serif" w:hAnsi="Times New Roman;serif"/>
          <w:b w:val="false"/>
          <w:color w:val="000000"/>
          <w:sz w:val="20"/>
        </w:rPr>
        <w:t>in the Notes to the Consolidated Financial Statements included in this Annual Report.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SEC maintains an Internet site that contains reports, proxy and information statements, and other information regarding issuers that file electronically with the SEC at www.sec.gov.</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 xml:space="preserve">Corporate Reorganization </w:t>
      </w:r>
    </w:p>
    <w:p>
      <w:pPr>
        <w:pStyle w:val="TextBody"/>
        <w:bidi w:val="0"/>
        <w:spacing w:lineRule="auto" w:line="288" w:before="120" w:after="240"/>
        <w:ind w:left="0" w:right="0" w:firstLine="360"/>
        <w:jc w:val="both"/>
        <w:rPr/>
      </w:pPr>
      <w:r>
        <w:rPr>
          <w:rFonts w:ascii="Times New Roman;serif" w:hAnsi="Times New Roman;serif"/>
          <w:b w:val="false"/>
          <w:color w:val="231F20"/>
          <w:sz w:val="20"/>
        </w:rPr>
        <w:t xml:space="preserve">In September 2023, we completed a board approved corporate reorganization which involved (1) </w:t>
      </w:r>
      <w:r>
        <w:rPr>
          <w:rFonts w:ascii="Times New Roman;serif" w:hAnsi="Times New Roman;serif"/>
          <w:b w:val="false"/>
          <w:color w:val="000000"/>
          <w:sz w:val="20"/>
        </w:rPr>
        <w:t xml:space="preserve">the shareholders of Arm Limited exchanging each of the ordinary shares held by them in Arm Limited for newly issued ordinary </w:t>
      </w:r>
      <w:r>
        <w:rPr>
          <w:rFonts w:ascii="Times New Roman;serif" w:hAnsi="Times New Roman;serif"/>
          <w:b w:val="false"/>
          <w:color w:val="231F20"/>
          <w:sz w:val="20"/>
        </w:rPr>
        <w:t>shares of Arm Holdings Limited; and (2) the re-registration of Arm Holdings Limited as a public limited company under the laws of England and Wales at which time its name was changed to Arm Holdings plc. This corporate reorganization was solely for the purpose of reorganizing our corporate structure, in which Arm Limited became a wholly owned subsidiary of the holding company, Arm Holdings plc. This transfer of equity resulted in the issuance of ordinary shares of Arm Holdings plc to shareholders in the same class and the same number of ordinary shares as their previous shareholding in Arm Limited. As a result of the corporate reorganization between entities under common control, our historical consolidated financial statements were retrospectively adjusted for the change in reporting entity. Therefore, the historical consolidated financial statements of Arm Limited became the historical consolidated financial statements of Arm Holdings plc as of the date of the corporate reorganization.</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Initial Public Offering</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registration statement on Form F-1 relating to the IPO was declared effective on September 13, 2023 and our ADSs began trading on the Nasdaq Global Select Market under the ticker symbol “ARM” on September 14, 2023. On September 18, 2023, we completed the closing of the IPO. One of our shareholders sold an aggregate of 102,500,000 ADSs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at a price of $51 per share, including the underwriters’ full exercise of their option to purchase up to an additional 7,000,000 ADSs to cover over-allotments. We did not receive any proceeds from the sale of the ADSs in the IPO.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erif" w:hAnsi="Times New Roman;serif"/>
          <w:b/>
          <w:color w:val="000000"/>
          <w:sz w:val="20"/>
        </w:rPr>
        <w:t>B.    </w:t>
      </w:r>
      <w:r>
        <w:rPr>
          <w:rFonts w:ascii="Times New Roman;serif" w:hAnsi="Times New Roman;serif"/>
          <w:b/>
          <w:i/>
          <w:color w:val="000000"/>
          <w:sz w:val="20"/>
        </w:rPr>
        <w:t xml:space="preserve">Business Overview </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Industry Background</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Semiconductors are indispensable to everyday life. In today’s technology-driven world, semiconductors are the enablers of the devices and infrastructure that facilitate virtually everything people do. As consumers and enterprises continue to demand more from their devices, we expect the demand for high-performance and energy-efficient semiconductors to continue to expand. We expect a plethora of products to become smart, connected and AI-enabled. AI use cases are emerging across all of our end markets, including smartphones, personal computers (“PCs”), consumer electronics, autonomous solutions, industrial devices and data centers. </w:t>
      </w:r>
    </w:p>
    <w:p>
      <w:pPr>
        <w:pStyle w:val="TextBody"/>
        <w:bidi w:val="0"/>
        <w:spacing w:lineRule="auto" w:line="288" w:before="120" w:after="240"/>
        <w:ind w:left="0" w:right="0" w:firstLine="360"/>
        <w:jc w:val="both"/>
        <w:rPr/>
      </w:pPr>
      <w:r>
        <w:rPr>
          <w:rFonts w:ascii="Times New Roman;serif" w:hAnsi="Times New Roman;serif"/>
          <w:b w:val="false"/>
          <w:color w:val="000000"/>
          <w:sz w:val="20"/>
        </w:rPr>
        <w:t>The massive expansion of AI, data, and advanced software applications is driving demand for high-performance and power efficient compute. Mobile devices must manage compute-intensive applications like video streaming, yet are limited by the energy stored in their batteries. Data centers must cope with rising AI training and inference needs while limited by the power available from the grid. The transition to electric vehicles and autonomous driving is increasing pressure on automakers to increase compute power without limiting vehicle range. Collectively, these considerations result in the need for innovation in chip design to address market demands for an optimal balance of performance, efficiency, and cost across end markets. The Arm compute platform enables customers to address increasingly complex workloads with a broad suite of powerful, energy efficient solutions from our CPU IP and CSS offerings</w:t>
      </w:r>
      <w:r>
        <w:rPr>
          <w:color w:val="000000"/>
        </w:rPr>
        <w:t xml:space="preserve"> </w:t>
      </w:r>
      <w:r>
        <w:rPr>
          <w:rFonts w:ascii="Times New Roman;serif" w:hAnsi="Times New Roman;serif"/>
          <w:b w:val="false"/>
          <w:color w:val="000000"/>
          <w:sz w:val="20"/>
        </w:rPr>
        <w:t>to our production silicon product, the Arm AGI CPU.</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the resources required to develop leading-edge products are significant and continue to increase exponentially as chip complexity increases, manufacturing process nodes shrink, and manufacturing times increase. Arm has developed an ecosystem that plays an increasingly valuable role in the chip design process by providing specialized capabilities and expertise that enable semiconductor suppliers to focus on their core product differentiation, while keeping pace with market innovation. Arm helps its customers facilitate innovation and enhance customers’ competitive positioning by reducing the complexity, risk, cost, and time-to-market for new products..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Many OEMs historically have used “off-the-shelf,” or “merchant,” semiconductors when building their product offerings. However, that is changing as many leading OEMs are now building custom chips in-house that deliver greater performance and greater efficiency at an equal or better price for a particular use case. Now AI is further transforming the global computing infrastructure. With the recent expansion beyond IP and CSS offerings to include Arm-designed silicon products, we believe this gives partners the broadest set of options to build on Arm and will help enable faster innovation across the AI ecosystem.</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For a discussion of our business’s cyclical nature, see </w:t>
      </w:r>
      <w:r>
        <w:rPr>
          <w:color w:val="000000"/>
        </w:rPr>
        <w:t>“</w:t>
      </w:r>
      <w:r>
        <w:rPr>
          <w:rFonts w:ascii="Times New Roman;serif" w:hAnsi="Times New Roman;serif"/>
          <w:b w:val="false"/>
          <w:i/>
          <w:color w:val="000000"/>
          <w:sz w:val="20"/>
        </w:rPr>
        <w:t>Item 5. Operating and Financial Review and Prospects—D. Trend information—Key Factors and Trends Affecting Our Operating Results—Global Demand for Semiconductor Products and Cyclical Nature of the Semiconductor Industry.”</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Our Company</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Arm architects, develops, and licenses our high-performance, and energy-efficient Arm compute platforms, and as of March 2026, we have expanded our offerings to include Arm-designed silicon products with the introduction of the Arm AGI CPU. Our CPU products address diverse requirements for performance, power, and specific use cases. Our complementary products include GPU and NPU accelerators, system IP, such as interconnects, and others. The world’s leading technology companies rely on the Arm compute platform to develop their products.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Every CPU has an architecture, which defines the software instructions that can be executed by the CPU. The architecture is essentially a common language for software developers. It sets the foundation for a large library of compatible software which runs on those CPUs, including our Kleidi libraries that help developers optimize their AI applications on Arm chips. Companies utilizing the Arm compute platform can add desired functionality, such as GPUs, NPUs, Wi-Fi connectivity, image processing, and video processing to create a product to meet the needs of their end market.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more than 350 billion Arm-based chips were reported as shipped cumulatively. Arm powers everything from the tiniest of sensors to the most powerful supercomputers. The Arm compute platform is the most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pervasive architecture in the world and supports a global community of more than 22 million developers. Our platform runs the vast majority of the world’s software, including the operating systems and applications for smartphones, tablets and PCs, data centers and networking equipment, and vehicles, as well as the embedded operating systems in devices such as smart cameras, thermostats, drones and industrial robotics.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our platform is well positioned to benefit from the growth in AI workloads. Arm CPUs already run AI workloads in billions of devices from the edge to the cloud, including smartphones, cameras, digital TVs, cars and AI data centers. The CPU is vital in all AI systems, whether it is handling the AI workload entirely or in combination with a co-processor, such as a GPU or an NPU, which specializes in the acceleration of ML algorithms. With the rise of agentic AI and as AI workloads continue to proliferate and grow in complexity, there is heightened emphasis on power-efficient performance and flexibility. In the latest Arm architecture, CPUs, and GPUs, we have added new functionality and instructions to accelerate future AI algorithms and workloads. Furthermore, in March 2026, we expanded our offerings to include our first production silicon product, the Arm AGI CPU.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further align with the growth of AI workloads, we have reorganized our business into three AI domains: Edge AI, serving smartphones and IoT; Physical AI, supporting automotive and robotics; and Cloud AI, addressing data center and networking.</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History</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Established in 1990, Arm began as a joint venture between Acorn Computers, Apple Computer, and VLSI Technology. We were publicly listed on the London Stock Exchange and the Nasdaq Stock Market from 1998 until 2016, when we were taken private by SoftBank Group, our controlling shareholder.</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original joint venture set out to develop a processor that was high performance, power efficient, easy to program, and readily scalable – a goal that continues to define Arm today. One of the first Arm-based products was a predecessor of today’s tablets. As a battery-powered device, it required an energy-efficient chip to maximize its battery life while providing the necessary compute capabilities. This product benefited from Arm’s clear focus on efficient CPU design. Our CPUs initially gained significant traction in mobile phones in the mid-1990s because our energy-efficient processors provided an appropriate level of performance while consuming little power, which was critical for these smaller form factor devices. As the mobile phone market continued to grow rapidly, more semiconductor companies entered the market. All these companies needed to source high-performance, energy-efficient processors to run their mobile phone software, and many of them licensed Arm CPU products. Over time, mobile phones, and the chips they used, became more advanced and ultimately evolved into the smartphones that are prevalent today.</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mobile phone was one of the first consumer electronic devices to evolve into an intelligent, connected, digital device that needed a smart processor to run a growing library of software. With the help of Arm technology, many more devices such as televisions, watches, cameras, factory equipment, autonomous vehicles and others are undergoing similar change.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Over the years, as Arm’s customer base expanded, Arm has extended the range of technology products to include accelerators, such as GPUs, specialist accelerators (for image processing and AI functions), and more application specific system-level technology such as CSSs. In March 2026, we extended our offerings to include production silicon products with the introduction of the Arm AGI CPU.</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Our Product Offerings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key elements of our solution include:</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Arm CPUs</w:t>
      </w:r>
      <w:r>
        <w:rPr>
          <w:rFonts w:ascii="Times New Roman;serif" w:hAnsi="Times New Roman;serif"/>
          <w:b w:val="false"/>
          <w:color w:val="000000"/>
          <w:sz w:val="20"/>
        </w:rPr>
        <w:t>. The foundation of our product offerings is our CPU products. Our CPU products leverage our common scalable architecture and address a range of performance, power, and cost requirements, including our Arm AGI CPU.</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Other Design Offerings.</w:t>
      </w:r>
      <w:r>
        <w:rPr>
          <w:color w:val="000000"/>
        </w:rPr>
        <w:t xml:space="preserve"> </w:t>
      </w:r>
      <w:r>
        <w:rPr>
          <w:rFonts w:ascii="Times New Roman;serif" w:hAnsi="Times New Roman;serif"/>
          <w:b w:val="false"/>
          <w:color w:val="000000"/>
          <w:sz w:val="20"/>
        </w:rPr>
        <w:t>We have a portfolio of products that are deployed alongside our CPUs, including:</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Accelerators</w:t>
      </w:r>
      <w:r>
        <w:rPr>
          <w:rFonts w:ascii="Times New Roman;serif" w:hAnsi="Times New Roman;serif"/>
          <w:b w:val="false"/>
          <w:color w:val="000000"/>
          <w:sz w:val="20"/>
        </w:rPr>
        <w:t>. We offer a family of GPU and NPU products providing efficient computing acceleration and an optimal visual experience across a wide range of devices.</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System IP</w:t>
      </w:r>
      <w:r>
        <w:rPr>
          <w:rFonts w:ascii="Times New Roman;serif" w:hAnsi="Times New Roman;serif"/>
          <w:b w:val="false"/>
          <w:color w:val="000000"/>
          <w:sz w:val="20"/>
        </w:rPr>
        <w:t xml:space="preserve">. Complementary design components that enable designers to create high-performance, power-efficient, reliable, and secure chips.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Compute Platform Products</w:t>
      </w:r>
      <w:r>
        <w:rPr>
          <w:rFonts w:ascii="Times New Roman;serif" w:hAnsi="Times New Roman;serif"/>
          <w:b w:val="false"/>
          <w:color w:val="000000"/>
          <w:sz w:val="20"/>
        </w:rPr>
        <w:t xml:space="preserve">. Arm’s CPU, GPU, and System IP products integrated into a foundational compute platform optimized for a specific end market. These CSSs are pre-integrated and pre-verified configurations of Arm technology that deliver significantly higher value to customers by reducing development costs and time-to-market. </w:t>
      </w:r>
    </w:p>
    <w:p>
      <w:pPr>
        <w:pStyle w:val="TextBody"/>
        <w:bidi w:val="0"/>
        <w:spacing w:lineRule="auto" w:line="288" w:before="60" w:after="240"/>
        <w:ind w:left="0" w:right="0" w:hanging="360"/>
        <w:jc w:val="both"/>
        <w:rPr/>
      </w:pPr>
      <w:r>
        <w:rPr>
          <w:color w:val="000000"/>
        </w:rPr>
        <w:t>•</w:t>
      </w:r>
      <w:r>
        <w:rPr>
          <w:rFonts w:ascii="Times New Roman;serif" w:hAnsi="Times New Roman;serif"/>
          <w:b/>
          <w:i/>
          <w:color w:val="000000"/>
          <w:sz w:val="20"/>
        </w:rPr>
        <w:t>Development Tools and Software</w:t>
      </w:r>
      <w:r>
        <w:rPr>
          <w:rFonts w:ascii="Times New Roman;serif" w:hAnsi="Times New Roman;serif"/>
          <w:b w:val="false"/>
          <w:color w:val="000000"/>
          <w:sz w:val="20"/>
        </w:rPr>
        <w:t>. Our tools and software support the development and deployment of our offerings.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expand the scope of our product offerings, investing in more holistic, end-market optimized designs, expanding beyond individual design IP to providing subsystem designs. Given the complexities of developing chips using the most advanced manufacturing processes, we are making significant investments to better support the increasing number of OEMs and CSPs looking to develop their own customized chips. We also continue to actively consider the impact of next generation technology adopted by market participants, which has resulted in us allocating resources to, and exploring, new markets and/or different products and solutions for existing and prospective customers in various end markets, including, without limitation, new products in our IP portfolio, as well as solutions beyond individual IP designs such as RTL-based CSSs, GDSII-based CSSs, chiplets and complete chip solutions. For example, in 2024, we introduced a CSS targeted at customers in the infrastructure space and, more recently, in March 2026, we expanded our compute platform into production silicon products with the Arm AGI CPU.</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have cultivated a broad ecosystem of third-party hardware and software partners to support our customers. Our partners include leading semiconductor technology suppliers, including foundries and EDA vendors. We also invest in our software ecosystem and work closely with firmware and operating system vendors, game engine vendors, software tool providers, and application software developers.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the primary customer benefits of our product offerings include:</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Ability to Optimize for Performance, Power and Area (“PPA”)</w:t>
      </w:r>
      <w:r>
        <w:rPr>
          <w:rFonts w:ascii="Times New Roman;serif" w:hAnsi="Times New Roman;serif"/>
          <w:b w:val="false"/>
          <w:color w:val="000000"/>
          <w:sz w:val="20"/>
        </w:rPr>
        <w:t>. Arm’s design IP enables customers to build chips optimized for the PPA requirements for a specific use case or end market. A battery-powered device such as a smartphone has a different PPA requirement versus a high-performance cloud server or an IoT sensor. As the Arm compute platform offers a wide range of CPU and related technologies, our customers have the option to create their owns chips customized to their specific requirements for performance, power consumption, and cost or deploy Arm-designed silicon.</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Reducing Customer Time to Market, Development Costs, and Risk</w:t>
      </w:r>
      <w:r>
        <w:rPr>
          <w:rFonts w:ascii="Times New Roman;serif" w:hAnsi="Times New Roman;serif"/>
          <w:b w:val="false"/>
          <w:color w:val="000000"/>
          <w:sz w:val="20"/>
        </w:rPr>
        <w:t>. As leading-edge manufacturing processes continue to progress towards smaller transistors, developing chips is becoming harder and more costly, requiring more engineering time and effort. To further reduce our customers’ time to market, lower their costs and help de-risk their product development efforts, our compute platform combines our CPU and related products and SoC knowledge with our deep understanding of our ecosystem partners’ design tools and manufacturing processes. We invest significant time, resources and effort in the design and verification of each processor and work closely with our customers to develop the products we deliver to our customers. Our CSS products, for example, offer hardened CPU, GPU, NPU, and interconnect implementations that offer our customers a better starting point for their designs. In addition, through our deep customer and partner relationships, we have unique visibility into the future requirements of end markets many years out, which informs the development of our products to ensure that our products meet or exceed future market needs.</w:t>
      </w:r>
    </w:p>
    <w:p>
      <w:pPr>
        <w:pStyle w:val="TextBody"/>
        <w:bidi w:val="0"/>
        <w:spacing w:lineRule="auto" w:line="288" w:before="120" w:after="240"/>
        <w:ind w:left="0" w:right="0" w:hanging="360"/>
        <w:jc w:val="both"/>
        <w:rPr/>
      </w:pPr>
      <w:r>
        <w:rPr>
          <w:color w:val="000000"/>
        </w:rPr>
        <w:t>•</w:t>
      </w:r>
      <w:r>
        <w:rPr>
          <w:rFonts w:ascii="Times New Roman;serif" w:hAnsi="Times New Roman;serif"/>
          <w:b/>
          <w:i/>
          <w:color w:val="000000"/>
          <w:sz w:val="20"/>
        </w:rPr>
        <w:t>Incorporation of AI Acceleration in Every Processor We Now Design.</w:t>
      </w:r>
      <w:r>
        <w:rPr>
          <w:color w:val="000000"/>
        </w:rPr>
        <w:t xml:space="preserve"> </w:t>
      </w:r>
      <w:r>
        <w:rPr>
          <w:rFonts w:ascii="Times New Roman;serif" w:hAnsi="Times New Roman;serif"/>
          <w:b w:val="false"/>
          <w:color w:val="000000"/>
          <w:sz w:val="20"/>
        </w:rPr>
        <w:t>We expect our customers to embed AI capabilities into chips across our end markets. We are rapidly increasing the capability of our CPUs to run AI algorithms, are increasing the computational power of our GPU and NPU accelerators, and creating the software ecosystem to allow Arm developers to take full advantage of our chips’ capabilities.</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Our Primary Markets</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A </w:t>
      </w:r>
      <w:r>
        <w:rPr>
          <w:rFonts w:ascii="Times New Roman;serif" w:hAnsi="Times New Roman;serif"/>
          <w:b w:val="false"/>
          <w:color w:val="231F20"/>
          <w:sz w:val="20"/>
        </w:rPr>
        <w:t xml:space="preserve">summary of our disaggregated revenue and information pertaining to revenue from customers based on the principal headquarters address by geographic regions </w:t>
      </w:r>
      <w:r>
        <w:rPr>
          <w:rFonts w:ascii="Times New Roman;serif" w:hAnsi="Times New Roman;serif"/>
          <w:b w:val="false"/>
          <w:color w:val="000000"/>
          <w:sz w:val="20"/>
        </w:rPr>
        <w:t xml:space="preserve">for the fiscal years ended March 31, 2026, 2025 and 2024, is included in </w:t>
      </w:r>
      <w:r>
        <w:rPr>
          <w:color w:val="000000"/>
        </w:rPr>
        <w:t>“</w:t>
      </w:r>
      <w:r>
        <w:rPr>
          <w:rFonts w:ascii="Times New Roman;serif" w:hAnsi="Times New Roman;serif"/>
          <w:b w:val="false"/>
          <w:i/>
          <w:color w:val="000000"/>
          <w:sz w:val="20"/>
        </w:rPr>
        <w:t>Item 8. Financial Information—A. Consolidated Statements and Other Financial Information—Note 4 - Revenue.”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Edge AI</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Mobile Applications Processor</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The mobile applications processor is the primary chip in a smartphone and runs the operating system and applications in addition to controlling many of the device functions, including gaming,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music, video, and any other applications. While high compute performance is required for today’s applications, processors also must be highly energy efficient so that the smartphone’s battery will last all day without needing to be recharged. We have maintained market share in the mobile applications processor market of greater than 99% for many years, by virtue of all key mobile operating systems depending on Arm processors. Our royalty revenue from the mobile applications processors market constituted approximately 43% of our total royalty revenue for the fiscal year ended March 31, 2026. </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Industrial IoT and Embedded</w:t>
      </w:r>
      <w:r>
        <w:rPr>
          <w:rFonts w:ascii="Times New Roman;serif" w:hAnsi="Times New Roman;serif"/>
          <w:b w:val="false"/>
          <w:i/>
          <w:color w:val="000000"/>
          <w:sz w:val="20"/>
        </w:rPr>
        <w:t xml:space="preserve">. </w:t>
      </w:r>
      <w:r>
        <w:rPr>
          <w:rFonts w:ascii="Times New Roman;serif" w:hAnsi="Times New Roman;serif"/>
          <w:b w:val="false"/>
          <w:color w:val="000000"/>
          <w:sz w:val="20"/>
        </w:rPr>
        <w:t>The industrial IoT and embedded semiconductor market includes chips used by a wide range of goods, including thermostats, digital cameras, drones, sensors, surveillance cameras, manufacturing equipment, robotics, electric motor controllers and city infrastructure and building management equipment. Many manufacturers and logistics companies are using advanced sensors and smart machines capable of capturing and analyzing data in real time to improve and automate industrial processes and logistics systems. Combining the data captured by sensors with AI and data analytics can result in improvements in manufacturing yield and system throughput. Our products are broadly applicable for sensors and embedded computers that require small, power efficient and smart processors.</w:t>
      </w:r>
    </w:p>
    <w:p>
      <w:pPr>
        <w:pStyle w:val="TextBody"/>
        <w:bidi w:val="0"/>
        <w:spacing w:lineRule="auto" w:line="288" w:before="60" w:after="240"/>
        <w:ind w:left="0" w:right="0" w:hanging="360"/>
        <w:jc w:val="both"/>
        <w:rPr/>
      </w:pPr>
      <w:r>
        <w:rPr>
          <w:color w:val="000000"/>
        </w:rPr>
        <w:t>•</w:t>
      </w:r>
      <w:r>
        <w:rPr>
          <w:rFonts w:ascii="Times New Roman;serif" w:hAnsi="Times New Roman;serif"/>
          <w:b/>
          <w:i/>
          <w:color w:val="000000"/>
          <w:sz w:val="20"/>
        </w:rPr>
        <w:t>Consumer Electronics</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Consumer Electronics includes products found in the home, such as digital TVs, tablets, laptops, XR headsets and wearables. The opportunity for Arm-based chips in consumer electronics is increasing as new product categories, such as smart speakers, virtual reality headsets and laptops, need CPUs that can deliver high performance without sacrificing efficiency.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Cloud AI</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Cloud Compute</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The cloud compute market includes the main server chips, data processing units, and smart network interface cards used by CSPs to run their operations. Arm-based chips have been gaining market share as CSPs have started to deploy Arm products in their own in-house designed chips used in their data centers, and as other CSPs start to deploy chips designed by Arm licensees. </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Networking Equipment</w:t>
      </w:r>
      <w:r>
        <w:rPr>
          <w:rFonts w:ascii="Times New Roman;serif" w:hAnsi="Times New Roman;serif"/>
          <w:b w:val="false"/>
          <w:i/>
          <w:color w:val="000000"/>
          <w:sz w:val="20"/>
        </w:rPr>
        <w:t xml:space="preserve">. </w:t>
      </w:r>
      <w:r>
        <w:rPr>
          <w:rFonts w:ascii="Times New Roman;serif" w:hAnsi="Times New Roman;serif"/>
          <w:b w:val="false"/>
          <w:color w:val="000000"/>
          <w:sz w:val="20"/>
        </w:rPr>
        <w:t>The networking equipment market includes chips deployed into wireless networking such as base-station equipment, enterprise Wi-Fi, and wired networking equipment such as routers and switches. The networking equipment market is growing as more wired and wireless infrastructure is deployed, as much of the data consumed in the cloud is created at the edge and needs to be transmitted over networks to the data center for processing. The deployment of 5G networks as infrastructure scales from fewer large cell towers covering a wide area to a large number of small cells providing high-speed coverage creates further demand for architecture that allow for flexible deployment of software and workloads.</w:t>
      </w:r>
    </w:p>
    <w:p>
      <w:pPr>
        <w:pStyle w:val="TextBody"/>
        <w:bidi w:val="0"/>
        <w:spacing w:lineRule="auto" w:line="288" w:before="60" w:after="240"/>
        <w:ind w:left="0" w:right="0" w:hanging="360"/>
        <w:jc w:val="both"/>
        <w:rPr/>
      </w:pPr>
      <w:r>
        <w:rPr>
          <w:color w:val="000000"/>
        </w:rPr>
        <w:t>•</w:t>
      </w:r>
      <w:r>
        <w:rPr>
          <w:rFonts w:ascii="Times New Roman;serif" w:hAnsi="Times New Roman;serif"/>
          <w:b/>
          <w:i/>
          <w:color w:val="000000"/>
          <w:sz w:val="20"/>
        </w:rPr>
        <w:t>Other Infrastructure</w:t>
      </w:r>
      <w:r>
        <w:rPr>
          <w:rFonts w:ascii="Times New Roman;serif" w:hAnsi="Times New Roman;serif"/>
          <w:b w:val="false"/>
          <w:i/>
          <w:color w:val="000000"/>
          <w:sz w:val="20"/>
        </w:rPr>
        <w:t xml:space="preserve">. </w:t>
      </w:r>
      <w:r>
        <w:rPr>
          <w:rFonts w:ascii="Times New Roman;serif" w:hAnsi="Times New Roman;serif"/>
          <w:b w:val="false"/>
          <w:color w:val="000000"/>
          <w:sz w:val="20"/>
        </w:rPr>
        <w:t>Other Infrastructure refers to the technological components and systems that support various aspects of computing, networking, and data processing and include chips deployed into HPC systems, enterprise servers, and edge networking equipment.</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Physical AI</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Automotive</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The automotive market includes all chips with processors within vehicles. This includes chips used for in-vehicle-infotainment (“IVI”), advanced driver assistance systems (“ADAS”), engine management, and body and chassis control. Today, our market share in the automotive market is highest in more technologically advanced functional areas such as IVI and ADAS. The automotive market is expected to increase as ADAS, electrification, IVI, and eventually autonomous driving, accelerate requirements for higher compute performance in newly manufactured vehicles. At the same time, automakers must operate with strict constraints on power consumption, heat dissipation, and packaging, while prioritizing functional safety. Furthermore, automotive electronics are transitioning from hardware-defined to software-defined architecture and compute, enabling new services and features such as ADAS to be continuously improved via over-the-air updates. </w:t>
      </w:r>
    </w:p>
    <w:p>
      <w:pPr>
        <w:pStyle w:val="TextBody"/>
        <w:bidi w:val="0"/>
        <w:spacing w:lineRule="auto" w:line="288" w:before="60" w:after="240"/>
        <w:ind w:left="0" w:right="0" w:hanging="360"/>
        <w:jc w:val="both"/>
        <w:rPr/>
      </w:pPr>
      <w:r>
        <w:rPr>
          <w:color w:val="000000"/>
        </w:rPr>
        <w:t>•</w:t>
      </w:r>
      <w:r>
        <w:rPr>
          <w:rFonts w:ascii="Times New Roman;serif" w:hAnsi="Times New Roman;serif"/>
          <w:b/>
          <w:color w:val="000000"/>
          <w:sz w:val="20"/>
        </w:rPr>
        <w:t>Robotics</w:t>
      </w:r>
      <w:r>
        <w:rPr>
          <w:rFonts w:ascii="Times New Roman;serif" w:hAnsi="Times New Roman;serif"/>
          <w:b w:val="false"/>
          <w:color w:val="000000"/>
          <w:sz w:val="20"/>
        </w:rPr>
        <w:t>. The robotics market includes chips used in autonomous and semi-autonomous platforms, including drones, humanoid robots, and medical and industrial robotics.</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Our Business Model and Customers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open and flexible business model provides access to high-quality CPU and other IP products from our compute platform for a wide range of potential customer types and end markets. Our primary business is licensing our IP products to semiconductor companies, OEMs, CSPs and other organizations to design their chips. Our customers license our IP products for a fee, which gives them access to our designs and enables them to create Arm-based chips. Once a chip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been designed and manufactured with our products, we receive a per-unit royalty on substantially all chips shipped. The royalty has typically been based on a percentage of the ASP of the chip or a fixed fee per unit, and it typically increases as more Arm products are included in the chip. As of March 2026, we also expanded our offerings to include Arm-designed silicon products with the introduction of the Arm AGI CPU, with production expected by the end of calendar year 2026. Our business model enables the widest range of customers with a broad set of options to access Arm products through an agreement best suited to their particular business needs.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our IP products, our customers can choose from several licensing models, each with its own pricing mechanics and level of access to Arm IP products. These include CSS, Arm Total Access, Arm Flexible Access, TLAs and Architecture Licenses. Regardless of the license model a customer uses, we receive a per-unit royalty fee on substantially every chip shipped. Because each chip may ship for many years, and Arm compute platforms can be reused in new products as new applications emerge, these licensing agreements contribute to a long tail of recurring royalty revenues. </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compete based on a variety of factors, including price, performance, energy-efficiency, ease of product customization, product quality, software availability, marketing and distribution capability, customer support, name recognition and financial strength. Given our reliance on our partners and customers, our competitive position is dependent on our partners’ and customers’ competitive positions. In addition, our partners and customers do not license our products exclusively; rather, several of our partners and customers also design, develop, manufacture and market processors based on non-Arm based architectures as well as develop their own Physical IP in-house. Our partners and customers compete with each other and with us in various markets. The level of competition and the nature of the competitor generally varies based on the end market. For established markets where there is an incumbent architecture with a supporting ecosystem, it can be difficult for a new architecture to displace existing architectures and, therefore, to gain market share. For example, we have made significant progress and have established a large market share in markets such as smartphones, consumer electronics and IoT. We face competition primarily from other architectures like x86 and RISC-V in many of these markets. Furthermore, certain semiconductor companies, including some of our existing customers, have designed or are in the process of designing their own architectures in markets such as smartphone application processors, other mobile chips, consumer electronics, IoT and embedded computing, networking equipment, automotive, and cloud compute.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markets for our products are intensely competitive and some of them are characterized by rapid technological change. These changes result in frequent product introductions, short product life cycles and increased product capabilities typically representing significant price and performance improvements. We face significant competition from established technologies such as the x86 architecture, as well as from free, open-source technologies, including the RISC-V architecture. Some of our customers are also major supporters of the RISC-V architecture and related technologies. </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Additionally, because our resources must be allocated amongst developing and maintaining our existing IP portfolio and developing and commercializing any new, more integrated compute products or solutions, companies that focus their efforts on a single product or solution or a limited number of products or solutions may have significantly greater financial, technical, manufacturing, marketing, sales and distribution resources dedicated to such markets and solutions than we do. Such companies may also have a more developed IP portfolio for the applicable markets and solutions and may be able to leverage these resources and competitive factors to gain or maintain market share. Furthermore, many of our customers who have historically licensed our IP may face direct competition from us in certain market segments, which could impact our existing commercial relationships. For example, some of our customers may face direct competition from us in silicon production products, such as with the Arm AGI CPU. See </w:t>
      </w:r>
      <w:r>
        <w:rPr>
          <w:color w:val="000000"/>
        </w:rPr>
        <w:t>“</w:t>
      </w:r>
      <w:r>
        <w:rPr>
          <w:rFonts w:ascii="Times New Roman;serif" w:hAnsi="Times New Roman;serif"/>
          <w:b w:val="false"/>
          <w:i/>
          <w:color w:val="000000"/>
          <w:sz w:val="20"/>
        </w:rPr>
        <w:t>Item 3. Key Information—D. Risk Factors—Risks Relating to Our Business and Industry—Our development of production silicon products, such as the Arm AGI CPU, CSS, chiplets, complete chip solutions, and other more integrated compute products may subject us to new or enhanced competitive, brand, technological, regulatory, operational and financial risks.”</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See </w:t>
      </w:r>
      <w:r>
        <w:rPr>
          <w:color w:val="000000"/>
        </w:rPr>
        <w:t>“</w:t>
      </w:r>
      <w:r>
        <w:rPr>
          <w:rFonts w:ascii="Times New Roman;serif" w:hAnsi="Times New Roman;serif"/>
          <w:b w:val="false"/>
          <w:i/>
          <w:color w:val="000000"/>
          <w:sz w:val="20"/>
        </w:rPr>
        <w:t>Item 3. Key Information—D. Risk Factors—Risks Relating to Our Business and Industry.”</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Competitive Strengths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compute platform, including our architecture, CPU designs, and accelerator and related IP, is the leading independent processor technology licensable to other companies. In addition, our established worldwide network of partners and customers affords us a broad presence. Paired with our software ecosystem, we believe we have an advantage over other companies that license processor-related technology. In addition, we believe that our extensive ecosystem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high barriers to entry into certain of our end markets enhance our competitive position. Our competitive strengths include: </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 xml:space="preserve">Technology Leadership Across Markets. </w:t>
      </w:r>
      <w:r>
        <w:rPr>
          <w:rFonts w:ascii="Times New Roman;serif" w:hAnsi="Times New Roman;serif"/>
          <w:b w:val="false"/>
          <w:color w:val="000000"/>
          <w:sz w:val="20"/>
        </w:rPr>
        <w:t xml:space="preserve">The Arm compute platform has been an industry leader for many years and is the most widely deployed architecture globally. Our products are used in virtually all smartphones, a majority of tablets and digital TVs, and a significant proportion of all chips with embedded processors. We have an established presence in the cloud market, working with many of the largest hyperscalers and in the automotive market we work with many of the leading suppliers. Our products deliver best-in-class performance per watt and provide the flexibility to design custom chips, addressing the growing need for power-efficient compute capabilities tailored to specific workloads. </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 xml:space="preserve">Leadership in AI from the Edge to the Cloud. </w:t>
      </w:r>
      <w:r>
        <w:rPr>
          <w:rFonts w:ascii="Times New Roman;serif" w:hAnsi="Times New Roman;serif"/>
          <w:b w:val="false"/>
          <w:color w:val="000000"/>
          <w:sz w:val="20"/>
        </w:rPr>
        <w:t>New AI hardware, the rise of AI agents, and the emergence of smaller, lighter language models are unlocking edge AI use cases in the smartphone, PC, automotive, and industrial end markets. These devices are often distant from the cloud and untethered from the power grid. Arm’s powerful and energy-efficient processors allow a faster user experience, improved privacy, and fewer energy-intensive interactions with the cloud. Cloud demand for AI compute is lifting industry demand for GPUs, all of which require CPUs, a rising percentage of which are based on the Arm compute platform.</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Flexible, Customizable Compute Platform.</w:t>
      </w:r>
      <w:r>
        <w:rPr>
          <w:color w:val="000000"/>
        </w:rPr>
        <w:t xml:space="preserve"> </w:t>
      </w:r>
      <w:r>
        <w:rPr>
          <w:rFonts w:ascii="Times New Roman;serif" w:hAnsi="Times New Roman;serif"/>
          <w:b w:val="false"/>
          <w:color w:val="000000"/>
          <w:sz w:val="20"/>
        </w:rPr>
        <w:t>We offer the Arm compute platform, which includes our CPUs, GPUs, NPUs, interconnect, and other IP, in a wide range of options and configurations that allow our partners to build chips precisely tailored to the workloads they intend to run in a cost-effective manner. This custom silicon can therefore be both highly performant and energy-efficient.</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Extensive Ecosystem of Third-Party Software and Hardware Partners.</w:t>
      </w:r>
      <w:r>
        <w:rPr>
          <w:color w:val="000000"/>
        </w:rPr>
        <w:t xml:space="preserve"> </w:t>
      </w:r>
      <w:r>
        <w:rPr>
          <w:rFonts w:ascii="Times New Roman;serif" w:hAnsi="Times New Roman;serif"/>
          <w:b w:val="false"/>
          <w:color w:val="000000"/>
          <w:sz w:val="20"/>
        </w:rPr>
        <w:t>Arm has the world’s largest ecosystem of third-party software and hardware partners, including chip design and verification tools vendors, advanced fabrication, operating system and application vendors, software tools providers, training and support services companies, and more than 22 million developers. The wide deployment of chips based on the Arm architecture provides software and tools companies with a large market to develop and sell their products into. As creating a new product or service is difficult without all the elements of the supporting hardware and software ecosystem, the breadth of the Arm ecosystem creates a virtuous cycle that deeply integrates us into the design cycle.</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Close Integration with Customers and Ecosystem Partners.</w:t>
      </w:r>
      <w:r>
        <w:rPr>
          <w:color w:val="000000"/>
        </w:rPr>
        <w:t xml:space="preserve"> </w:t>
      </w:r>
      <w:r>
        <w:rPr>
          <w:rFonts w:ascii="Times New Roman;serif" w:hAnsi="Times New Roman;serif"/>
          <w:b w:val="false"/>
          <w:color w:val="000000"/>
          <w:sz w:val="20"/>
        </w:rPr>
        <w:t xml:space="preserve">We work closely with our customers and ecosystem partners to understand future industry trends and the evolution of end markets. We believe that it is essential that we align with our customers on their development plans and engineering timeline, so that our products meet or exceed their requirements and are delivered at the right time in their chip development timeline. Because it can take two to three years to design a new Arm processor, and it can take another two to three years to develop a chip, we have close relationships with our customers’ research and development functions. This can provide us with unique visibility across the semiconductor industry, from the product pipeline of our customers to, by extension, their customers and end markets. We have also been engaged to advise on or design chips for certain existing customers and other third parties. </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Long-Term Visibility Enables Investment in Future Products.</w:t>
      </w:r>
      <w:r>
        <w:rPr>
          <w:color w:val="000000"/>
        </w:rPr>
        <w:t xml:space="preserve"> </w:t>
      </w:r>
      <w:r>
        <w:rPr>
          <w:rFonts w:ascii="Times New Roman;serif" w:hAnsi="Times New Roman;serif"/>
          <w:b w:val="false"/>
          <w:color w:val="000000"/>
          <w:sz w:val="20"/>
        </w:rPr>
        <w:t xml:space="preserve">Our business model provides significant flexibility to fund long-term investments in future products. Arm incurs research and development investments today for the development of products that will be licensed in the future, with royalty fees to follow for years beyond that. We focus our investments on leading-edge products, and we leverage our underlying technology across multiple derivative products targeting different markets and extending into new applications over time. We are able to make significant upfront investments due to our alignment with customer roadmaps and the resulting visibility from long-term royalty streams. </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We Satisfy our Customers’ Processor Design Needs in a Mutually Beneficial Way.</w:t>
      </w:r>
      <w:r>
        <w:rPr>
          <w:color w:val="000000"/>
        </w:rPr>
        <w:t xml:space="preserve"> </w:t>
      </w:r>
      <w:r>
        <w:rPr>
          <w:rFonts w:ascii="Times New Roman;serif" w:hAnsi="Times New Roman;serif"/>
          <w:b w:val="false"/>
          <w:color w:val="000000"/>
          <w:sz w:val="20"/>
        </w:rPr>
        <w:t>We invest in creating leading products that can be used across a wide range of end markets and customers. As we expect to license our products to multiple customers, we can typically cover the entire cost of developing new Arm products by charging each customer only a portion of the total development costs. This lowers the costs for each semiconductor designer to license Arm products, versus developing the technology in-house, and enables customers to focus resources on differentiation. In addition, by licensing Arm CPU technology, the licensee immediately gains access to the vast Arm ecosystem, which would be impossible to leverage if they developed their own CPU in-house.</w:t>
      </w:r>
    </w:p>
    <w:p>
      <w:pPr>
        <w:pStyle w:val="TextBody"/>
        <w:bidi w:val="0"/>
        <w:spacing w:lineRule="auto" w:line="288" w:before="60" w:after="240"/>
        <w:ind w:left="0" w:right="0" w:hanging="360"/>
        <w:jc w:val="both"/>
        <w:rPr/>
      </w:pPr>
      <w:r>
        <w:rPr>
          <w:color w:val="000000"/>
        </w:rPr>
        <w:t>•</w:t>
      </w:r>
      <w:r>
        <w:rPr>
          <w:rFonts w:ascii="Times New Roman;serif" w:hAnsi="Times New Roman;serif"/>
          <w:b/>
          <w:i/>
          <w:color w:val="000000"/>
          <w:sz w:val="20"/>
        </w:rPr>
        <w:t xml:space="preserve">World-Class Research and Development Team with a Proven Track Record of Innovation. </w:t>
      </w:r>
      <w:r>
        <w:rPr>
          <w:rFonts w:ascii="Times New Roman;serif" w:hAnsi="Times New Roman;serif"/>
          <w:b w:val="false"/>
          <w:color w:val="000000"/>
          <w:sz w:val="20"/>
        </w:rPr>
        <w:t>Our customers rely on us to deliver advanced technology, leveraging our extensive capabilities and scale across our CPU, GPU, NPU, systems, and platform products. Our research and development team is prolific at developing new inventions, for which we seek patents to the greatest extent possible.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We are an engineering-first company, with approximately 84% of our global employees, as of March 31, 2026, focused on research, design, and technical innovation, and we have global operations and research and development centers in the U.K., Europe, North America, India, and Asia-Pacific. Our ability to compete is substantially dependent on advancement of our products in order to meet evolving market demands. Our engineers are involved in researching and developing new versions of processor cores, specialist processors, such as graphics IP and AI accelerators, System IP, and CSS technology as well as related software and tools applications. Further, our management continually evaluates opportunities to innovate and develop new products and services to meet market demand and new market opportunities, including the development of production silicon products, such as the Arm AGI CPU, CSS, chiplets, complete chip solutions and other more integrated compute products. We have been engaged to advise on and design chips for certain existing customers and other third parties. We have allocated, and intend to continue allocating, resources to such projects and in developing new products and solutions, including recruiting and hiring engineers or other employees with the requisite expertise. We have also begun exploring potential acquisitions of, or service agreements with, businesses employing the required expertise. See </w:t>
      </w:r>
      <w:r>
        <w:rPr>
          <w:color w:val="000000"/>
        </w:rPr>
        <w:t>“</w:t>
      </w:r>
      <w:r>
        <w:rPr>
          <w:rFonts w:ascii="Times New Roman;serif" w:hAnsi="Times New Roman;serif"/>
          <w:b w:val="false"/>
          <w:i/>
          <w:color w:val="000000"/>
          <w:sz w:val="20"/>
        </w:rPr>
        <w:t>Item 3. Key Information—D. Risk Factors—Risks Relating to Our Business and Industry—Our development of production silicon products, such as the Arm AGI CPU, CSS, chiplets, complete chip solutions, and other more integrated compute products may subject us to new or enhanced competitive, brand, technological, regulatory, operational and financial risks.”</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Our significant research and development investments in certain markets where we are established, such as mobile applications processors, consumer electronics, and embedded computing, enable us to invest more effectively and efficiently in the development of new products in various end markets such as the automotive and cloud computing markets. We have committed, and intend to continue to commit over the long-term, significant financial and other resources to technology and product innovation and development. For more information about our research and development policies, see </w:t>
      </w:r>
      <w:r>
        <w:rPr>
          <w:color w:val="000000"/>
        </w:rPr>
        <w:t>“</w:t>
      </w:r>
      <w:r>
        <w:rPr>
          <w:rFonts w:ascii="Times New Roman;serif" w:hAnsi="Times New Roman;serif"/>
          <w:b w:val="false"/>
          <w:i/>
          <w:color w:val="000000"/>
          <w:sz w:val="20"/>
        </w:rPr>
        <w:t>Item 5. Operating and Financial Review and Prospects—A. Operating Results—Results of Operations—Comparison of Performance for the Fiscal Years Ended March 31, 2026 and 2025—Research and Development.”</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success and ability to compete effectively depend significantly on protecting our IP. To protect our IP rights, we primarily rely on patent, copyright, trade secret and trademark laws, trade secret protection and confidentiality agreements, as well as license agreements with our employees, customers, partners, and others. We have an active program of protecting our proprietary technology through the filing of patents, registration of trademarks, and use of confidentiality agreements and other IP rights. As of March 31, 2026, we owned or co-owned approximately 8,600 issued patents and have approximately 2,750 patent applications pending worldwide. The majority of these patents and patent applications fall into the categories of processor architecture and microarchitecture, AI and computer vision, graphic processor architecture, on-chip system design, memory technology, as well as new growth areas for our business. We maintain and support an active program to protect our IP, primarily through encouraging engineers to propose new invention submissions and defending issued patents against infringement.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Approximately 98% of our active patent portfolio (granted and pending) is owned solely by us, or jointly with, our subsidiaries, with the remaining 2% comprising patent assets jointly owned with one or more third parties. Through intra-group licensing arrangements, we have access to our entire patent portfolio for the purposes of licensing technology or otherwise providing services to third parties.</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As a result of our global operations, efforts to protect our technology, trade secrets and other proprietary information can be difficult, particularly in jurisdictions that provide limited or no protection for IP rights. If confidential information (including, but not limited to, trade secrets, and proprietary technology and information) is improperly shared we would likely seek to determine the source and whether or not financial losses could be recovered through contractual claims against a licensee. Additionally, we would seek to block importation of finished goods created in such “limited-protection” territories into territories where there exist better protections. Although we intend to protect our rights vigorously, there can be no assurance that such measures will be successful. See </w:t>
      </w:r>
      <w:r>
        <w:rPr>
          <w:color w:val="000000"/>
        </w:rPr>
        <w:t>“</w:t>
      </w:r>
      <w:r>
        <w:rPr>
          <w:rFonts w:ascii="Times New Roman;serif" w:hAnsi="Times New Roman;serif"/>
          <w:b w:val="false"/>
          <w:i/>
          <w:color w:val="000000"/>
          <w:sz w:val="20"/>
        </w:rPr>
        <w:t>Item 3. Key Information—D. Risk Factors—Risks Relating to Our Business and Industry—Failure to obtain, maintain, protect, defend or enforce our IP rights could impair our ability to protect our proprietary products and our brand, and the costs of obtaining, maintaining, protecting, defending and enforcing such IP rights, particularly as a result of litigation, may adversely and materially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The IPLA with Arm China</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party to the IPLA with Arm China.</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IPLA, Arm China licenses certain of our IP from us. In turn, Arm China sublicenses such IP to its PRC customers, as the exclusive distributor of our IP licenses to customers in the PRC.</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Customers</w:t>
      </w:r>
      <w:r>
        <w:rPr>
          <w:rFonts w:ascii="Times New Roman;serif" w:hAnsi="Times New Roman;serif"/>
          <w:b w:val="false"/>
          <w:color w:val="000000"/>
          <w:sz w:val="20"/>
        </w:rPr>
        <w:t>. Arm China is permitted to sublicense to customers in the PRC. This includes any ultimate parent of a group that is incorporated in the PRC and traded on any official stock exchange, any entity whose ultimate parent is incorporated in the PRC, and any entity under the ultimate control of a PRC citizen. However, it does not include PRC subsidiaries of companies incorporated outside of the PRC, even though these companies may still sell products in the PRC.</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Products</w:t>
      </w:r>
      <w:r>
        <w:rPr>
          <w:rFonts w:ascii="Times New Roman;serif" w:hAnsi="Times New Roman;serif"/>
          <w:b w:val="false"/>
          <w:color w:val="000000"/>
          <w:sz w:val="20"/>
        </w:rPr>
        <w:t>. Arm China can sublicense our standard IP offerings. Arm China is required to procure our consent in order to sublicense non-standard technology or architectural licenses.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may remove any sublicensable IP that we declare obsolete or no longer generally make available to our licensees, whereupon Arm China’s rights with respect to such IP are limited to licenses it previously granted.</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Arm China may only distribute our IP in accordance with our model license terms provided by us. Any deviations from our model license terms require our consent.</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Pricing</w:t>
      </w:r>
      <w:r>
        <w:rPr>
          <w:rFonts w:ascii="Times New Roman;serif" w:hAnsi="Times New Roman;serif"/>
          <w:b w:val="false"/>
          <w:color w:val="000000"/>
          <w:sz w:val="20"/>
        </w:rPr>
        <w:t>. There are no material restrictions under the IPLA on the prices that Arm China may set for its sublicenses.</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Term</w:t>
      </w:r>
      <w:r>
        <w:rPr>
          <w:rFonts w:ascii="Times New Roman;serif" w:hAnsi="Times New Roman;serif"/>
          <w:b w:val="false"/>
          <w:color w:val="000000"/>
          <w:sz w:val="20"/>
        </w:rPr>
        <w:t>. The initial term of the IPLA is through April 23, 2048, after which the IPLA will automatically renew for consecutive 10-year periods until the later of (a) the last to expire of the patents licensed pursuant to the IPLA expires and (b) the last of the trade secrets licensed pursuant to the IPLA ceases to be confidential (other than through the fault of us or Arm China). During the term of the IPLA, Arm China may grant sublicenses to its PRC customers. There are no material restrictions on the duration of the sublicenses that Arm China provides during the term of the IPLA.</w:t>
      </w:r>
    </w:p>
    <w:p>
      <w:pPr>
        <w:pStyle w:val="TextBody"/>
        <w:bidi w:val="0"/>
        <w:spacing w:lineRule="auto" w:line="288" w:before="60" w:after="240"/>
        <w:ind w:left="0" w:right="0" w:hanging="360"/>
        <w:jc w:val="both"/>
        <w:rPr/>
      </w:pPr>
      <w:r>
        <w:rPr>
          <w:color w:val="000000"/>
        </w:rPr>
        <w:t>•</w:t>
      </w:r>
      <w:r>
        <w:rPr>
          <w:rFonts w:ascii="Times New Roman;serif" w:hAnsi="Times New Roman;serif"/>
          <w:b/>
          <w:i/>
          <w:color w:val="000000"/>
          <w:sz w:val="20"/>
        </w:rPr>
        <w:t>Termination</w:t>
      </w:r>
      <w:r>
        <w:rPr>
          <w:rFonts w:ascii="Times New Roman;serif" w:hAnsi="Times New Roman;serif"/>
          <w:b w:val="false"/>
          <w:color w:val="000000"/>
          <w:sz w:val="20"/>
        </w:rPr>
        <w:t>. We and Arm China each have the ability to unilaterally terminate the IPLA upon the occurrence of standard termination events, such as the non-terminating party’s material uncured breach of the IPLA, bankruptcy or extended force majeure event of at least 180 days having a material adverse effect on the terminating party.</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IPLA, Arm China may also develop its own IP. However, Arm China is only permitted to develop (i) certain derivative products incorporating our IP and (ii) Arm China’s own products that do not incorporate our IP, where such products constitute technology related to IC products or technology that enables companies to build ICs, and exclude any “processor cores.”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under the IPLA, we are contractually obligated to indemnify both Arm China and its PRC customers that sublicense our IP in the event either Arm China or such customers incur damages or costs in lawsuits, administrative proceedings or similar actions based upon a claim that our IP infringes the IP of a third party.</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fiscal years ended March 31, 2026, 2025 and 2024, revenues attributable to our relationship with Arm China were approximately 16%, 17% and 21% of our total revenue, respectively.</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See </w:t>
      </w:r>
      <w:r>
        <w:rPr>
          <w:color w:val="000000"/>
        </w:rPr>
        <w:t>“</w:t>
      </w:r>
      <w:r>
        <w:rPr>
          <w:rFonts w:ascii="Times New Roman;serif" w:hAnsi="Times New Roman;serif"/>
          <w:b w:val="false"/>
          <w:i/>
          <w:color w:val="000000"/>
          <w:sz w:val="20"/>
        </w:rPr>
        <w:t>Item 3. Key Information—D. Risk Factors—Risks Relating to Our Business and Industry—We utilize our commercial relationship with Arm China to access the PRC market for IP revenue. If that commercial relationship no longer existed or deteriorates, our ability to compete in the PRC market and generate IP revenue could be materially and adversely affected”</w:t>
      </w:r>
      <w:r>
        <w:rPr>
          <w:color w:val="000000"/>
        </w:rPr>
        <w:t xml:space="preserve"> </w:t>
      </w:r>
      <w:r>
        <w:rPr>
          <w:rFonts w:ascii="Times New Roman;serif" w:hAnsi="Times New Roman;serif"/>
          <w:b w:val="false"/>
          <w:color w:val="000000"/>
          <w:sz w:val="20"/>
        </w:rPr>
        <w:t xml:space="preserve">and </w:t>
      </w:r>
      <w:r>
        <w:rPr>
          <w:color w:val="000000"/>
        </w:rPr>
        <w:t>“</w:t>
      </w:r>
      <w:r>
        <w:rPr>
          <w:rFonts w:ascii="Times New Roman;serif" w:hAnsi="Times New Roman;serif"/>
          <w:b w:val="false"/>
          <w:i/>
          <w:color w:val="000000"/>
          <w:sz w:val="20"/>
        </w:rPr>
        <w:t>Item 3. Key Information—D. Risk Factors—Risks Relating to Our Business and Industry—Neither we nor SoftBank Group control the operations of Arm China, which operates independently of us.”</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regulation by various governmental agencies, including, but not limited to, such agencies in the U.K., the European Union, the U.S., and the PRC. These laws and regulations affect our activities in areas including, but not limited to, labor, telecommunications, IP ownership and infringement, tax, economic sanctions, import and export requirements and controls, anti-corruption, national security and foreign investment, foreign exchange controls and cash repatriation restrictions, privacy and data protection (such as the GDPR, the U.K. GDPR, and the CCPA), security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pPr>
      <w:r>
        <w:rPr>
          <w:rFonts w:ascii="Times New Roman;serif" w:hAnsi="Times New Roman;serif"/>
          <w:b w:val="false"/>
          <w:color w:val="000000"/>
          <w:sz w:val="20"/>
        </w:rPr>
        <w:t xml:space="preserve">cybersecurity, and data localization requirements, anti-competition, environmental, health and safety, financial reporting and the certification requirements associated with public sector contracts. We monitor changes in these laws, regulations, treaties, and agreements, and believe that we are in material compliance with applicable laws. See </w:t>
      </w:r>
      <w:r>
        <w:rPr>
          <w:color w:val="000000"/>
        </w:rPr>
        <w:t>“</w:t>
      </w:r>
      <w:r>
        <w:rPr>
          <w:rFonts w:ascii="Times New Roman;serif" w:hAnsi="Times New Roman;serif"/>
          <w:b w:val="false"/>
          <w:i/>
          <w:color w:val="000000"/>
          <w:sz w:val="20"/>
        </w:rPr>
        <w:t>Item 3. Key Information—D. Risk Factors—Risks Relating to Government Regulation and Legal Compliance”</w:t>
      </w:r>
      <w:r>
        <w:rPr>
          <w:color w:val="000000"/>
        </w:rPr>
        <w:t xml:space="preserve"> </w:t>
      </w:r>
      <w:r>
        <w:rPr>
          <w:rFonts w:ascii="Times New Roman;serif" w:hAnsi="Times New Roman;serif"/>
          <w:b w:val="false"/>
          <w:color w:val="000000"/>
          <w:sz w:val="20"/>
        </w:rPr>
        <w:t xml:space="preserve">and </w:t>
      </w:r>
      <w:r>
        <w:rPr>
          <w:color w:val="000000"/>
        </w:rPr>
        <w:t>“</w:t>
      </w:r>
      <w:r>
        <w:rPr>
          <w:rFonts w:ascii="Times New Roman;serif" w:hAnsi="Times New Roman;serif"/>
          <w:b w:val="false"/>
          <w:i/>
          <w:color w:val="000000"/>
          <w:sz w:val="20"/>
        </w:rPr>
        <w:t>Item 3. Key Information—D. Risk Factors—Risks Relating to U.S. and U.K. Tax Regimes.”</w:t>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Disclosure Pursuant to Section 13(r) of the Exchange Act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Section 219 of the Iran Threat Reduction and Syria Human Rights Act of 2012 added Section 13(r) to the Exchange Act. Section 13(r) requires an issuer to disclose in its annual or quarterly reports filed with the SEC whether the issuer or any of its affiliates has knowingly engaged in certain activities, transactions or dealings with the Government of Iran, relating to Iran or with designated natural persons or entities involved in terrorism or the proliferation of weapons of mass destruction during the period covered by the annual or quarterly report. Disclosure is required even when the activities were conducted outside the United States by non-U.S. entities and even when such activities were conducted in compliance with applicable law.</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SoftBank Group, through one of its non-U.S. subsidiaries, provides roaming services in Iran through Irancell Telecommunications Services Company. During the year ended March 31, 2026, SoftBank Group had no gross revenues from such services and no net profit was generated. We understand that the SoftBank Group subsidiary intends to continue such services. This subsidiary also provides telecommunications services in the ordinary course of business to accounts affiliated with the Embassy of Iran in Japan. During the year ended March 31, 2026, SoftBank Group estimates that gross revenues and net profit generated by such services were both under $2,000. We understand that the SoftBank Group subsidiary is obligated under contract and intends to continue such services.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SoftBank Group, through one of its non-U.S. indirect subsidiaries, provides office supplies to the Embassy of Iran in Japan. SoftBank Group estimates that gross revenues and net profit generated by such services during the year ended March 31, 2026, were both under $1,000. We understand that the SoftBank Group subsidiary intends to continue such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erif" w:hAnsi="Times New Roman;serif"/>
          <w:b/>
          <w:color w:val="000000"/>
          <w:sz w:val="20"/>
        </w:rPr>
        <w:t>C.    </w:t>
      </w:r>
      <w:r>
        <w:rPr>
          <w:rFonts w:ascii="Times New Roman;serif" w:hAnsi="Times New Roman;serif"/>
          <w:b/>
          <w:i/>
          <w:color w:val="000000"/>
          <w:sz w:val="20"/>
        </w:rPr>
        <w:t>Organizational Structure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May 21, 2026, SoftBank Group beneficially owns approximately 86.4% of our total issued and outstanding ordinary shares and is our parent company. The Company is the parent company of a number of subsidiaries held directly and indirectly which operate and are incorporated around the world. All of the Company’s subsidiaries are, directly or indirectly, owned by the Company. See the subsidiaries of the Company included as Exhibit 8.1 to this Annual Report for a list of the Company’s “significant subsidiaries”, as that term is defined in Section 1-02(w)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erif" w:hAnsi="Times New Roman;serif"/>
          <w:b/>
          <w:color w:val="000000"/>
          <w:sz w:val="20"/>
        </w:rPr>
        <w:t>D.    </w:t>
      </w:r>
      <w:r>
        <w:rPr>
          <w:rFonts w:ascii="Times New Roman;serif" w:hAnsi="Times New Roman;serif"/>
          <w:b/>
          <w:i/>
          <w:color w:val="000000"/>
          <w:sz w:val="20"/>
        </w:rPr>
        <w:t>Property and Equipment</w:t>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We have operating </w:t>
      </w:r>
      <w:r>
        <w:rPr>
          <w:rFonts w:ascii="Times New Roman;serif" w:hAnsi="Times New Roman;serif"/>
          <w:b w:val="false"/>
          <w:color w:val="231F20"/>
          <w:sz w:val="20"/>
        </w:rPr>
        <w:t xml:space="preserve">and finance </w:t>
      </w:r>
      <w:r>
        <w:rPr>
          <w:rFonts w:ascii="Times New Roman;serif" w:hAnsi="Times New Roman;serif"/>
          <w:b w:val="false"/>
          <w:color w:val="000000"/>
          <w:sz w:val="20"/>
        </w:rPr>
        <w:t xml:space="preserve">lease arrangements for office space, data centers, equipment and other corporate assets. As of March 31, 2026, we had operating and finance lease payment obligations of $549 million and $62 million, respectively, with $50 million and $26 million, respectively, payable within twelve months of March 31, 2026. As of March 31, 2026, the Company had seven leases signed but not yet commenced, with an aggregate lease value of approximately $76 million and lease terms expiring through 2035. </w:t>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Facilities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global headquarters are located in Cambridge, U.K., occupying approximately 418,793 square feet of leased office space in the aggregate, with the leases expiring between 2032 and 2044. We also lease additional facilities in Canada, China, France, Germany, Hungary, India, Ireland, Israel, Japan, Norway, Slovenia, South Korea, Sweden, Taiwan, the U.K., and the U.S.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current global headquarters and global offices are well maintained and adequate for our current needs and that suitable additional or substitute space at commercially reasonable terms will be available as needed.</w:t>
      </w:r>
    </w:p>
    <w:p>
      <w:pPr>
        <w:pStyle w:val="TextBody"/>
        <w:bidi w:val="0"/>
        <w:spacing w:lineRule="auto" w:line="288" w:before="120" w:after="240"/>
        <w:ind w:left="0" w:right="0" w:firstLine="360"/>
        <w:jc w:val="both"/>
        <w:rPr/>
      </w:pPr>
      <w:r>
        <w:rPr>
          <w:rFonts w:ascii="Times New Roman;serif" w:hAnsi="Times New Roman;serif"/>
          <w:b w:val="false"/>
          <w:color w:val="000000"/>
          <w:sz w:val="20"/>
        </w:rPr>
        <w:t>See “</w:t>
      </w:r>
      <w:r>
        <w:rPr>
          <w:rFonts w:ascii="Times New Roman;serif" w:hAnsi="Times New Roman;serif"/>
          <w:b w:val="false"/>
          <w:i/>
          <w:color w:val="000000"/>
          <w:sz w:val="20"/>
        </w:rPr>
        <w:t>Item 8. Financial Information—Note 8 - Property and Equipment, Net”</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Item 8. Financial Information—Note 9 - Leases”</w:t>
      </w:r>
      <w:r>
        <w:rPr>
          <w:color w:val="000000"/>
        </w:rPr>
        <w:t xml:space="preserve"> </w:t>
      </w:r>
      <w:r>
        <w:rPr>
          <w:rFonts w:ascii="Times New Roman;serif" w:hAnsi="Times New Roman;serif"/>
          <w:b w:val="false"/>
          <w:color w:val="000000"/>
          <w:sz w:val="20"/>
        </w:rPr>
        <w:t>in the Notes to the Consolidated Financial Statements included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Item 4A.    Unresolved Staﬀ Comments</w:t>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Item 5.    Operating and Financial Review and Prospects</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120" w:after="240"/>
        <w:ind w:left="0" w:right="0" w:firstLine="360"/>
        <w:jc w:val="both"/>
        <w:rPr/>
      </w:pPr>
      <w:r>
        <w:rPr>
          <w:rFonts w:ascii="Times New Roman;serif" w:hAnsi="Times New Roman;serif"/>
          <w:b w:val="false"/>
          <w:i/>
          <w:color w:val="000000"/>
          <w:sz w:val="20"/>
        </w:rPr>
        <w:t xml:space="preserve">You should read the following discussion and analysis of our financial condition and results of operations together with our consolidated financial statements and related notes appearing elsewhere in this Annual Report. Some of the information contained in this discussion and analysis, including information with respect to our plans and strategy for our business and our expectations with respect to liquidity and capital resources, includes forward-looking statements. These forward-looking statements are subject to numerous risks and uncertainties, including, but not limited to, those risks and uncertainties described in the </w:t>
      </w:r>
      <w:r>
        <w:rPr>
          <w:color w:val="000000"/>
        </w:rPr>
        <w:t>“</w:t>
      </w:r>
      <w:r>
        <w:rPr>
          <w:rFonts w:ascii="Times New Roman;serif" w:hAnsi="Times New Roman;serif"/>
          <w:b w:val="false"/>
          <w:i/>
          <w:color w:val="000000"/>
          <w:sz w:val="20"/>
        </w:rPr>
        <w:t>Item 3. Key Information—D. Risk Factors” and “Special Note Regarding Forward-Looking Statements” sections in this Annual Report. Our actual results could differ materially from the results described in or implied by these forward-looking statements.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Recent Events and Transactions</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Litigation with Qualcomm and Nuvia</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31, 2022, we sued Qualcomm Inc. and Qualcomm Technologies, Inc. (together, “Qualcomm”) and Nuvia, Inc. (“Nuvia”) in the U.S. District Court for the District of Delaware alleging that, inter alia, Qualcomm and Nuvia breached the termination provisions of Nuvia’s Architecture License Agreement (the “Nuvia ALA”) with us by failing to destroy technology Nuvia developed under the Nuvia ALA, which we terminated in March 2022 based on Nuvia’s failure to obtain our consent to the assignment of the Nuvia ALA to Qualcomm. Our complaint sought, among other things, specific performance of the Nuvia ALA termination provisions to require Qualcomm and Nuvia to stop using and to destroy the relevant Nuvia technology, and to stop their improper use of our trademarks with their related products. The claims were tried to a jury in December 2024. The jury failed to reach a complete verdict on the three issues presented to it. The jury concluded that certain technology was licensed to Qualcomm under the Qualcomm license and that Qualcomm had not breached the Nuvia ALA but failed to reach a verdict on whether Nuvia breached the Nuvia ALA. Both parties filed post-trial motions seeking judgment as a matter of law, and we also sought a new trial on the issues that were tried. On September 30, 2025, the Court affirmed the jury verdict on the issues on which it reached a conclusion and granted Qualcomm judgment as a matter of law in its favor to conclude that Nuvia did not breach the Nuvia ALA. We have filed an appeal with the United States Court of Appeals for the Third Circuit, which is currently pending.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18, 2024, Qualcomm brought a new action in Delaware against Arm Holdings plc, asserting claims that were rejected for inclusion in the original action. In this new action, Qualcomm asserted that we failed to satisfy certain delivery obligations under Qualcomm’s Architecture License Agreement with us (the “Qualcomm ALA”). On December 16, 2024, Qualcomm amended its complaint to add allegations relating to an Arm notice of breach of the Qualcomm ALA and related tort and anti-competition claims. In 2025, Qualcomm amended its complaint again to add claims relating to an alleged breach of Qualcomm’s Technology License Agreement.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7, 2026, Qualcomm’s motion seeking to add Arm Limited, our wholly-owned subsidiary through which we have historically conducted our business, to the April 2024 lawsuit was denied. Subsequently, Qualcomm filed a separate lawsuit against Arm Limited seeking to make the April 2024 lawsuit’s allegations against Arm Limited. In March 2026, the lawsuit against Arm Limited was consolidated with the April 2024 lawsuit against us. On March 30, 2026, Qualcomm filed an amended complaint against only Arm Limited seeking to add another breach of contract claim. We have moved to strike this new claim. We disagree with the assertions made by Qualcomm (as referred to above) and intend to vigorously defend against them. The case is expected to go to trial in the fourth calendar quarter of 2026.</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Definitive Agreement with Cadence Design Systems, Inc.</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26, 2025, the Company completed the sale of its Artisan foundation IP business, consisting of standard cell libraries, memory compilers, and general-purpose I/Os to Cadence Design Systems, Inc. (“Cadence”) pursuant to the terms of the definitive agreement entered into in April 2025. For the fiscal year ended March 31, 2026, the Company recognized pre-tax gain on business divestiture of $131.0 million in other non-operating income (loss), net in the Consolidated Income Statements. This transaction did not meet the criteria for presentation as discontinued operations as it does not represent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strategic shift that has a major effect on the Company's operations or financial results. In connection with the sale, the Company entered into a transition services agreement pursuant to which the Company and Cadence are providing certain transition support services to each other for a period of up to eighteen months following completion of the sale. The amounts of the transition services are not material. </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Definitive Agreement with DreamBig Semiconductor, Inc.</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October 2025, the Company entered into a definitive agreement to acquire all of the outstanding equity interests of DreamBig Semiconductor, Inc. (“DreamBig”) for approximately $265.0 million in cash, subject to purchase price adjustments. The addition of DreamBig’s advanced networking capabilities, technology, and engineering expertise is expected to enhance the Company’s portfolio and help it deliver more complete solutions. The transaction is expected to close by the end of the second quarter of the fiscal year ending March 31, 2027, subject to customary closing conditions, including the receipt of regulatory approvals.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erif" w:hAnsi="Times New Roman;serif"/>
          <w:b/>
          <w:color w:val="000000"/>
          <w:sz w:val="20"/>
        </w:rPr>
        <w:t>A.    </w:t>
      </w:r>
      <w:r>
        <w:rPr>
          <w:rFonts w:ascii="Times New Roman;serif" w:hAnsi="Times New Roman;serif"/>
          <w:b/>
          <w:i/>
          <w:color w:val="000000"/>
          <w:sz w:val="20"/>
        </w:rPr>
        <w:t>Operating results</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Arm architects, develops, and licenses our high-performance, and energy-efficient Arm compute platforms, and as of March 2026, we have expanded our offerings to include Arm-designed silicon products with the introduction of the Arm AGI CPU. Our CPU products address diverse requirements for performance, power, and specific use cases. Our complementary products include GPU and NPU accelerators, system IP, such as interconnects, and others. The world’s leading technology companies rely on the Arm compute platform to develop their products. Companies utilizing the Arm compute platform can add desired functionality, such as GPUs, NPUs, Wi-Fi connectivity, image processing, and video processing to create a product to meet the needs of their end market. Arm powers everything from the tiniest of sensors to the most powerful supercomputers. The Arm compute platform is the most pervasive architecture in the world and supports a global community of more than 22 million developers. Our platform runs the vast majority of the world’s software, including the operating systems and applications for smartphones, tablets and PCs, data centers and networking equipment, and vehicles, as well as the embedded operating systems in devices such as smart cameras, thermostats, drones and industrial robotics. We believe our platform is well positioned to benefit from the growth in AI workloads. Arm CPUs already run AI workloads in billions of devices from the edge to the cloud, including smartphones, cameras, digital TVs, cars and AI data centers. The CPU is vital in all AI systems, whether it is handling the AI workload entirely or in combination with a co-processor, such as a GPU or an NPU, which specializes in the acceleration of ML algorithms. With the rise of agentic AI and as AI workloads continue to proliferate and grow in complexity, there is heightened emphasis on power-efficient performance and flexibility. In the latest Arm architecture, CPUs, and GPUs, we have added new functionality and instructions to accelerate future AI algorithms and workloads. </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Our Business Model</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open and flexible business model provides access to high-quality CPU and other IP products from our compute platform for a wide range of potential customer types and end markets. Our primary business is licensing our IP products to semiconductor companies, OEMs, CSPs and other organizations to design their chips. Our customers license our IP products for a fee, which gives them access to our designs and enables them to create Arm-based chips. Once a chip has been designed and manufactured with our products, we receive a per-unit royalty on substantially all chips shipped. The royalty has typically been based on a percentage of the ASP of the chip or a fixed fee per unit, and it typically increases as more Arm products are included in the chip. As of March 2026, we also expanded our offerings to include Arm-designed silicon products with the introduction of the Arm AGI CPU, with production expected by the end of calendar year 2026. Our business model enables the widest range of customers with a broad set of options to access Arm products through an agreement best suited to their particular business needs. Our business model includes:</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Arm Total Access Agreements</w:t>
      </w:r>
      <w:r>
        <w:rPr>
          <w:rFonts w:ascii="Times New Roman;serif" w:hAnsi="Times New Roman;serif"/>
          <w:b w:val="false"/>
          <w:color w:val="000000"/>
          <w:sz w:val="20"/>
        </w:rPr>
        <w:t>: Under an Arm Total Access agreement, we license a portfolio of CPU designs and related technologies to a customer in return for an annual fee determined at execution of the agreement. We retain the right, from time to time, to add or remove specific products from the package. The agreement is for a fixed term and may limit the number of concurrent chip designs that may use products from the package.</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Arm Flexible Access Agreements</w:t>
      </w:r>
      <w:r>
        <w:rPr>
          <w:rFonts w:ascii="Times New Roman;serif" w:hAnsi="Times New Roman;serif"/>
          <w:b w:val="false"/>
          <w:color w:val="000000"/>
          <w:sz w:val="20"/>
        </w:rPr>
        <w:t xml:space="preserve">: Under an Arm Flexible Access agreement, we license a portfolio of CPU designs and related technologies to a customer in return for an annual fee determined at execution of the agreement. Unlike an Arm Total Access license, the package of products licensed pursuant to an Arm Flexible Access agreement will not contain our latest products. Although customers are free to experiment with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contained in the Arm Flexible Access package, they must pay a single use license fee for specific products if they include Arm products in a final chip design “tape out,” when the final result of a semiconductor chip design is sent for manufacturing. As with an Arm Total Access agreement, we retain the right, from time to time, to add or remove specific products from the package.</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Technology Licensing Agreements (TLA)</w:t>
      </w:r>
      <w:r>
        <w:rPr>
          <w:rFonts w:ascii="Times New Roman;serif" w:hAnsi="Times New Roman;serif"/>
          <w:b w:val="false"/>
          <w:color w:val="000000"/>
          <w:sz w:val="20"/>
        </w:rPr>
        <w:t>: Under a TLA, we license a single CPU design or other technology design to a customer in return for a fixed license fee. The license may be limited by term (i.e., the number of years during which the licensee is entitled to incorporate our products in new chip designs, but licensees typically have the right to manufacture designs perpetually) and/or by number of uses (i.e., the number of concurrent chip designs that may use our products).</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Architecture License Agreements (ALA)</w:t>
      </w:r>
      <w:r>
        <w:rPr>
          <w:rFonts w:ascii="Times New Roman;serif" w:hAnsi="Times New Roman;serif"/>
          <w:b w:val="false"/>
          <w:color w:val="000000"/>
          <w:sz w:val="20"/>
        </w:rPr>
        <w:t>: Under an ALA, the licensee is allowed to develop their own highly customized CPU designs that is compliant with the Arm instruction set architecture (“ISA”) for a fixed architecture license fee. As the creation of an optimized CPU is very costly and time consuming, architecture licensees will often also license Arm CPU designs to use either as a complementary processor alongside the licensee’s Arm-compliant CPU design, or in other chips where the licensee’s own design is unsuitable.</w:t>
      </w:r>
    </w:p>
    <w:p>
      <w:pPr>
        <w:pStyle w:val="TextBody"/>
        <w:bidi w:val="0"/>
        <w:spacing w:lineRule="auto" w:line="288" w:before="60" w:after="240"/>
        <w:ind w:left="0" w:right="0" w:hanging="360"/>
        <w:jc w:val="both"/>
        <w:rPr/>
      </w:pPr>
      <w:r>
        <w:rPr>
          <w:color w:val="000000"/>
        </w:rPr>
        <w:t>•</w:t>
      </w:r>
      <w:r>
        <w:rPr>
          <w:rFonts w:ascii="Times New Roman;serif" w:hAnsi="Times New Roman;serif"/>
          <w:b/>
          <w:i/>
          <w:color w:val="000000"/>
          <w:sz w:val="20"/>
        </w:rPr>
        <w:t>Royalty Fees</w:t>
      </w:r>
      <w:r>
        <w:rPr>
          <w:rFonts w:ascii="Times New Roman;serif" w:hAnsi="Times New Roman;serif"/>
          <w:b w:val="false"/>
          <w:color w:val="000000"/>
          <w:sz w:val="20"/>
        </w:rPr>
        <w:t xml:space="preserve">: We generate the majority of our revenue from customers who enter into license agreements, pursuant to which we receive royalty fees based on average selling price of the customer’s Arm-based chip or a fixed fee per chip. Royalty revenue is impacted primarily by the adoption of our products by the licensee as well as other factors, such as product lifecycles, customer’s business performance, market trends and global supply constraints.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Total Revenue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Most of our licenses have two components: license fees and support and maintenance fees (recognized as license and other revenue) and per-chip royalties (recognized as royalty revenue). However, some licenses can have multiple payment milestones that are date-based or event-based (e.g., six months after the effective date of the contract or upon tape-out of the first chip design).</w:t>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We disaggregate revenue into the following categories for major product offerings:</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License and Other Revenue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License and other revenue include revenue from licensing, software development tools, design services, training, support, and all other fees that do not constitute royalty revenue. The products licensed by us consist of design information and related documentation to enable a customer to design and manufacture semiconductor chips and related technology. Over the term of a license, contractual payments can generally range from hundreds of thousands of dollars to hundreds of millions of dollars, depending on the type of license, its duration, and the type of product that is being licensed. A license may be perpetual, use-limited or time-limited in its application. Delivery (i.e., providing the customer access to the licensed products) generally occurs within a short period after executing a license agreement. In some cases, we may license products that are still under development, in which case delivery can be many months, or even years, after executing a license agreement. We generate a significant proportion of our Licensing and other revenue from a relatively small number of customers.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License fees are invoiced pursuant to an agreed schedule. Typically, the first invoice is generated upon signing of the license agreement, and licensing and other revenue is recognized upon delivery of the products. In addition to the license fees, our license agreements generally provide for customer support services, which consist of telephonic or e-mail support. Fees for customer support services are generally specified in the contract. Typically, no upgrades to the licensed products are provided, except those updates and upgrades provided on a when-and-if-available basis. Revenue from customer service support is recorded within other revenue.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Arm Flexible Access agreements provide our customers with access to a wide range of processor, graphics, and systems products, especially older and less performant products. Arm Flexible Access agreements have two components: an annual low-cost portfolio license fee payable in installments and a license fee once they have reached “tape-out,” which occurs when the final result of our customer’s semiconductor chip design incorporating our products is sent for manufacturing, at which point they decide which of our products they wish to deploy in their chip. We believe that Arm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Flexible Access agreements are most suitable for smaller companies, including start-ups and business units of larger companies, that want to experiment with different configurations of our products before committing to a chip design.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Arm Total Access agreements also provide our customers with access to a package of our products, including processor, graphics, and systems products. Arm Total Access customers have the option to license our most advanced processors as part of the package. Arm Total Access customers pay a periodic portfolio license fee to maintain access to our products. There are no additional fees payable by our customers under our Arm Total Access agreements upon tape-out because manufacturing design rights are included within the portfolio license fee and are reflected in the license pricing. We believe that Arm Total Access agreements are most suitable for larger, established, semiconductor companies who expect to deploy our products in a wide range of their products.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provide software development tools and a range of services to companies developing chips based on our products. These tools and services include, among others: (i) software development tools for engineers to write and debug software on Arm processors, (ii) design license and development services to customize technology IP tailored towards customers’ specific needs, (iii) training on our products and how to write software to utilize their functionality and capability, and (iv) support and maintenance, for which we generally require an annual fee for a minimum of one year.</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Royalty Revenue</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Royalties are generally either set as a percentage of the licensee’s average selling price per chip or as a fixed amount per chip. The royalty rates per chip typically reduce over time as the total volume of chips incorporating our products shipped increases; notwithstanding such reductions in royalty rates and fees per chip, license agreements with component manufacturing customers typically include a minimum royalty percentage or fee per chip. Royalty payment schedules in individual license agreements vary depending on the nature of the license and the degree of market acceptance of our products on the date the license agreement is executed. In addition, the amount of royalty payments in respect of our products can increase as the customer integrates more of our products into the chip. See </w:t>
      </w:r>
      <w:r>
        <w:rPr>
          <w:color w:val="000000"/>
        </w:rPr>
        <w:t>“</w:t>
      </w:r>
      <w:r>
        <w:rPr>
          <w:rFonts w:ascii="Times New Roman;serif" w:hAnsi="Times New Roman;serif"/>
          <w:b w:val="false"/>
          <w:i/>
          <w:color w:val="000000"/>
          <w:sz w:val="20"/>
        </w:rPr>
        <w:t>D. Trend Information—Key Factors and Trends Affecting Our Operating Results—Ability to Provide Our Customers with More Value Per Chip</w:t>
      </w:r>
      <w:r>
        <w:rPr>
          <w:color w:val="000000"/>
        </w:rPr>
        <w:t xml:space="preserve">” </w:t>
      </w:r>
      <w:r>
        <w:rPr>
          <w:rFonts w:ascii="Times New Roman;serif" w:hAnsi="Times New Roman;serif"/>
          <w:b w:val="false"/>
          <w:color w:val="000000"/>
          <w:sz w:val="20"/>
        </w:rPr>
        <w:t>for examples of how customers may incorporate multiple products in a single chip. License contracts require the licensee to issue royalty reports, including details of chip sales, to us on a quarterly basis.</w:t>
      </w:r>
    </w:p>
    <w:p>
      <w:pPr>
        <w:pStyle w:val="TextBody"/>
        <w:bidi w:val="0"/>
        <w:spacing w:lineRule="auto" w:line="288" w:before="120" w:after="240"/>
        <w:ind w:left="0" w:right="0" w:firstLine="360"/>
        <w:jc w:val="both"/>
        <w:rPr/>
      </w:pPr>
      <w:r>
        <w:rPr>
          <w:rFonts w:ascii="Times New Roman;serif" w:hAnsi="Times New Roman;serif"/>
          <w:b w:val="false"/>
          <w:color w:val="000000"/>
          <w:sz w:val="20"/>
        </w:rPr>
        <w:t>Royalty revenue is recognized on an accrual basis in the quarter in which the customers ship chips containing our products,</w:t>
      </w:r>
      <w:r>
        <w:rPr>
          <w:color w:val="231F20"/>
        </w:rPr>
        <w:t xml:space="preserve"> </w:t>
      </w:r>
      <w:r>
        <w:rPr>
          <w:rFonts w:ascii="Times New Roman;serif" w:hAnsi="Times New Roman;serif"/>
          <w:b w:val="false"/>
          <w:color w:val="231F20"/>
          <w:sz w:val="20"/>
        </w:rPr>
        <w:t>using estimates from sales trends and judgment for several key attributes, including industry estimates of expected shipments, the mix of products sold, the percentage of markets using our products, and average selling price. Adjustments to revenue are required in subsequent periods to reflect changes in estimates as new information becomes available, primarily resulting from actual amounts subsequently reported by the licensees in the period following the accrual, including royalty audit resolutions.</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Revenue from External Customers and Related Parties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separately present revenue derived from contracts with our external customers and those derived from related parties. Revenue from related parties is derived from Arm China, customers in which we have an equity method investment, and other entities related to us by virtue of common control by SoftBank Group.</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sales (“COS”) is comprised primarily of the costs of providing technical support and training to our customers. Occasionally, some engineering costs may be classified as COS if one of our IP products is being customized as part of professional and design services that are directly attributable to revenue generation from customers. COS expenses consist primarily of employee-related expenses, project costs associated with professional services and the provision of support and maintenance to customers, along with expenses related to license development services revenue, amortization of developed technology, and allocated overhead. Employee-related expenses include salaries, bonuses, share-based compensation and associated benefits.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is at the heart of our business and critical to our future success. Accordingly, we have always invested, and intend to continue to invest, significant resources in our research and development program, including allocating resources to develop new products, including production silicon products, such as the Arm AGI CPU, CSS,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chiplets, complete chip solutions, and other more integrated compute products. In order to develop new products, we have recruited and hired engineers and other employees, and may in the future need to recruit and hire engineers or other employees or acquire companies, that possess the requisite expertise. To the extent that we do not have the technical expertise, financial resources or other capabilities for a particular research and development project with respect to new products or solutions, we have partnered, and may in the future partner, with third parties. Our vision to invest and develop new products is driven by our desire to maintain or increase our market share and create value for our customers. By developing and licensing innovative products, we allow our customers to focus their resources on competitive differentiation, unique to their own ability to differentiate.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substantially increased our research and development investment to focus on long-term returns and to replicate the strong position that we maintain in smartphones and in other markets, such as automotive, networking equipment, cloud compute and industrial IoT. Each generation of processor is typically more advanced and more complex than the previous generation, which requires increased development efforts that may be partially offset by improvements in productivity. Consequently, each year we increase our research and development investment in line with the increased development needs of the next generation of products. Engineers are in high demand and well-remunerated, and accordingly our increased research and development activity will continue to result in an increase in costs, principally driven by salaries for such technical employees and the costs of tools they need.</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employee-related expenses, including salaries, bonuses, share-based compensation, and benefits associated with employees in research and development functions, along with project materials costs, third-party fees paid to consultants, depreciation and amortization, allocated overhead, information technology and other development expenses. We receive government grants to compensate for certain research activities and we recognize the benefit as a reduction of the related expenses included in research and development expenses.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engineering teams are well supported by vital selling, general and administrative functions. Selling, general and administrative expenses consist primarily of employee-related expenses, including salaries, bonuses, share-based compensation, and benefits associated with employees in sales and marketing, along with corporate and administrative functions, including accounting and legal professional services fees, depreciation and amortization, advertising expenses, allocated overhead, information technology and other corporate-related expenses.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Disposal, Restructuring and Other Operating Expenses, Net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2023, we terminated an agreement with Arm China for certain software engineering-related services, which have been brought in-house. The contract termination costs are included in disposal, restructuring and other operating expenses, net in the Consolidated Income Statements.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October 2025, we commenced a restructuring plan to align our engineering workforce with strategic business activities. The expenses associated with this plan are included within disposal, restructuring and other operating expenses, net in the Consolidated Income Statements and consist of employee termination benefits and other related costs.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Disposal expenses consist primarily of transaction costs, such as legal and professional fees, relating to various disposal activities. Restructuring and other operating expenses consist primarily of employee termination benefits and contract termination costs. Recognition of costs for employee termination benefits depends on whether employees are required to render service beyond a minimum retention period in order to receive the termination benefits. If employees are required to render service beyond a minimum retention period in order to receive the termination benefits, costs are recognized ratably over the applicable future service period. Otherwise, costs are recognized when we have committed to a restructuring plan and have communicated those actions to employees. Employee termination benefits covered by existing benefit arrangements are recognized when we have committed to a restructuring plan and the termination benefits are probable and estimable.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Income (Loss) from Equity Investments, Net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(loss) from equity investments, net includes changes in the fair value of certain equity method investments for which we elect to apply fair value accounting or at the net asset value (“NAV”), our proportionate share of equity method investee income or loss for certain equity method investments, and gains and losses on other marketable and non-marketable securities. Our proportionate share of income or loss from equity method investments accounted for under the equity method is recognized in the subsequent quarter of which such income or loss is recognized by our investee.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Interest Income, Net</w:t>
      </w:r>
    </w:p>
    <w:p>
      <w:pPr>
        <w:pStyle w:val="TextBody"/>
        <w:bidi w:val="0"/>
        <w:spacing w:lineRule="auto" w:line="288" w:before="120" w:after="240"/>
        <w:ind w:left="0" w:right="0" w:firstLine="360"/>
        <w:jc w:val="both"/>
        <w:rPr/>
      </w:pPr>
      <w:r>
        <w:rPr>
          <w:rFonts w:ascii="Times New Roman;serif" w:hAnsi="Times New Roman;serif"/>
          <w:b w:val="false"/>
          <w:color w:val="000000"/>
          <w:sz w:val="20"/>
        </w:rPr>
        <w:t>Interest income consists primarily of interest received on cash and cash equivalents, short-term investments that we hold wit</w:t>
      </w:r>
      <w:r>
        <w:rPr>
          <w:rFonts w:ascii="Times New Roman;serif" w:hAnsi="Times New Roman;serif"/>
          <w:b w:val="false"/>
          <w:color w:val="231F20"/>
          <w:sz w:val="20"/>
        </w:rPr>
        <w:t>h various financial institutions, and loans receivable. Interest expense consists primarily of interest on finance leases.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Other Non-Operating Income (Loss), Net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non-operating income (loss), net consists of one-time gains and losses and other miscellaneous income and expense items unrelated to our core operations, including gains or losses arising from changes in the fair value of derivative financial instruments, gains or losses on realized and unrealized foreign currency exchange including foreign exchange contracts, changes in the fair value of convertible loans receivable, and gains or losses on business divestitures.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Income Tax Benefit (Expense) </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Income tax benefit (expense) consists of income taxes incurred in the United Kingdom and the foreign jurisdictions in which we operate. For additional information, including a reconciliation of the United Kingdom statutory income tax rate to our effective tax rate, see </w:t>
      </w:r>
      <w:r>
        <w:rPr>
          <w:rFonts w:ascii="Times New Roman;serif" w:hAnsi="Times New Roman;serif"/>
          <w:b w:val="false"/>
          <w:i/>
          <w:color w:val="000000"/>
          <w:sz w:val="20"/>
        </w:rPr>
        <w:t>Note 16 - Income Taxes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following table sets forth the components of operations from our annual audited Consolidated Income Statements and such data as a percentage of total revenue on an absolute basis, for the periods indicated:</w:t>
      </w:r>
    </w:p>
    <w:tbl>
      <w:tblPr>
        <w:tblW w:w="10205" w:type="dxa"/>
        <w:jc w:val="left"/>
        <w:tblInd w:w="0" w:type="dxa"/>
        <w:tblLayout w:type="fixed"/>
        <w:tblCellMar>
          <w:top w:w="28" w:type="dxa"/>
          <w:left w:w="28" w:type="dxa"/>
          <w:bottom w:w="28" w:type="dxa"/>
          <w:right w:w="28" w:type="dxa"/>
        </w:tblCellMar>
      </w:tblPr>
      <w:tblGrid>
        <w:gridCol w:w="1195"/>
        <w:gridCol w:w="966"/>
        <w:gridCol w:w="971"/>
        <w:gridCol w:w="109"/>
        <w:gridCol w:w="109"/>
        <w:gridCol w:w="109"/>
        <w:gridCol w:w="211"/>
        <w:gridCol w:w="616"/>
        <w:gridCol w:w="109"/>
        <w:gridCol w:w="274"/>
        <w:gridCol w:w="236"/>
        <w:gridCol w:w="567"/>
        <w:gridCol w:w="109"/>
        <w:gridCol w:w="109"/>
        <w:gridCol w:w="109"/>
        <w:gridCol w:w="211"/>
        <w:gridCol w:w="616"/>
        <w:gridCol w:w="109"/>
        <w:gridCol w:w="274"/>
        <w:gridCol w:w="236"/>
        <w:gridCol w:w="567"/>
        <w:gridCol w:w="109"/>
        <w:gridCol w:w="109"/>
        <w:gridCol w:w="109"/>
        <w:gridCol w:w="211"/>
        <w:gridCol w:w="616"/>
        <w:gridCol w:w="109"/>
        <w:gridCol w:w="259"/>
        <w:gridCol w:w="235"/>
        <w:gridCol w:w="636"/>
      </w:tblGrid>
      <w:tr>
        <w:trPr/>
        <w:tc>
          <w:tcPr>
            <w:tcW w:w="119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3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6"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r>
      <w:tr>
        <w:trPr/>
        <w:tc>
          <w:tcPr>
            <w:tcW w:w="31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of revenue</w:t>
            </w:r>
          </w:p>
        </w:tc>
      </w:tr>
      <w:tr>
        <w:trPr/>
        <w:tc>
          <w:tcPr>
            <w:tcW w:w="3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5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6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5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5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6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6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6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1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Disposal, restructuring and other operating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6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Total operating expenses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5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5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6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6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Income (loss) before income taxes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6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Percentages are calculated from the amounts presented and may not add to their respective totals due to rounding.</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Comparison of Performance for the Fiscal Years Ended March 31, 2026 and 2025</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Total revenue</w:t>
      </w:r>
    </w:p>
    <w:tbl>
      <w:tblPr>
        <w:tblW w:w="11553"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211"/>
        <w:gridCol w:w="616"/>
        <w:gridCol w:w="109"/>
        <w:gridCol w:w="109"/>
        <w:gridCol w:w="109"/>
        <w:gridCol w:w="109"/>
        <w:gridCol w:w="211"/>
        <w:gridCol w:w="616"/>
        <w:gridCol w:w="109"/>
        <w:gridCol w:w="220"/>
        <w:gridCol w:w="220"/>
        <w:gridCol w:w="551"/>
        <w:gridCol w:w="109"/>
        <w:gridCol w:w="109"/>
        <w:gridCol w:w="109"/>
        <w:gridCol w:w="211"/>
        <w:gridCol w:w="616"/>
        <w:gridCol w:w="109"/>
        <w:gridCol w:w="109"/>
        <w:gridCol w:w="109"/>
        <w:gridCol w:w="109"/>
        <w:gridCol w:w="211"/>
        <w:gridCol w:w="466"/>
        <w:gridCol w:w="109"/>
        <w:gridCol w:w="233"/>
        <w:gridCol w:w="233"/>
        <w:gridCol w:w="551"/>
        <w:gridCol w:w="109"/>
        <w:gridCol w:w="109"/>
        <w:gridCol w:w="109"/>
        <w:gridCol w:w="211"/>
        <w:gridCol w:w="616"/>
        <w:gridCol w:w="109"/>
        <w:gridCol w:w="109"/>
        <w:gridCol w:w="109"/>
        <w:gridCol w:w="109"/>
        <w:gridCol w:w="211"/>
        <w:gridCol w:w="616"/>
        <w:gridCol w:w="109"/>
        <w:gridCol w:w="211"/>
        <w:gridCol w:w="211"/>
        <w:gridCol w:w="61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5" w:type="dxa"/>
            <w:gridSpan w:val="4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External Customers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Related Parties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6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1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1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Total revenue increased $913 million, or 23%, to $4,920 million during the fiscal year ended March 31, 2026, from total revenue of $4,007 million during the fiscal year ended March 31, 2025. License and other revenue increased $468 million, or 25%, during the fiscal year ended March 31, 2026, as compared to the fiscal year ended March 31, 2025, </w:t>
      </w:r>
      <w:r>
        <w:rPr>
          <w:rFonts w:ascii="Times New Roman;serif" w:hAnsi="Times New Roman;serif"/>
          <w:b w:val="false"/>
          <w:color w:val="231F20"/>
          <w:sz w:val="20"/>
        </w:rPr>
        <w:t>p</w:t>
      </w:r>
      <w:r>
        <w:rPr>
          <w:rFonts w:ascii="Times New Roman;serif" w:hAnsi="Times New Roman;serif"/>
          <w:b w:val="false"/>
          <w:color w:val="000000"/>
          <w:sz w:val="20"/>
        </w:rPr>
        <w:t xml:space="preserve">rimarily driven by continued strong demand for Arm IP, as well as fluctuation in </w:t>
      </w:r>
      <w:r>
        <w:rPr>
          <w:rFonts w:ascii="Times New Roman;serif" w:hAnsi="Times New Roman;serif"/>
          <w:b w:val="false"/>
          <w:color w:val="231F20"/>
          <w:sz w:val="20"/>
        </w:rPr>
        <w:t>timing and size</w:t>
      </w:r>
      <w:r>
        <w:rPr>
          <w:color w:val="000000"/>
        </w:rPr>
        <w:t xml:space="preserve"> </w:t>
      </w:r>
      <w:r>
        <w:rPr>
          <w:rFonts w:ascii="Times New Roman;serif" w:hAnsi="Times New Roman;serif"/>
          <w:b w:val="false"/>
          <w:color w:val="000000"/>
          <w:sz w:val="20"/>
        </w:rPr>
        <w:t>of multiple high-value license agreements and contributions from backlog into the current period from arrangements entered in prior periods.</w:t>
      </w:r>
      <w:r>
        <w:rPr>
          <w:color w:val="231F20"/>
        </w:rPr>
        <w:t xml:space="preserve"> </w:t>
      </w:r>
      <w:r>
        <w:rPr>
          <w:rFonts w:ascii="Times New Roman;serif" w:hAnsi="Times New Roman;serif"/>
          <w:b w:val="false"/>
          <w:color w:val="000000"/>
          <w:sz w:val="20"/>
        </w:rPr>
        <w:t xml:space="preserve">Royalty revenue increased $445 million, or 21%, during the fiscal year ended March 31, 2026 as compared to the fiscal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pPr>
      <w:r>
        <w:rPr>
          <w:rFonts w:ascii="Times New Roman;serif" w:hAnsi="Times New Roman;serif"/>
          <w:b w:val="false"/>
          <w:color w:val="000000"/>
          <w:sz w:val="20"/>
        </w:rPr>
        <w:t>year ended March 31, 2025,</w:t>
      </w:r>
      <w:r>
        <w:rPr>
          <w:color w:val="231F20"/>
        </w:rPr>
        <w:t xml:space="preserve"> </w:t>
      </w:r>
      <w:r>
        <w:rPr>
          <w:rFonts w:ascii="Times New Roman;serif" w:hAnsi="Times New Roman;serif"/>
          <w:b w:val="false"/>
          <w:color w:val="231F20"/>
          <w:sz w:val="20"/>
        </w:rPr>
        <w:t xml:space="preserve">driven </w:t>
      </w:r>
      <w:r>
        <w:rPr>
          <w:rFonts w:ascii="Times New Roman;serif" w:hAnsi="Times New Roman;serif"/>
          <w:b w:val="false"/>
          <w:color w:val="000000"/>
          <w:sz w:val="20"/>
        </w:rPr>
        <w:t>by an improved mix of products with higher royalty rates per chip, such as Armv9 technology.</w:t>
      </w:r>
    </w:p>
    <w:p>
      <w:pPr>
        <w:pStyle w:val="TextBody"/>
        <w:bidi w:val="0"/>
        <w:spacing w:lineRule="auto" w:line="288" w:before="120" w:after="240"/>
        <w:ind w:left="0" w:right="0" w:firstLine="360"/>
        <w:jc w:val="both"/>
        <w:rPr/>
      </w:pPr>
      <w:r>
        <w:rPr>
          <w:rFonts w:ascii="Times New Roman;serif" w:hAnsi="Times New Roman;serif"/>
          <w:b w:val="false"/>
          <w:color w:val="000000"/>
          <w:sz w:val="20"/>
        </w:rPr>
        <w:t>Revenu</w:t>
      </w:r>
      <w:r>
        <w:rPr>
          <w:rFonts w:ascii="Times New Roman;serif" w:hAnsi="Times New Roman;serif"/>
          <w:b w:val="false"/>
          <w:color w:val="231F20"/>
          <w:sz w:val="20"/>
        </w:rPr>
        <w:t>e from external customers</w:t>
      </w:r>
      <w:r>
        <w:rPr>
          <w:color w:val="000000"/>
        </w:rPr>
        <w:t xml:space="preserve"> </w:t>
      </w:r>
      <w:r>
        <w:rPr>
          <w:rFonts w:ascii="Times New Roman;serif" w:hAnsi="Times New Roman;serif"/>
          <w:b w:val="false"/>
          <w:color w:val="000000"/>
          <w:sz w:val="20"/>
        </w:rPr>
        <w:t xml:space="preserve">increased $237 million, or 7%, during the fiscal year ended March 31, 2026, as compared to the fiscal year ended March 31, 2025, driven by a $360 million, or 20%, increase in royalty revenue, offset by a $123 million, or 9%, decrease in license and other revenue. Revenue from related parties increased $676 million, or 82%, during the fiscal year ended March 31, 2026 as compared to the fiscal year ended March 31, 2025, primarily driven by </w:t>
      </w:r>
      <w:r>
        <w:rPr>
          <w:rFonts w:ascii="Times New Roman;serif" w:hAnsi="Times New Roman;serif"/>
          <w:b w:val="false"/>
          <w:color w:val="231F20"/>
          <w:sz w:val="20"/>
        </w:rPr>
        <w:t xml:space="preserve">a </w:t>
      </w:r>
      <w:r>
        <w:rPr>
          <w:rFonts w:ascii="Times New Roman;serif" w:hAnsi="Times New Roman;serif"/>
          <w:b w:val="false"/>
          <w:color w:val="000000"/>
          <w:sz w:val="20"/>
        </w:rPr>
        <w:t>$591 million, or 141%, increase in license and</w:t>
      </w:r>
      <w:r>
        <w:rPr>
          <w:color w:val="231F20"/>
        </w:rPr>
        <w:t xml:space="preserve"> </w:t>
      </w:r>
      <w:r>
        <w:rPr>
          <w:rFonts w:ascii="Times New Roman;serif" w:hAnsi="Times New Roman;serif"/>
          <w:b w:val="false"/>
          <w:color w:val="231F20"/>
          <w:sz w:val="20"/>
        </w:rPr>
        <w:t xml:space="preserve">other revenue and a $85 million, or </w:t>
      </w:r>
      <w:r>
        <w:rPr>
          <w:rFonts w:ascii="Times New Roman;serif" w:hAnsi="Times New Roman;serif"/>
          <w:b w:val="false"/>
          <w:color w:val="000000"/>
          <w:sz w:val="20"/>
        </w:rPr>
        <w:t>21%</w:t>
      </w:r>
      <w:r>
        <w:rPr>
          <w:rFonts w:ascii="Times New Roman;serif" w:hAnsi="Times New Roman;serif"/>
          <w:b w:val="false"/>
          <w:color w:val="231F20"/>
          <w:sz w:val="20"/>
        </w:rPr>
        <w:t xml:space="preserve">, increase in royalty revenue. The drivers for the changes in revenue from external customers for both periods were broadly aligned with the overall trends in license and other revenue and royalty revenue described above, with external customer revenue reflecting strong growth in royalty revenue that outweighed the decline in license and other revenue. </w:t>
      </w:r>
      <w:r>
        <w:rPr>
          <w:rFonts w:ascii="Times New Roman;serif" w:hAnsi="Times New Roman;serif"/>
          <w:b w:val="false"/>
          <w:color w:val="000000"/>
          <w:sz w:val="20"/>
        </w:rPr>
        <w:t xml:space="preserve">For additional financial information relating to our revenue from related parties, see </w:t>
      </w:r>
      <w:r>
        <w:rPr>
          <w:color w:val="000000"/>
        </w:rPr>
        <w:t>“</w:t>
      </w:r>
      <w:r>
        <w:rPr>
          <w:rFonts w:ascii="Times New Roman;serif" w:hAnsi="Times New Roman;serif"/>
          <w:b w:val="false"/>
          <w:i/>
          <w:color w:val="000000"/>
          <w:sz w:val="20"/>
        </w:rPr>
        <w:t>Item 8. Financial Information—Note 20—Related Party Transactions”</w:t>
      </w:r>
      <w:r>
        <w:rPr>
          <w:color w:val="000000"/>
        </w:rPr>
        <w:t xml:space="preserve"> </w:t>
      </w:r>
      <w:r>
        <w:rPr>
          <w:rFonts w:ascii="Times New Roman;serif" w:hAnsi="Times New Roman;serif"/>
          <w:b w:val="false"/>
          <w:color w:val="000000"/>
          <w:sz w:val="20"/>
        </w:rPr>
        <w:t>in the Notes to the Consolidated Financial Statements included in this Annual Report</w:t>
      </w:r>
      <w:r>
        <w:rPr>
          <w:rFonts w:ascii="Times New Roman;serif" w:hAnsi="Times New Roman;serif"/>
          <w:b w:val="false"/>
          <w:color w:val="231F20"/>
          <w:sz w:val="20"/>
        </w:rPr>
        <w:t>.</w:t>
      </w:r>
    </w:p>
    <w:p>
      <w:pPr>
        <w:pStyle w:val="TextBody"/>
        <w:bidi w:val="0"/>
        <w:spacing w:lineRule="auto" w:line="288" w:before="120" w:after="283"/>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In March 2026, we announced the expansion of our compute platform into production silicon products with the Arm AGI CPU, which did not have a material impact to our revenue for the fiscal year ended March 31, 2026.</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fiscal years ended March 31, 2026 and 2025, revenue from sales to customers outside of the U.S. accounted for approximately 64% and approximately 57% of total revenue, respectively. Less than 2% of our total revenue is denominated in currencies other than U.S. dollars, and the impact of changes in foreign exchange rates on our revenue for the fiscal years ended March 31, 2026 and 2025 was immaterial. </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Cost of sales</w:t>
      </w:r>
    </w:p>
    <w:tbl>
      <w:tblPr>
        <w:tblW w:w="8430" w:type="dxa"/>
        <w:jc w:val="left"/>
        <w:tblInd w:w="0" w:type="dxa"/>
        <w:tblLayout w:type="fixed"/>
        <w:tblCellMar>
          <w:top w:w="28" w:type="dxa"/>
          <w:left w:w="28" w:type="dxa"/>
          <w:bottom w:w="28" w:type="dxa"/>
          <w:right w:w="28" w:type="dxa"/>
        </w:tblCellMar>
      </w:tblPr>
      <w:tblGrid>
        <w:gridCol w:w="998"/>
        <w:gridCol w:w="878"/>
        <w:gridCol w:w="883"/>
        <w:gridCol w:w="109"/>
        <w:gridCol w:w="109"/>
        <w:gridCol w:w="109"/>
        <w:gridCol w:w="109"/>
        <w:gridCol w:w="109"/>
        <w:gridCol w:w="216"/>
        <w:gridCol w:w="216"/>
        <w:gridCol w:w="216"/>
        <w:gridCol w:w="216"/>
        <w:gridCol w:w="419"/>
        <w:gridCol w:w="1076"/>
        <w:gridCol w:w="216"/>
        <w:gridCol w:w="109"/>
        <w:gridCol w:w="109"/>
        <w:gridCol w:w="109"/>
        <w:gridCol w:w="211"/>
        <w:gridCol w:w="541"/>
        <w:gridCol w:w="109"/>
        <w:gridCol w:w="109"/>
        <w:gridCol w:w="109"/>
        <w:gridCol w:w="109"/>
        <w:gridCol w:w="211"/>
        <w:gridCol w:w="211"/>
        <w:gridCol w:w="614"/>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5"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c>
          <w:tcPr>
            <w:tcW w:w="2551" w:type="dxa"/>
            <w:gridSpan w:val="12"/>
            <w:tcBorders/>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Cost of sales remained flat during the fiscal year ended March 31, 2026, as compared to the fiscal year ended March 31, 2025, primarily due to decreases in activities associated with professional and design services, offset by increases in </w:t>
      </w:r>
      <w:r>
        <w:rPr>
          <w:rFonts w:ascii="Times New Roman;serif" w:hAnsi="Times New Roman;serif"/>
          <w:b w:val="false"/>
          <w:color w:val="231F20"/>
          <w:sz w:val="20"/>
        </w:rPr>
        <w:t>salaries and related expenses, share-based compensation costs and depreciation</w:t>
      </w:r>
      <w:r>
        <w:rPr>
          <w:rFonts w:ascii="Times New Roman;serif" w:hAnsi="Times New Roman;serif"/>
          <w:b w:val="false"/>
          <w:color w:val="000000"/>
          <w:sz w:val="20"/>
        </w:rPr>
        <w:t>.</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w:t>
      </w:r>
    </w:p>
    <w:tbl>
      <w:tblPr>
        <w:tblW w:w="8583" w:type="dxa"/>
        <w:jc w:val="left"/>
        <w:tblInd w:w="0" w:type="dxa"/>
        <w:tblLayout w:type="fixed"/>
        <w:tblCellMar>
          <w:top w:w="28" w:type="dxa"/>
          <w:left w:w="28" w:type="dxa"/>
          <w:bottom w:w="28" w:type="dxa"/>
          <w:right w:w="28" w:type="dxa"/>
        </w:tblCellMar>
      </w:tblPr>
      <w:tblGrid>
        <w:gridCol w:w="998"/>
        <w:gridCol w:w="878"/>
        <w:gridCol w:w="883"/>
        <w:gridCol w:w="109"/>
        <w:gridCol w:w="109"/>
        <w:gridCol w:w="109"/>
        <w:gridCol w:w="109"/>
        <w:gridCol w:w="109"/>
        <w:gridCol w:w="194"/>
        <w:gridCol w:w="194"/>
        <w:gridCol w:w="194"/>
        <w:gridCol w:w="194"/>
        <w:gridCol w:w="376"/>
        <w:gridCol w:w="1232"/>
        <w:gridCol w:w="194"/>
        <w:gridCol w:w="109"/>
        <w:gridCol w:w="109"/>
        <w:gridCol w:w="109"/>
        <w:gridCol w:w="211"/>
        <w:gridCol w:w="691"/>
        <w:gridCol w:w="109"/>
        <w:gridCol w:w="109"/>
        <w:gridCol w:w="109"/>
        <w:gridCol w:w="109"/>
        <w:gridCol w:w="211"/>
        <w:gridCol w:w="211"/>
        <w:gridCol w:w="614"/>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c>
          <w:tcPr>
            <w:tcW w:w="2701" w:type="dxa"/>
            <w:gridSpan w:val="12"/>
            <w:tcBorders/>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(2,776)</w:t>
            </w:r>
          </w:p>
        </w:tc>
        <w:tc>
          <w:tcPr>
            <w:tcW w:w="1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6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Research and development expenses increased by $705 million, or 34%, during the fiscal year ended March 31, 2026, as compared to the fiscal year ended March 31, 2025, primarily due to increases in </w:t>
      </w:r>
      <w:r>
        <w:rPr>
          <w:rFonts w:ascii="Times New Roman;serif" w:hAnsi="Times New Roman;serif"/>
          <w:b w:val="false"/>
          <w:color w:val="231F20"/>
          <w:sz w:val="20"/>
        </w:rPr>
        <w:t xml:space="preserve">research and development expenses related to investments in next generation products, such as the Arm AGI CPU. The increase was primarily due to increases in salaries and related expenses as a result of headcount growth from hiring, share-based compensation costs, cloud services and IT expenses, engineering expenses, depreciation, allocated facility overhead and amortization, which was partially offset by an increase in research and development tax credits. </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w:t>
      </w:r>
    </w:p>
    <w:tbl>
      <w:tblPr>
        <w:tblW w:w="6844" w:type="dxa"/>
        <w:jc w:val="left"/>
        <w:tblInd w:w="0" w:type="dxa"/>
        <w:tblLayout w:type="fixed"/>
        <w:tblCellMar>
          <w:top w:w="28" w:type="dxa"/>
          <w:left w:w="28" w:type="dxa"/>
          <w:bottom w:w="28" w:type="dxa"/>
          <w:right w:w="28" w:type="dxa"/>
        </w:tblCellMar>
      </w:tblPr>
      <w:tblGrid>
        <w:gridCol w:w="1069"/>
        <w:gridCol w:w="940"/>
        <w:gridCol w:w="946"/>
        <w:gridCol w:w="109"/>
        <w:gridCol w:w="109"/>
        <w:gridCol w:w="109"/>
        <w:gridCol w:w="211"/>
        <w:gridCol w:w="691"/>
        <w:gridCol w:w="109"/>
        <w:gridCol w:w="109"/>
        <w:gridCol w:w="109"/>
        <w:gridCol w:w="109"/>
        <w:gridCol w:w="211"/>
        <w:gridCol w:w="541"/>
        <w:gridCol w:w="109"/>
        <w:gridCol w:w="109"/>
        <w:gridCol w:w="109"/>
        <w:gridCol w:w="109"/>
        <w:gridCol w:w="211"/>
        <w:gridCol w:w="211"/>
        <w:gridCol w:w="614"/>
      </w:tblGrid>
      <w:tr>
        <w:trPr/>
        <w:tc>
          <w:tcPr>
            <w:tcW w:w="10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r>
      <w:tr>
        <w:trPr/>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Selling, general and administrative expenses increased by $131 million, or 13%, during the fiscal year ended March 31, 2026, as compared to the fiscal year ended March 31, 2025, primarily due to </w:t>
      </w:r>
      <w:r>
        <w:rPr>
          <w:rFonts w:ascii="Times New Roman;serif" w:hAnsi="Times New Roman;serif"/>
          <w:b w:val="false"/>
          <w:color w:val="231F20"/>
          <w:sz w:val="20"/>
        </w:rPr>
        <w:t xml:space="preserve">increases in </w:t>
      </w:r>
      <w:r>
        <w:rPr>
          <w:rFonts w:ascii="Times New Roman;serif" w:hAnsi="Times New Roman;serif"/>
          <w:b w:val="false"/>
          <w:color w:val="000000"/>
          <w:sz w:val="20"/>
        </w:rPr>
        <w:t xml:space="preserve">salaries and related expenses as a result of headcount growth, </w:t>
      </w:r>
      <w:r>
        <w:rPr>
          <w:rFonts w:ascii="Times New Roman;serif" w:hAnsi="Times New Roman;serif"/>
          <w:b w:val="false"/>
          <w:color w:val="231F20"/>
          <w:sz w:val="20"/>
        </w:rPr>
        <w:t>s</w:t>
      </w:r>
      <w:r>
        <w:rPr>
          <w:rFonts w:ascii="Times New Roman;serif" w:hAnsi="Times New Roman;serif"/>
          <w:b w:val="false"/>
          <w:color w:val="000000"/>
          <w:sz w:val="20"/>
        </w:rPr>
        <w:t>hare-based compensation costs, cloud services and IT expenses, professional services expenses, and marketing expenses</w:t>
      </w:r>
      <w:r>
        <w:rPr>
          <w:rFonts w:ascii="Times New Roman;serif" w:hAnsi="Times New Roman;serif"/>
          <w:b w:val="false"/>
          <w:color w:val="231F20"/>
          <w:sz w:val="20"/>
        </w:rPr>
        <w:t xml:space="preserve">, partially offset by decreases in provisions for current expected credit losses on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receivable and accounts receivable and relatively less costs associated with disposal activities recognized in the current year.</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Disposal, restructuring and other operating expenses, net</w:t>
      </w:r>
    </w:p>
    <w:tbl>
      <w:tblPr>
        <w:tblW w:w="10205" w:type="dxa"/>
        <w:jc w:val="left"/>
        <w:tblInd w:w="0" w:type="dxa"/>
        <w:tblLayout w:type="fixed"/>
        <w:tblCellMar>
          <w:top w:w="28" w:type="dxa"/>
          <w:left w:w="28" w:type="dxa"/>
          <w:bottom w:w="28" w:type="dxa"/>
          <w:right w:w="28" w:type="dxa"/>
        </w:tblCellMar>
      </w:tblPr>
      <w:tblGrid>
        <w:gridCol w:w="1664"/>
        <w:gridCol w:w="1463"/>
        <w:gridCol w:w="1471"/>
        <w:gridCol w:w="109"/>
        <w:gridCol w:w="109"/>
        <w:gridCol w:w="109"/>
        <w:gridCol w:w="109"/>
        <w:gridCol w:w="109"/>
        <w:gridCol w:w="253"/>
        <w:gridCol w:w="253"/>
        <w:gridCol w:w="253"/>
        <w:gridCol w:w="253"/>
        <w:gridCol w:w="492"/>
        <w:gridCol w:w="769"/>
        <w:gridCol w:w="253"/>
        <w:gridCol w:w="109"/>
        <w:gridCol w:w="109"/>
        <w:gridCol w:w="109"/>
        <w:gridCol w:w="211"/>
        <w:gridCol w:w="406"/>
        <w:gridCol w:w="109"/>
        <w:gridCol w:w="109"/>
        <w:gridCol w:w="109"/>
        <w:gridCol w:w="109"/>
        <w:gridCol w:w="336"/>
        <w:gridCol w:w="336"/>
        <w:gridCol w:w="484"/>
      </w:tblGrid>
      <w:tr>
        <w:trPr/>
        <w:tc>
          <w:tcPr>
            <w:tcW w:w="1664"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4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6"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c>
          <w:tcPr>
            <w:tcW w:w="2536" w:type="dxa"/>
            <w:gridSpan w:val="12"/>
            <w:tcBorders/>
          </w:tcPr>
          <w:p>
            <w:pPr>
              <w:pStyle w:val="TableContents"/>
              <w:bidi w:val="0"/>
              <w:spacing w:before="0" w:after="283"/>
              <w:jc w:val="left"/>
              <w:rPr>
                <w:sz w:val="4"/>
                <w:szCs w:val="4"/>
              </w:rPr>
            </w:pPr>
            <w:r>
              <w:rPr>
                <w:sz w:val="4"/>
                <w:szCs w:val="4"/>
              </w:rPr>
            </w:r>
          </w:p>
        </w:tc>
      </w:tr>
      <w:tr>
        <w:trPr/>
        <w:tc>
          <w:tcPr>
            <w:tcW w:w="45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 xml:space="preserve">% Change </w:t>
            </w:r>
            <w:r>
              <w:rPr>
                <w:rFonts w:ascii="Times New Roman;serif" w:hAnsi="Times New Roman;serif"/>
                <w:b/>
                <w:color w:val="000000"/>
                <w:sz w:val="13"/>
              </w:rPr>
              <w:t>1</w:t>
            </w:r>
          </w:p>
        </w:tc>
      </w:tr>
      <w:tr>
        <w:trPr/>
        <w:tc>
          <w:tcPr>
            <w:tcW w:w="45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Disposal, restructuring and other operating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120" w:after="240"/>
        <w:ind w:left="0" w:right="0" w:hanging="270"/>
        <w:jc w:val="both"/>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Percentage changes +/- 1000% are considered not meaningful and are presented as "nm."</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Disposal, restructuring and other operating expenses, net for the fiscal year ended March 31, 2026 were $8 million, </w:t>
      </w:r>
      <w:r>
        <w:rPr>
          <w:rFonts w:ascii="Times New Roman;serif" w:hAnsi="Times New Roman;serif"/>
          <w:b w:val="false"/>
          <w:color w:val="231F20"/>
          <w:sz w:val="20"/>
        </w:rPr>
        <w:t>primarily</w:t>
      </w:r>
      <w:r>
        <w:rPr>
          <w:color w:val="000000"/>
        </w:rPr>
        <w:t xml:space="preserve"> </w:t>
      </w:r>
      <w:r>
        <w:rPr>
          <w:rFonts w:ascii="Times New Roman;serif" w:hAnsi="Times New Roman;serif"/>
          <w:b w:val="false"/>
          <w:color w:val="000000"/>
          <w:sz w:val="20"/>
        </w:rPr>
        <w:t>due to costs associated with a restructuring plan to align our engineering workforce with strategic business activities. There were no disposal, restructuring and other operating expenses, net during the fiscal year ended March 31, 2025.</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Income (loss) from equity investments, net</w:t>
      </w:r>
    </w:p>
    <w:tbl>
      <w:tblPr>
        <w:tblW w:w="9345" w:type="dxa"/>
        <w:jc w:val="left"/>
        <w:tblInd w:w="0" w:type="dxa"/>
        <w:tblLayout w:type="fixed"/>
        <w:tblCellMar>
          <w:top w:w="28" w:type="dxa"/>
          <w:left w:w="28" w:type="dxa"/>
          <w:bottom w:w="28" w:type="dxa"/>
          <w:right w:w="28" w:type="dxa"/>
        </w:tblCellMar>
      </w:tblPr>
      <w:tblGrid>
        <w:gridCol w:w="1286"/>
        <w:gridCol w:w="1131"/>
        <w:gridCol w:w="1138"/>
        <w:gridCol w:w="109"/>
        <w:gridCol w:w="109"/>
        <w:gridCol w:w="109"/>
        <w:gridCol w:w="109"/>
        <w:gridCol w:w="109"/>
        <w:gridCol w:w="251"/>
        <w:gridCol w:w="251"/>
        <w:gridCol w:w="251"/>
        <w:gridCol w:w="251"/>
        <w:gridCol w:w="487"/>
        <w:gridCol w:w="834"/>
        <w:gridCol w:w="251"/>
        <w:gridCol w:w="109"/>
        <w:gridCol w:w="109"/>
        <w:gridCol w:w="109"/>
        <w:gridCol w:w="211"/>
        <w:gridCol w:w="541"/>
        <w:gridCol w:w="109"/>
        <w:gridCol w:w="109"/>
        <w:gridCol w:w="109"/>
        <w:gridCol w:w="109"/>
        <w:gridCol w:w="269"/>
        <w:gridCol w:w="271"/>
        <w:gridCol w:w="614"/>
      </w:tblGrid>
      <w:tr>
        <w:trPr/>
        <w:tc>
          <w:tcPr>
            <w:tcW w:w="128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6"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c>
          <w:tcPr>
            <w:tcW w:w="2669" w:type="dxa"/>
            <w:gridSpan w:val="12"/>
            <w:tcBorders/>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6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40"/>
        <w:ind w:left="0" w:right="0" w:firstLine="360"/>
        <w:jc w:val="both"/>
        <w:rPr/>
      </w:pPr>
      <w:r>
        <w:rPr>
          <w:rFonts w:ascii="Times New Roman;serif" w:hAnsi="Times New Roman;serif"/>
          <w:b w:val="false"/>
          <w:color w:val="000000"/>
          <w:sz w:val="20"/>
        </w:rPr>
        <w:t>Income (loss) from equity investments, net increased by $251 million, or 106%, for the fiscal year ended March 31, 2026, as compared to the fiscal year ended March 31, 2025, primarily due to</w:t>
      </w:r>
      <w:r>
        <w:rPr>
          <w:color w:val="231F20"/>
        </w:rPr>
        <w:t xml:space="preserve"> </w:t>
      </w:r>
      <w:r>
        <w:rPr>
          <w:rFonts w:ascii="Times New Roman;serif" w:hAnsi="Times New Roman;serif"/>
          <w:b w:val="false"/>
          <w:color w:val="231F20"/>
          <w:sz w:val="20"/>
        </w:rPr>
        <w:t xml:space="preserve">a $246 million fair value loss with respect to our investment in Ampere Computing Holdings LLC (“Ampere”) in the </w:t>
      </w:r>
      <w:r>
        <w:rPr>
          <w:rFonts w:ascii="Times New Roman;serif" w:hAnsi="Times New Roman;serif"/>
          <w:b w:val="false"/>
          <w:color w:val="000000"/>
          <w:sz w:val="20"/>
        </w:rPr>
        <w:t>fiscal year ended March 31, 2025 as well as</w:t>
      </w:r>
      <w:r>
        <w:rPr>
          <w:color w:val="231F20"/>
        </w:rPr>
        <w:t xml:space="preserve"> </w:t>
      </w:r>
      <w:r>
        <w:rPr>
          <w:rFonts w:ascii="Times New Roman;serif" w:hAnsi="Times New Roman;serif"/>
          <w:b w:val="false"/>
          <w:color w:val="231F20"/>
          <w:sz w:val="20"/>
        </w:rPr>
        <w:t>realized and unrealized gains and losses related to equity method investments accounted for at fair value and non-marketable securities and unrealized losses related to equity investments in publicly listed companies.</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Interest income, net</w:t>
      </w:r>
    </w:p>
    <w:tbl>
      <w:tblPr>
        <w:tblW w:w="8359" w:type="dxa"/>
        <w:jc w:val="left"/>
        <w:tblInd w:w="0" w:type="dxa"/>
        <w:tblLayout w:type="fixed"/>
        <w:tblCellMar>
          <w:top w:w="28" w:type="dxa"/>
          <w:left w:w="28" w:type="dxa"/>
          <w:bottom w:w="28" w:type="dxa"/>
          <w:right w:w="28" w:type="dxa"/>
        </w:tblCellMar>
      </w:tblPr>
      <w:tblGrid>
        <w:gridCol w:w="998"/>
        <w:gridCol w:w="878"/>
        <w:gridCol w:w="883"/>
        <w:gridCol w:w="109"/>
        <w:gridCol w:w="109"/>
        <w:gridCol w:w="109"/>
        <w:gridCol w:w="109"/>
        <w:gridCol w:w="109"/>
        <w:gridCol w:w="230"/>
        <w:gridCol w:w="230"/>
        <w:gridCol w:w="230"/>
        <w:gridCol w:w="230"/>
        <w:gridCol w:w="445"/>
        <w:gridCol w:w="984"/>
        <w:gridCol w:w="230"/>
        <w:gridCol w:w="109"/>
        <w:gridCol w:w="109"/>
        <w:gridCol w:w="109"/>
        <w:gridCol w:w="211"/>
        <w:gridCol w:w="466"/>
        <w:gridCol w:w="109"/>
        <w:gridCol w:w="109"/>
        <w:gridCol w:w="109"/>
        <w:gridCol w:w="109"/>
        <w:gridCol w:w="211"/>
        <w:gridCol w:w="211"/>
        <w:gridCol w:w="614"/>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9"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c>
          <w:tcPr>
            <w:tcW w:w="2476" w:type="dxa"/>
            <w:gridSpan w:val="12"/>
            <w:tcBorders/>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6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net decreased by $5 million, or 4%, for the fiscal year ended March 31, 2026, as compared to the fiscal year ended March 31, 2025, primarily due to lower interest rate yields recognized on cash equivalents and short-term investments, offset by higher average cash equivalents balances. </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Other non-operating income (loss), net</w:t>
      </w:r>
    </w:p>
    <w:tbl>
      <w:tblPr>
        <w:tblW w:w="8944" w:type="dxa"/>
        <w:jc w:val="left"/>
        <w:tblInd w:w="0" w:type="dxa"/>
        <w:tblLayout w:type="fixed"/>
        <w:tblCellMar>
          <w:top w:w="28" w:type="dxa"/>
          <w:left w:w="28" w:type="dxa"/>
          <w:bottom w:w="28" w:type="dxa"/>
          <w:right w:w="28" w:type="dxa"/>
        </w:tblCellMar>
      </w:tblPr>
      <w:tblGrid>
        <w:gridCol w:w="1172"/>
        <w:gridCol w:w="1031"/>
        <w:gridCol w:w="1037"/>
        <w:gridCol w:w="109"/>
        <w:gridCol w:w="109"/>
        <w:gridCol w:w="109"/>
        <w:gridCol w:w="109"/>
        <w:gridCol w:w="109"/>
        <w:gridCol w:w="230"/>
        <w:gridCol w:w="230"/>
        <w:gridCol w:w="230"/>
        <w:gridCol w:w="230"/>
        <w:gridCol w:w="445"/>
        <w:gridCol w:w="984"/>
        <w:gridCol w:w="230"/>
        <w:gridCol w:w="109"/>
        <w:gridCol w:w="109"/>
        <w:gridCol w:w="109"/>
        <w:gridCol w:w="211"/>
        <w:gridCol w:w="361"/>
        <w:gridCol w:w="109"/>
        <w:gridCol w:w="109"/>
        <w:gridCol w:w="109"/>
        <w:gridCol w:w="109"/>
        <w:gridCol w:w="364"/>
        <w:gridCol w:w="364"/>
        <w:gridCol w:w="517"/>
      </w:tblGrid>
      <w:tr>
        <w:trPr/>
        <w:tc>
          <w:tcPr>
            <w:tcW w:w="117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9"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c>
          <w:tcPr>
            <w:tcW w:w="2580" w:type="dxa"/>
            <w:gridSpan w:val="12"/>
            <w:tcBorders/>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 xml:space="preserve">% Change </w:t>
            </w:r>
            <w:r>
              <w:rPr>
                <w:rFonts w:ascii="Times New Roman;serif" w:hAnsi="Times New Roman;serif"/>
                <w:b/>
                <w:color w:val="000000"/>
                <w:sz w:val="13"/>
              </w:rPr>
              <w:t>(1)</w:t>
            </w:r>
          </w:p>
        </w:tc>
      </w:tr>
      <w:tr>
        <w:trPr/>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120" w:after="24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Percentage changes +/- 1000% are considered not meaningful and are presented as "nm."</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non-operating income (loss), net increased by $122 million, or nm, for the fiscal year ended March 31, 2026, as compared to the fiscal year ended March 31, 2025, primarily due to the gain on the sale of the Artisan foundation IP business and realized and unrealized foreign exchange gains.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 xml:space="preserve">Income tax benefit (expense) </w:t>
      </w:r>
    </w:p>
    <w:tbl>
      <w:tblPr>
        <w:tblW w:w="8636" w:type="dxa"/>
        <w:jc w:val="left"/>
        <w:tblInd w:w="0" w:type="dxa"/>
        <w:tblLayout w:type="fixed"/>
        <w:tblCellMar>
          <w:top w:w="28" w:type="dxa"/>
          <w:left w:w="28" w:type="dxa"/>
          <w:bottom w:w="28" w:type="dxa"/>
          <w:right w:w="28" w:type="dxa"/>
        </w:tblCellMar>
      </w:tblPr>
      <w:tblGrid>
        <w:gridCol w:w="998"/>
        <w:gridCol w:w="878"/>
        <w:gridCol w:w="883"/>
        <w:gridCol w:w="109"/>
        <w:gridCol w:w="109"/>
        <w:gridCol w:w="109"/>
        <w:gridCol w:w="109"/>
        <w:gridCol w:w="109"/>
        <w:gridCol w:w="192"/>
        <w:gridCol w:w="192"/>
        <w:gridCol w:w="192"/>
        <w:gridCol w:w="192"/>
        <w:gridCol w:w="373"/>
        <w:gridCol w:w="957"/>
        <w:gridCol w:w="479"/>
        <w:gridCol w:w="109"/>
        <w:gridCol w:w="109"/>
        <w:gridCol w:w="109"/>
        <w:gridCol w:w="216"/>
        <w:gridCol w:w="369"/>
        <w:gridCol w:w="271"/>
        <w:gridCol w:w="109"/>
        <w:gridCol w:w="109"/>
        <w:gridCol w:w="109"/>
        <w:gridCol w:w="364"/>
        <w:gridCol w:w="364"/>
        <w:gridCol w:w="517"/>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c>
          <w:tcPr>
            <w:tcW w:w="2755" w:type="dxa"/>
            <w:gridSpan w:val="12"/>
            <w:tcBorders/>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 xml:space="preserve">% Change </w:t>
            </w:r>
            <w:r>
              <w:rPr>
                <w:rFonts w:ascii="Times New Roman;serif" w:hAnsi="Times New Roman;serif"/>
                <w:b/>
                <w:color w:val="000000"/>
                <w:sz w:val="13"/>
              </w:rPr>
              <w:t>(1)</w:t>
            </w:r>
          </w:p>
        </w:tc>
      </w:tr>
      <w:tr>
        <w:trPr/>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4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47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Percentage changes +/- 1000% are considered not meaningful and are presented as "nm."</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effective tax rate increased for the fiscal year ended March 31, 2026 as compared to the fiscal year ended March 31, 2025, primarily due to changes in withholding tax, unrecognized tax benefits and share-based compensation tax benefits.</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Comparison of Performance for the Fiscal Years Ended March 31, 2025 and 2024</w:t>
      </w:r>
    </w:p>
    <w:p>
      <w:pPr>
        <w:pStyle w:val="TextBody"/>
        <w:bidi w:val="0"/>
        <w:spacing w:lineRule="auto" w:line="288" w:before="120" w:after="240"/>
        <w:ind w:left="0" w:right="0" w:firstLine="360"/>
        <w:jc w:val="both"/>
        <w:rPr/>
      </w:pPr>
      <w:r>
        <w:rPr>
          <w:rFonts w:ascii="Times New Roman;serif" w:hAnsi="Times New Roman;serif"/>
          <w:b w:val="false"/>
          <w:color w:val="000000"/>
          <w:sz w:val="20"/>
        </w:rPr>
        <w:t>Please see “</w:t>
      </w:r>
      <w:r>
        <w:rPr>
          <w:rFonts w:ascii="Times New Roman;serif" w:hAnsi="Times New Roman;serif"/>
          <w:b w:val="false"/>
          <w:i/>
          <w:color w:val="000000"/>
          <w:sz w:val="20"/>
        </w:rPr>
        <w:t>Management’s Discussion and Analysis of Financial Condition and Results of Operations—Comparison of Performance for the Fiscal Years Ended March 31, 2025</w:t>
      </w:r>
      <w:r>
        <w:rPr>
          <w:color w:val="000000"/>
        </w:rPr>
        <w:t xml:space="preserve"> </w:t>
      </w:r>
      <w:r>
        <w:rPr>
          <w:rFonts w:ascii="Times New Roman;serif" w:hAnsi="Times New Roman;serif"/>
          <w:b w:val="false"/>
          <w:i/>
          <w:color w:val="000000"/>
          <w:sz w:val="20"/>
        </w:rPr>
        <w:t>and 2024”</w:t>
      </w:r>
      <w:r>
        <w:rPr>
          <w:color w:val="000000"/>
        </w:rPr>
        <w:t xml:space="preserve"> </w:t>
      </w:r>
      <w:r>
        <w:rPr>
          <w:rFonts w:ascii="Times New Roman;serif" w:hAnsi="Times New Roman;serif"/>
          <w:b w:val="false"/>
          <w:color w:val="000000"/>
          <w:sz w:val="20"/>
        </w:rPr>
        <w:t>in our Annual Report on Form 20-F for the fiscal year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pPr>
      <w:r>
        <w:rPr>
          <w:rFonts w:ascii="Times New Roman;serif" w:hAnsi="Times New Roman;serif"/>
          <w:b/>
          <w:color w:val="000000"/>
          <w:sz w:val="20"/>
        </w:rPr>
        <w:t>B.    </w:t>
      </w:r>
      <w:r>
        <w:rPr>
          <w:rFonts w:ascii="Times New Roman;serif" w:hAnsi="Times New Roman;serif"/>
          <w:b/>
          <w:i/>
          <w:color w:val="000000"/>
          <w:sz w:val="20"/>
        </w:rPr>
        <w:t>Liquidity and capital resources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measure liquidity in terms of our ability to fund our cash obligations as they become due, including requirements of our business operations, working capital requirements, capital expenditures, contractual obligations, acquisitions and investments, and other commitments. We have historically funded, and intend to continue to fund, our operations primarily through cash generated from our business operations, partially supported by government research grants and tax credits. As of March 31, 2026, we had cash and cash equivalents of $2,751 million and short-term investments of $850 million. For the fiscal years ended March 31, 2026, 2025 and 2024, the government incentive benefit recognized in research and development expenses was $149 million, $114 million and $108 million, respectively.</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We believe that our cash and cash equivalents and short-term investments will be adequate to meet our liquidity requirements for at least the next 12 months and in the longer term. We continuously evaluate our liquidity and capital resources to ensure we can finance future capital requirements. Our future capital requirements will depend on several factors, including our revenue growth, the timing and extent of spending on research and development efforts and other growth initiatives, the timing of new products and services introductions, market acceptance of our products, and overall economic conditions. We could be required, or could elect, to seek additional funding through debt or equity financing; however, additional funds may not be available on terms acceptable to us, if at all. If we are unable to raise additional capital or generate cash flows necessary to expand our operations and invest in continued innovation, we may not be able to compete successfully, which would harm our business, results of operations, financial condition and prospects. See </w:t>
      </w:r>
      <w:r>
        <w:rPr>
          <w:color w:val="000000"/>
        </w:rPr>
        <w:t>“</w:t>
      </w:r>
      <w:r>
        <w:rPr>
          <w:rFonts w:ascii="Times New Roman;serif" w:hAnsi="Times New Roman;serif"/>
          <w:b w:val="false"/>
          <w:i/>
          <w:color w:val="000000"/>
          <w:sz w:val="20"/>
        </w:rPr>
        <w:t>Item 3. Key Information—D. Risk Factors—Risks Relating to Our Business and Industry.”</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indicated:</w:t>
      </w:r>
    </w:p>
    <w:tbl>
      <w:tblPr>
        <w:tblW w:w="9548" w:type="dxa"/>
        <w:jc w:val="left"/>
        <w:tblInd w:w="0" w:type="dxa"/>
        <w:tblLayout w:type="fixed"/>
        <w:tblCellMar>
          <w:top w:w="28" w:type="dxa"/>
          <w:left w:w="28" w:type="dxa"/>
          <w:bottom w:w="28" w:type="dxa"/>
          <w:right w:w="28" w:type="dxa"/>
        </w:tblCellMar>
      </w:tblPr>
      <w:tblGrid>
        <w:gridCol w:w="2069"/>
        <w:gridCol w:w="1815"/>
        <w:gridCol w:w="1830"/>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2069"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r>
      <w:tr>
        <w:trP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(used for) operating activities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(used for) investing activities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(used for) financing activities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changes on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increase (decrease) in cash and cash equivalents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at the beginning of the 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end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Comparison of Cash Flows for the Fiscal Years Ended March 31, 2026 and 2025</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Net Cash Provided by (Used for) Operating Activities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increased by $1,127 million to $1,524 million for the fiscal year ended March 31, 2026 as compared to the fiscal year ended March 31, 2025, primarily driven by higher net income of $112 million and certain non-cash items such as higher share-based compensation costs, changes in deferred income taxes, partially offset by equity investments due to fair value movements and changes in assets and liabilities and the gain on the sale of the Artisan foundation IP business. Changes in working capital were primarily driven by a $302 million decrease in cash used for other liabilities due to lower employment taxes payable on vested shares as compared to the prior fiscal year, a $176 million decrease in cash used for accrued compensation and benefits due to the replacement of cash bonuses with equity compensation, a $139 million increase in contract liabilities due to an increase in billings in advance of revenue recognition, a $130 million favorable cash flow movement related to accounts receivable due to revenue growth and the timing of payments from customers, and a $103 million favorable cash flow movement in contract assets due to the timing of revenue recognition.</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Net Cash Provided by (Used for) Investing Activities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for investing activities increased by $290 million to $325 million for the fiscal year ended March 31, 2026 as compared to the fiscal year ended March 31, 2025, primarily due to a $460 million increase in purchases of short term investments, a $326 million increase in purchases of property and equipment driven by data center and office expansions and computer hardware purchases, partially offset by $205 million in proceeds from sale or liquidation of equity investments, $127 million in proceeds from the sale of the Artisan foundation IP business, a $90 million increase in proceeds from maturity of short-term investments, $56 million in proceeds from settlement of loans, including convertible loans, and a $46 million decrease in purchases of equity investments.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Net Cash Provided by (Used for) Financing Activities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for financing activities increased by $346 million to $548 million for the fiscal year ended March 31, 2026 as compared to the fiscal year ended March 31, 2025, primarily due to a $409 million increase in payments of withholding taxes on vested share-based awards resulting from the shift to a full withhold-to-cover method in satisfaction of tax obligations, partially offset by $74 million in proceeds from the Employee Stock Purchase Plan.</w:t>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Comparison of Cash Flows for the Fiscal Years Ended March 31, 2025 and 2024</w:t>
      </w:r>
    </w:p>
    <w:p>
      <w:pPr>
        <w:pStyle w:val="TextBody"/>
        <w:bidi w:val="0"/>
        <w:spacing w:lineRule="auto" w:line="288" w:before="120" w:after="240"/>
        <w:ind w:left="0" w:right="0" w:firstLine="360"/>
        <w:jc w:val="both"/>
        <w:rPr/>
      </w:pPr>
      <w:r>
        <w:rPr>
          <w:rFonts w:ascii="Times New Roman;serif" w:hAnsi="Times New Roman;serif"/>
          <w:b w:val="false"/>
          <w:color w:val="000000"/>
          <w:sz w:val="20"/>
        </w:rPr>
        <w:t>Please see “</w:t>
      </w:r>
      <w:r>
        <w:rPr>
          <w:rFonts w:ascii="Times New Roman;serif" w:hAnsi="Times New Roman;serif"/>
          <w:b w:val="false"/>
          <w:i/>
          <w:color w:val="000000"/>
          <w:sz w:val="20"/>
        </w:rPr>
        <w:t>Management’s Discussion and Analysis of Financial Condition and Results of Operations—B. Liquidity and Capital Resources”</w:t>
      </w:r>
      <w:r>
        <w:rPr>
          <w:color w:val="000000"/>
        </w:rPr>
        <w:t xml:space="preserve"> </w:t>
      </w:r>
      <w:r>
        <w:rPr>
          <w:rFonts w:ascii="Times New Roman;serif" w:hAnsi="Times New Roman;serif"/>
          <w:b w:val="false"/>
          <w:color w:val="000000"/>
          <w:sz w:val="20"/>
        </w:rPr>
        <w:t>in our Annual Report on Form 20-F for the fiscal year ended March 31, 2025.</w:t>
      </w:r>
    </w:p>
    <w:p>
      <w:pPr>
        <w:pStyle w:val="TextBody"/>
        <w:bidi w:val="0"/>
        <w:spacing w:lineRule="auto" w:line="288" w:before="120" w:after="240"/>
        <w:jc w:val="left"/>
        <w:rPr>
          <w:rFonts w:ascii="Times New Roman;serif" w:hAnsi="Times New Roman;serif"/>
          <w:b/>
          <w:color w:val="231F20"/>
          <w:sz w:val="20"/>
        </w:rPr>
      </w:pPr>
      <w:r>
        <w:rPr>
          <w:rFonts w:ascii="Times New Roman;serif" w:hAnsi="Times New Roman;serif"/>
          <w:b/>
          <w:color w:val="231F20"/>
          <w:sz w:val="20"/>
        </w:rPr>
        <w:t>Contractual Obligations and Commitments</w:t>
      </w:r>
    </w:p>
    <w:p>
      <w:pPr>
        <w:pStyle w:val="TextBody"/>
        <w:bidi w:val="0"/>
        <w:spacing w:lineRule="auto" w:line="288" w:before="120" w:after="240"/>
        <w:ind w:left="0" w:right="0" w:firstLine="403"/>
        <w:jc w:val="left"/>
        <w:rPr>
          <w:rFonts w:ascii="Times New Roman;serif" w:hAnsi="Times New Roman;serif"/>
          <w:b w:val="false"/>
          <w:color w:val="231F20"/>
          <w:sz w:val="20"/>
        </w:rPr>
      </w:pPr>
      <w:r>
        <w:rPr>
          <w:rFonts w:ascii="Times New Roman;serif" w:hAnsi="Times New Roman;serif"/>
          <w:b w:val="false"/>
          <w:color w:val="231F20"/>
          <w:sz w:val="20"/>
        </w:rPr>
        <w:t>Our material cash requirements include the following contractual and other obligations:</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120" w:after="240"/>
        <w:ind w:left="0" w:right="0" w:firstLine="403"/>
        <w:jc w:val="both"/>
        <w:rPr/>
      </w:pPr>
      <w:r>
        <w:rPr>
          <w:rFonts w:ascii="Times New Roman;serif" w:hAnsi="Times New Roman;serif"/>
          <w:b w:val="false"/>
          <w:color w:val="231F20"/>
          <w:sz w:val="20"/>
        </w:rPr>
        <w:t>We have operating and finance lease arrangements for office space, data centers, equipment and ot</w:t>
      </w:r>
      <w:r>
        <w:rPr>
          <w:rFonts w:ascii="Times New Roman;serif" w:hAnsi="Times New Roman;serif"/>
          <w:b w:val="false"/>
          <w:color w:val="000000"/>
          <w:sz w:val="20"/>
        </w:rPr>
        <w:t>her corporate assets. As of March 31, 2026, we had operating and finance lease payment obligations of $549 million and $62 million, respectively</w:t>
      </w:r>
      <w:r>
        <w:rPr>
          <w:rFonts w:ascii="Times New Roman;serif" w:hAnsi="Times New Roman;serif"/>
          <w:b w:val="false"/>
          <w:color w:val="231F20"/>
          <w:sz w:val="20"/>
        </w:rPr>
        <w:t xml:space="preserve">, with </w:t>
      </w:r>
      <w:r>
        <w:rPr>
          <w:rFonts w:ascii="Times New Roman;serif" w:hAnsi="Times New Roman;serif"/>
          <w:b w:val="false"/>
          <w:color w:val="000000"/>
          <w:sz w:val="20"/>
        </w:rPr>
        <w:t>$50 million and $26 million, respectively,</w:t>
      </w:r>
      <w:r>
        <w:rPr>
          <w:color w:val="231F20"/>
        </w:rPr>
        <w:t xml:space="preserve"> </w:t>
      </w:r>
      <w:r>
        <w:rPr>
          <w:rFonts w:ascii="Times New Roman;serif" w:hAnsi="Times New Roman;serif"/>
          <w:b w:val="false"/>
          <w:color w:val="231F20"/>
          <w:sz w:val="20"/>
        </w:rPr>
        <w:t xml:space="preserve">payable within 12 months of </w:t>
      </w:r>
      <w:r>
        <w:rPr>
          <w:rFonts w:ascii="Times New Roman;serif" w:hAnsi="Times New Roman;serif"/>
          <w:b w:val="false"/>
          <w:color w:val="000000"/>
          <w:sz w:val="20"/>
        </w:rPr>
        <w:t>March 31, 2026</w:t>
      </w:r>
      <w:r>
        <w:rPr>
          <w:rFonts w:ascii="Times New Roman;serif" w:hAnsi="Times New Roman;serif"/>
          <w:b w:val="false"/>
          <w:color w:val="231F20"/>
          <w:sz w:val="20"/>
        </w:rPr>
        <w:t xml:space="preserve">. As of </w:t>
      </w:r>
      <w:r>
        <w:rPr>
          <w:rFonts w:ascii="Times New Roman;serif" w:hAnsi="Times New Roman;serif"/>
          <w:b w:val="false"/>
          <w:color w:val="000000"/>
          <w:sz w:val="20"/>
        </w:rPr>
        <w:t>March 31, 2026</w:t>
      </w:r>
      <w:r>
        <w:rPr>
          <w:rFonts w:ascii="Times New Roman;serif" w:hAnsi="Times New Roman;serif"/>
          <w:b w:val="false"/>
          <w:color w:val="231F20"/>
          <w:sz w:val="20"/>
        </w:rPr>
        <w:t>, we had seven leases signed but not yet commenced.</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Purchase Obligations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we contract with various third-party service providers for systems and services to perform certain day-to-day business activities. We enter into non-cancelable purchase commitments for cloud computing web services, data centers, software, license and services. As of March 31, 2026, we had outstanding non-cancelable purchase obligations of approximately $1,057 million with a remaining term of 12 months or longer for periods through 2036.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pPr>
      <w:r>
        <w:rPr>
          <w:rFonts w:ascii="Times New Roman;serif" w:hAnsi="Times New Roman;serif"/>
          <w:b/>
          <w:color w:val="000000"/>
          <w:sz w:val="20"/>
        </w:rPr>
        <w:t>C.    </w:t>
      </w:r>
      <w:r>
        <w:rPr>
          <w:rFonts w:ascii="Times New Roman;serif" w:hAnsi="Times New Roman;serif"/>
          <w:b/>
          <w:i/>
          <w:color w:val="000000"/>
          <w:sz w:val="20"/>
        </w:rPr>
        <w:t>Research and development, patents and licenses, etc.</w:t>
      </w:r>
    </w:p>
    <w:p>
      <w:pPr>
        <w:pStyle w:val="TextBody"/>
        <w:bidi w:val="0"/>
        <w:spacing w:lineRule="auto" w:line="288" w:before="120" w:after="240"/>
        <w:ind w:left="0" w:right="0" w:firstLine="360"/>
        <w:jc w:val="both"/>
        <w:rPr/>
      </w:pPr>
      <w:r>
        <w:rPr>
          <w:rFonts w:ascii="Times New Roman;serif" w:hAnsi="Times New Roman;serif"/>
          <w:b w:val="false"/>
          <w:color w:val="000000"/>
          <w:sz w:val="20"/>
        </w:rPr>
        <w:t>Refer to “</w:t>
      </w:r>
      <w:r>
        <w:rPr>
          <w:rFonts w:ascii="Times New Roman;serif" w:hAnsi="Times New Roman;serif"/>
          <w:b w:val="false"/>
          <w:i/>
          <w:color w:val="000000"/>
          <w:sz w:val="20"/>
        </w:rPr>
        <w:t>Item 4. Information on the Company—B. Business Overview—Research and Development</w:t>
      </w:r>
      <w:r>
        <w:rPr>
          <w:color w:val="000000"/>
        </w:rPr>
        <w:t>”</w:t>
      </w:r>
      <w:r>
        <w:rPr>
          <w:rFonts w:ascii="Times New Roman;serif" w:hAnsi="Times New Roman;serif"/>
          <w:b w:val="false"/>
          <w:color w:val="000000"/>
          <w:sz w:val="20"/>
        </w:rPr>
        <w:t>, “</w:t>
      </w:r>
      <w:r>
        <w:rPr>
          <w:rFonts w:ascii="Times New Roman;serif" w:hAnsi="Times New Roman;serif"/>
          <w:b w:val="false"/>
          <w:i/>
          <w:color w:val="000000"/>
          <w:sz w:val="20"/>
        </w:rPr>
        <w:t>Item 4. Information on the Company—B. Business Overview—Intellectual Property,</w:t>
      </w:r>
      <w:r>
        <w:rPr>
          <w:color w:val="000000"/>
        </w:rPr>
        <w:t>” “</w:t>
      </w:r>
      <w:r>
        <w:rPr>
          <w:rFonts w:ascii="Times New Roman;serif" w:hAnsi="Times New Roman;serif"/>
          <w:b w:val="false"/>
          <w:i/>
          <w:color w:val="000000"/>
          <w:sz w:val="20"/>
        </w:rPr>
        <w:t>Item 5. Operating and Financial Review and Prospects</w:t>
      </w:r>
      <w:r>
        <w:rPr>
          <w:color w:val="000000"/>
        </w:rPr>
        <w:t>—</w:t>
      </w:r>
      <w:r>
        <w:rPr>
          <w:rFonts w:ascii="Times New Roman;serif" w:hAnsi="Times New Roman;serif"/>
          <w:b w:val="false"/>
          <w:i/>
          <w:color w:val="000000"/>
          <w:sz w:val="20"/>
        </w:rPr>
        <w:t>Components of Results of Operations—Research and Development,” “Item 5. Operating and Financial Review and Prospects—Comparison of Performance for the Fiscal Years Ended March 31, 2026 and 2025—Research and Development,</w:t>
      </w:r>
      <w:r>
        <w:rPr>
          <w:color w:val="000000"/>
        </w:rPr>
        <w:t>” “</w:t>
      </w:r>
      <w:r>
        <w:rPr>
          <w:rFonts w:ascii="Times New Roman;serif" w:hAnsi="Times New Roman;serif"/>
          <w:b w:val="false"/>
          <w:i/>
          <w:color w:val="000000"/>
          <w:sz w:val="20"/>
        </w:rPr>
        <w:t>Item 8. Financial Information—Note 1 - Description of Business and Summary of Significant Accounting Policies”</w:t>
      </w:r>
      <w:r>
        <w:rPr>
          <w:color w:val="000000"/>
        </w:rPr>
        <w:t xml:space="preserve"> </w:t>
      </w:r>
      <w:r>
        <w:rPr>
          <w:rFonts w:ascii="Times New Roman;serif" w:hAnsi="Times New Roman;serif"/>
          <w:b w:val="false"/>
          <w:color w:val="000000"/>
          <w:sz w:val="20"/>
        </w:rPr>
        <w:t>in the Notes to the Consolidated Financial Statements included in this Annual Report and “</w:t>
      </w:r>
      <w:r>
        <w:rPr>
          <w:rFonts w:ascii="Times New Roman;serif" w:hAnsi="Times New Roman;serif"/>
          <w:b w:val="false"/>
          <w:i/>
          <w:color w:val="000000"/>
          <w:sz w:val="20"/>
        </w:rPr>
        <w:t>Management’s Discussion and Analysis of Financial Condition and Results of Operations—Comparison of Performance for the Fiscal Years Ended March 31, 2025 and 2024”</w:t>
      </w:r>
      <w:r>
        <w:rPr>
          <w:color w:val="000000"/>
        </w:rPr>
        <w:t xml:space="preserve"> </w:t>
      </w:r>
      <w:r>
        <w:rPr>
          <w:rFonts w:ascii="Times New Roman;serif" w:hAnsi="Times New Roman;serif"/>
          <w:b w:val="false"/>
          <w:color w:val="000000"/>
          <w:sz w:val="20"/>
        </w:rPr>
        <w:t>in our Annual Report on Form 20-F for the fiscal year ended March 31, 2025 for discussion on our research and development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erif" w:hAnsi="Times New Roman;serif"/>
          <w:b/>
          <w:color w:val="000000"/>
          <w:sz w:val="20"/>
        </w:rPr>
        <w:t>D.    </w:t>
      </w:r>
      <w:r>
        <w:rPr>
          <w:rFonts w:ascii="Times New Roman;serif" w:hAnsi="Times New Roman;serif"/>
          <w:b/>
          <w:i/>
          <w:color w:val="000000"/>
          <w:sz w:val="20"/>
        </w:rPr>
        <w:t>Trend information</w:t>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Key Factors and Trends Affecting Our Operating Results</w:t>
      </w:r>
    </w:p>
    <w:p>
      <w:pPr>
        <w:pStyle w:val="TextBody"/>
        <w:bidi w:val="0"/>
        <w:spacing w:lineRule="auto" w:line="288" w:before="120" w:after="240"/>
        <w:ind w:left="0" w:right="0" w:firstLine="360"/>
        <w:jc w:val="both"/>
        <w:rPr/>
      </w:pPr>
      <w:r>
        <w:rPr>
          <w:rFonts w:ascii="Times New Roman;serif" w:hAnsi="Times New Roman;serif"/>
          <w:b w:val="false"/>
          <w:color w:val="000000"/>
          <w:sz w:val="20"/>
        </w:rPr>
        <w:t>We believe that the growth of our business and our future success are dependent upon many factors, including those described in the section titled “</w:t>
      </w:r>
      <w:r>
        <w:rPr>
          <w:rFonts w:ascii="Times New Roman;serif" w:hAnsi="Times New Roman;serif"/>
          <w:b w:val="false"/>
          <w:i/>
          <w:color w:val="000000"/>
          <w:sz w:val="20"/>
        </w:rPr>
        <w:t>Item 3. Key Information—D. Risk Factors”</w:t>
      </w:r>
      <w:r>
        <w:rPr>
          <w:color w:val="000000"/>
        </w:rPr>
        <w:t xml:space="preserve"> </w:t>
      </w:r>
      <w:r>
        <w:rPr>
          <w:rFonts w:ascii="Times New Roman;serif" w:hAnsi="Times New Roman;serif"/>
          <w:b w:val="false"/>
          <w:color w:val="000000"/>
          <w:sz w:val="20"/>
        </w:rPr>
        <w:t>and elsewhere in this Annual Report as well as the factors described below. While each of these factors presents significant opportunities for us, these factors also pose challenges that we must successfully address in order to sustain the growth of our business and enhance our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Global Demand for Semiconductor Products and Cyclical Nature of the Semiconductor Industry</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Semiconductor chips are essential components in consumer, enterprise, and automotive electronics. Strong demand for electronics has resulted in sustained and increasing long-term demand for semiconductor chips, a significant percentage of which contain our products. Our revenue is, in part, affected by market conditions in the semiconductor industry, which is cyclical by nature and impacted by broad economic factors, such as worldwide gross domestic product and consumer and enterprise spending. While the semiconductor industry has experienced significant, prolonged, and sometimes sudden downturns in the past, we expect there to be continued and increasing demand for semiconductors over the long term as macro trends drive device manufacturers to produce more powerful and energy-efficient devices.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our current revenue is dependent on the number of Arm-powered chips shipped by our customers, dislocations created by cyclical, economic factors generally affect demand for our customers’ chips and, consequently, may result in variability in our operating performance. Royalties are recognized on an accrual basis in the quarter in which the customer ships products incorporating our products. A material portion of the accrual is estimated using trend analysis of market and sales data as well as customer-specific financial information with a true-up in the following quarter based on actual sales data once received. Accordingly, differences between our estimated market trends and our customers’ forecasts of their chip shipments can lead to variability in our revenue.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our expansion into production silicon may have materially different margin profiles, revenue recognition characteristics, and sales cycles compared to our IP licensing business.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Impact of the Current Macroeconomic Environment and Geopolitical Events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Uncertainty in the macroeconomic and geopolitical environment could significantly affect demand for our products and our results of operations. The range of events and trends that can impact our business and results of operations includes inflation and interest rates, supply chain disruptions, geopolitical pressures, the unknown impact of current and future trade regulations, such as new export controls and tariffs, and geopolitical turmoil, such as any changes in PRC-Taiwan relations, the war in Ukraine, and conflicts in the Middle East, including Iran, and fluctuation in foreign exchange rates. For example, the war in Ukraine and conflicts in the Middle East, including Iran, could lead to further market disruptions and exacerbate current supply chain constraints, including with respect to certain materials and metals that are essential in semiconductor manufacturing. The continuing evolution of global trade policies, and uncertainty in trade relations between the U.S. and the PRC and other major U.S. trade partners, has caused, and could continue to cause, market disruptions and supply chain constraints. Given the concentration of semiconductor manufacturing in East Asia (particularly in Taiwan), any potential escalation in geopolitical tensions in Asia, particularly with respect to Taiwan, could significantly disrupt existing semiconductor chip manufacturing and increase the prospect of increased interruption to the semiconductor chip supply across the world. The conflicts in Europe and the Middle East have caused no major interruption to our operations to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Ability to Provide Our Customers with More Value Per Chip</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Complex chips and chiplets are more difficult to develop and take longer to design, which increases the cost of the chip and the risk of delayed or missed timelines. We believe our ability to continue to develop more advanced products and offer increasingly comprehensive product packages, including providing more complete subsystems, such as Arm's CSS solutions which are pre-integrated and pre-verified configurations of Arm technology, will encourage greater use of our products by existing and prospective customers. For example, many licensees have historically combined multiple different Arm CPUs in a single chip, Arm CPUs with other Arm IP such as Arm GPUs, or deploy Arm CPU implementations with more than 100 cores. Increasing cost and time-to-market pressures mean some customers may be better served by the integration of our IP into a subsystem. For chips where our products have provided more value, we will typically receive higher royalty revenue per chip. Accordingly, we believe that our investments in higher performance, higher efficiency, and more specialized designs will drive greater demand for our products and higher value for our customers, which is expected to result in higher royalty revenue. Our future performance is dependent on our continued ability to provide value to customers, and our ability to drive additional value through technological innovation.</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Market Share Across End Markets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Arm CPUs are the world’s most widely licensed and deployed processors. Our products are used in almost all smartphones, the majority of tablets and digital TVs, and a significant proportion of all chips with embedded processors, including for both consumer and enterprise applications. As new high-growth markets for electronics emerge, our customers require our more advanced processor designs. For example, AI demand is driving strong momentum for the Arm ecosystem. AI growth requires significantly more compute across all of our end markets from smartphones with better chat features, to automobiles with better driving and parking assist, to IoT microprocessors with embedded NPUs. Our operating and financial performance is dependent, in large part, upon maintaining our market share in the smartphone and consumer electronics markets and maintaining or growing market share in our other target markets, such as cloud and AI data centers.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Increasing Design Wins with Flexible Licensing Models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in the past and intend to continue to make significant investments in research and development to ensure that we can develop products suitable for new opportunities with existing and prospective customers. A key measure of our success is our customer design wins. Because we are often embedded within our customers’ research and development functions, we typically have significant, unique visibility into our customers’ product development pipelines, which we believe positions us to capture design wins to a greater extent than our competitors. A “design win” occurs when a customer decides to include an Arm CPU product or related technology within one of their chip designs. For customers who already license our products, a new design win does not necessarily require a customer to sign a new license. By licensing a portfolio of Arm products to our customers (rather than licensing a single CPU design or other technology design), we have made it easier and more compelling for customers to access and utilize more Arm products, further broadening our potential customer base and end-market penetration. Our licensing options provide greater flexibility to our customers and maximize our opportunities to secure more design wins for our products, which results in greater opportunities to increase our recurring royalty revenue.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Performance of Arm China</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utilize our commercial relationship with Arm China to access the PRC market for IP revenue, and substantially all of our PRC-related revenue is generated through the IPLA with Arm China, a related party. Arm China has the right to sublicense our processor technology pursuant to the IPLA. Our responsibility under the IPLA is to facilitate delivery of our processor technology to Arm China’s end customers in accordance with detailed instructions and other specifications from Arm China. Our revenue is calculated as a percentage of license and royalty fees earned by Arm China from sub-license arrangements entered into with its end customers. Where our revenue is earned as a percentage of the license fee received by Arm China, we categorize such revenue as our license revenue. Our share of Arm China’s royalties is categorized as royalty revenue in our financial statements. Despite our reliance on Arm China through our commercial relationship with it, both as a source of revenue and a conduit to the important PRC market, Arm China operates independently of us. Under the IPLA, Arm China’s payments due to us are determined based on the financial information that Arm China provides to us. Accordingly, we are dependent on Arm China providing us with reliable and timely financial information. Additionally, political actions, including trade and national security policies of the U.S. and PRC governments, such as tariffs, placing companies on restricted lists, or new end-use controls, have in the past, currently do and could in the future limit or prevent us, directly or through our commercial relationship with Arm China, from transacting business with certain PRC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pPr>
      <w:r>
        <w:rPr>
          <w:rFonts w:ascii="Times New Roman;serif" w:hAnsi="Times New Roman;serif"/>
          <w:b w:val="false"/>
          <w:color w:val="000000"/>
          <w:sz w:val="20"/>
        </w:rPr>
        <w:t xml:space="preserve">or suppliers, limit, prevent or discourage certain PRC customers or suppliers from transacting business with us or Arm China, or make it more expensive to do so, which could adversely affect demand for our products. Total revenue derived from Arm China increased during the fiscal year ended March 31, 2026 as compared to the fiscal year ended March 31, 2025. License revenue </w:t>
      </w:r>
      <w:r>
        <w:rPr>
          <w:rFonts w:ascii="Times New Roman;serif" w:hAnsi="Times New Roman;serif"/>
          <w:b w:val="false"/>
          <w:color w:val="231F20"/>
          <w:sz w:val="20"/>
        </w:rPr>
        <w:t xml:space="preserve">for the </w:t>
      </w:r>
      <w:r>
        <w:rPr>
          <w:rFonts w:ascii="Times New Roman;serif" w:hAnsi="Times New Roman;serif"/>
          <w:b w:val="false"/>
          <w:color w:val="000000"/>
          <w:sz w:val="20"/>
        </w:rPr>
        <w:t xml:space="preserve">fiscal year ended March 31, 2026 increased due to fluctuation in </w:t>
      </w:r>
      <w:r>
        <w:rPr>
          <w:rFonts w:ascii="Times New Roman;serif" w:hAnsi="Times New Roman;serif"/>
          <w:b w:val="false"/>
          <w:color w:val="231F20"/>
          <w:sz w:val="20"/>
        </w:rPr>
        <w:t>timing and size</w:t>
      </w:r>
      <w:r>
        <w:rPr>
          <w:color w:val="000000"/>
        </w:rPr>
        <w:t xml:space="preserve"> </w:t>
      </w:r>
      <w:r>
        <w:rPr>
          <w:rFonts w:ascii="Times New Roman;serif" w:hAnsi="Times New Roman;serif"/>
          <w:b w:val="false"/>
          <w:color w:val="000000"/>
          <w:sz w:val="20"/>
        </w:rPr>
        <w:t>of multiple high-value license agreements and contributions from backlog into the current period from arrangements entered in prior periods. Royalty revenue for the fiscal year ended March 31, 2026 increased driven primarily by higher chip shipments and an improved mix of products with higher royalty rates per chip.</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Developments in Export Control Regulations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Bureau of Industry and Security of the U.S. Department of Commerce (“BIS”), significantly extended the reach of U.S. export controls on the semiconductor industry, in particular advanced computing chips and services, in a series of rules and guidance published over the past year.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collective impact of the rules, described below, have in the past and may in the future reduce our ability to license our products directly to entities and end users in affected countries and could potentially harm our commercial relationships by limiting the ability of certain of our customers and partners to manufacture, ship, or receive chips and end products incorporating certain of our products.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2026, BIS published a new rule revising the U.S. export license review policy from “presumption of denial” to “case by case” review as it relates to specific NVIDIA H200 and AMD MI325X chips destined to China. The new rule also requires exporters to certify sufficient U.S. supply of the same or better product, that production will not divert global foundry capacity for similar or more advanced products for U.S. end users, sufficient security and Know Your Customer procedures, and independent, third-party testing in the United States to verify performance specifications. In parallel, the U.S. Government announced new tariffs imposing a 25% levy on U.S. imports of the same semiconductors and systems from any country, with broad exemptions for items destined for U.S. data centers or other qualifying uses.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2025, BIS published an interim final rule referred to as the “Affiliates Rule” to expand the export-related restrictions on explicitly named entities on the Entity List to any foreign entity owned 50% or more by an entity (or entities) on the Entity List or Military End User (“MEU”) List, or by certain Specially Designated Nationals (“SDNs”) on the SDN list published by the U.S. Treasury Department’s Office of Foreign Assets Control (“OFAC”), whether directly or indirectly, individually or in the aggregate. The Affiliates Rule took effect on September 29, 2025. However, on November 1, 2025, following the latest round of U.S.-China trade negotiations, the White House issued a Fact Sheet announcing that implementation of the Affiliates Rule will be suspended for one year starting on November 10, 2025.</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January 2025, BIS published the “Implementation of Additional Due Diligence Measures for Advanced Computing Integrated Circuits” interim final rule with a compliance date of January 31, 2025. This rule limits PRC entities seeking to manufacture or obtain advanced node chips from outside of the PRC, as well as designates approved entities outside of the PRC - chip designers, foundries, and Outsourced Semiconductor Assembly and Test (“OSAT”) vendors - as another mechanism to mitigate risk of diversion.</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“Framework for Artificial Intelligence Diffusion” interim final rule (“AI Diffusion Rule”) was also introduced in January 2025 to impose a worldwide export license requirement on advanced computing products and a quota-like system for deploying such products across three tiers of countries. While the AI Diffusion Rule had a compliance date of May 15, 2025, BIS announced intent to rescind it on May 13, 2025. At the same time, BIS published new guidance on protecting supply chains against diversion of advanced computing chips and services and the risks associated with using PRC-made advanced computing chips.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Also in May 2025, BIS directed major EDA software vendors in the U.S. to suspend delivery and support of all EDA software to customers in China. In early July 2025, following trade negotiations, the U.S. lifted the suspension allowing EDA vendors to resume delivery and support to customers in China.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BIS rules published in September and December 2024 imposed additional U.S. export restrictions on advanced computing technologies and semiconductor manufacturing capability to the PRC and certain other countries suspected of supplying the PRC with such technologies and capabilities. These rules, which continue the focus on protecting U.S. national security and preventing diversion of products subject to U.S. export controls in the same manner as BIS rules published in October 2022 and October 2023: (i) established new restrictions on exporting, re-exporting, or transferring Gate all-around Field-Effect Transistor (“GAAFET”) and High Bandwidth Memory (“HBM”) technologies to the PRC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other countries suspected of supplying the PRC with such technologies; (ii) significantly expanded restrictions on advanced semiconductor manufacturing equipment; (iii) added new entities to BIS’s Entity List; and (iv) clarified controls on software and software licenses.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we expect BIS to continue its steady pace of issuing new rules to restrict the most advanced semiconductors to China, risks related to additional (and potentially broader) restrictions remain susceptible to the course and outcomes of U.S.-China bilateral relations and trade negotiations.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Investment in Technology and Product Development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evaluate opportunities, potential investments and technical partnerships to develop new technologies and advanced products, including in the AI arena, and thereby expand beyond individual design IP elements to providing a more complete system and custom chips for specific applications, including, without limitation, RTL-based CSSs, GDSII-based CSSs, chiplets or complete chip solutions. For example, in March 2026, we announced the expansion of our compute platform into production silicon products with the introduction of the Arm AGI CPU. To remain competitive, we must continue to develop new applications and enhancements to our existing products and services, particularly as next generation technology is adopted by market participants. We intend to continue allocating resources to, and exploring, new markets and/or different products and solutions for existing and prospective customers in various end markets. Further, we have been, and may in the future be, engaged to advise on or design chips for certain existing customers and other third parties. Allocating and maintaining adequate research and development resources, such as the appropriate personnel and development technology, to meet the evolving demands of the market is essential to our continued success.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to continue investing greater financial and other resources in furtherance of those efforts, exploring investment and/or acquisition opportunities, and engaging with one or more partners to provide technical, financial and/or other support.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erif" w:hAnsi="Times New Roman;serif"/>
          <w:b/>
          <w:color w:val="000000"/>
          <w:sz w:val="20"/>
        </w:rPr>
        <w:t>E.    </w:t>
      </w:r>
      <w:r>
        <w:rPr>
          <w:rFonts w:ascii="Times New Roman;serif" w:hAnsi="Times New Roman;serif"/>
          <w:b/>
          <w:i/>
          <w:color w:val="000000"/>
          <w:sz w:val="20"/>
        </w:rPr>
        <w:t>Critical Accounting Estimates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are prepared in accordance with GAAP. The preparation of these consolidated financial statements requires us to make estimates and assumptions that affect the reported amounts of assets, liabilities, revenue, costs, and expenses, and related disclosures. We base our estimates on historical and anticipated results and trends and on various other assumptions that we believe are reasonable under the circumstances, including assumptions as to future events. By their nature, estimates are subject to an inherent degree of uncertainty. Although we believe that the estimates and the assumptions supporting our assessments are reasonable, actual results could differ materially (either positively or negatively, as applicable) from our estimates, which could have a material effect on our consolidated financial statements.</w:t>
      </w:r>
    </w:p>
    <w:p>
      <w:pPr>
        <w:pStyle w:val="TextBody"/>
        <w:bidi w:val="0"/>
        <w:spacing w:lineRule="auto" w:line="288" w:before="120" w:after="240"/>
        <w:ind w:left="0" w:right="0" w:firstLine="360"/>
        <w:jc w:val="both"/>
        <w:rPr/>
      </w:pPr>
      <w:r>
        <w:rPr>
          <w:rFonts w:ascii="Times New Roman;serif" w:hAnsi="Times New Roman;serif"/>
          <w:b w:val="false"/>
          <w:color w:val="000000"/>
          <w:sz w:val="20"/>
        </w:rPr>
        <w:t>We believe that, of our significant accounting policies, which are described in “</w:t>
      </w:r>
      <w:r>
        <w:rPr>
          <w:rFonts w:ascii="Times New Roman;serif" w:hAnsi="Times New Roman;serif"/>
          <w:b w:val="false"/>
          <w:i/>
          <w:color w:val="000000"/>
          <w:sz w:val="20"/>
        </w:rPr>
        <w:t>Item 8. Financial Information—Note 1 - Description of Business and Summary of Significant Accounting Policies”</w:t>
      </w:r>
      <w:r>
        <w:rPr>
          <w:color w:val="000000"/>
        </w:rPr>
        <w:t xml:space="preserve"> </w:t>
      </w:r>
      <w:r>
        <w:rPr>
          <w:rFonts w:ascii="Times New Roman;serif" w:hAnsi="Times New Roman;serif"/>
          <w:b w:val="false"/>
          <w:color w:val="000000"/>
          <w:sz w:val="20"/>
        </w:rPr>
        <w:t>in the Notes to the Consolidated Financial Statements included in this Annual Report, the following accounting policies involve a greater degree of management judgment and complexity. Accordingly, the following policies we believe are the most critical to aid in fully understanding and evaluating our consolidated financial condition, results of operations, and cash flows.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20" w:after="240"/>
        <w:ind w:left="0" w:right="0" w:firstLine="360"/>
        <w:jc w:val="both"/>
        <w:rPr/>
      </w:pPr>
      <w:r>
        <w:rPr>
          <w:rFonts w:ascii="Times New Roman;serif" w:hAnsi="Times New Roman;serif"/>
          <w:b w:val="false"/>
          <w:color w:val="000000"/>
          <w:sz w:val="20"/>
        </w:rPr>
        <w:t>Our revenue is derived from contracts with customers. We recognize revenue in accordance with Accounting Standards Codification 606, Revenue from Contracts with Customers (“ASC 606”). The core principle of ASC 606 is to recognize revenue upon the transfer of services or products to customers in an amount that reflects the consideration we expect to be entitled to in exchange for those services or products. We apply the five-step framework under ASC 606 to recognize revenue as described in our revenue recognition policy included in “</w:t>
      </w:r>
      <w:r>
        <w:rPr>
          <w:rFonts w:ascii="Times New Roman;serif" w:hAnsi="Times New Roman;serif"/>
          <w:b w:val="false"/>
          <w:i/>
          <w:color w:val="000000"/>
          <w:sz w:val="20"/>
        </w:rPr>
        <w:t>Item 8. Financial Information—Note 1 - Description of Business and Summary of Significant Accounting Policies”</w:t>
      </w:r>
      <w:r>
        <w:rPr>
          <w:color w:val="000000"/>
        </w:rPr>
        <w:t xml:space="preserve"> </w:t>
      </w:r>
      <w:r>
        <w:rPr>
          <w:rFonts w:ascii="Times New Roman;serif" w:hAnsi="Times New Roman;serif"/>
          <w:b w:val="false"/>
          <w:color w:val="000000"/>
          <w:sz w:val="20"/>
        </w:rPr>
        <w:t>in the Notes to the Consolidated Financial Statements included in this Annual Report.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most critical judgments required in applying ASC 606 and our revenue recognition policy relate to the determination of distinct performance obligations, the evaluation of the standalone selling price (“SSP”) for each performance obligation, the assessment of the contract combination criteria and the estimates on sales-based royalty revenue accruals.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Determination of distinct performance obligations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our licensing arrangements, we grant customers the choice to acquire additional rights, goods, or services at contract inception (for example, renewals of offerings, version extensions through term renewals, additional future products, or additional usage of term license). Therefore, judgment is required in determining whether products and services are considered distinct performance obligations that should be accounted for separately. We utilize forward-looking information in identifying performance obligations for IP or their version extensions of architecture IP under development or future products and in considering if implicit promises exist in certain long-term contracts.</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Evaluation of the standalone selling price for each performance obligation</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Judgment is required to determine the SSP for each distinct performance obligation in the contract. Directly observable prices are generally not available for our products, so we estimate the SSP for each performance obligation by maximizing the use of observable inputs. Some of our performance obligations, such as support, maintenance services, and training services, have observable inputs that are used to determine the SSP of those distinct performance obligations. However, our licenses of products often have highly variable pricing as standalone sales are rare and pricing varies from one transaction to another. When offerings with highly variable pricing lack substantial direct costs to estimate SSP based on a cost-plus margin approach, the transaction price is allocated using the residual approach on the basis that we have identified the SSP for other performance obligations in the same contract. If two or more performance obligations have highly variable or uncertain pricing, we apply a combination of methods to estimate the SSPs, including utilizing list prices, contract prices, and effort estimates of future IP.</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Assessment of contract combination criteria</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certain instances, we enter into multiple contracts with the same customer that are treated, for accounting purposes, as a single contract if the contracts are entered into at, or near, the same time and are interrelated. Judgment is required in evaluating whether various contracts are interrelated, which includes considerations as to whether they were negotiated as a package with a single commercial objective, where the amount of consideration on one contract is dependent on the performance of the other contract, or if some or all obligations in the contracts constitute a single performance obligation.</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Estimates on sales-based royalty revenue accruals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certain license arrangements, sales-based royalties are collected on customers’ chips that incorporate our products. Royalties are set either as a percentage of the licensee’s average selling price per chip or as a fixed amount per chip. Where arrangements include royalty buydowns or upfront minimum royalty commitments, we treat them as fixed contract consideration. Royalties are recognized on the licensee’s sales in the period in which they ship their Arm-powered chips to their end customers. Our estimates of royalty-based accruals take into consideration the macroeconomic effects of global events, such as geopolitical issues (such as trade bans or wars), and natural disasters, any of which may interrupt supply chain activities as well as demand for shipments of technology products. These estimates also involve the use of historical data and judgment for several key attributes, including industry estimates of expected shipments, the percentage of markets using our products, and average selling price. Generally, our estimates represent the then-current period’s shipments for which we expect our licensees to submit royalty statements in the following quarter in accordance with our license agreements. Upon receipt of royalty statements, including royalty audit resolutions, from the licensees with the actual reporting of sales-based royalties that we previously estimated, we record a favorable or unfavorable adjustment based on the difference, if any, between estimated and actual sales. Historically, actual amounts for sales-based royalties have been materially consistent with our estimates, and no significant adjustments have been required for prior-period royalty estimates. However, we can provide no assurances that material adjustments will not be required in future periods.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Valuation of Equity Investments Measured at Fair Value</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Non-marketable securities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Non-marketable securities represent either direct or indirect, through a capital fund, investments in unlisted early-stage development enterprises. For certain of these securities, we have elected to apply the NAV practical expedient, where NAV is the estimated fair value of the investments. For other investments, under the measurement alternative, these equity securities are recorded at cost minus impairment, if any, plus or minus changes resulting from qualifying observable price changes resulting from the issuance of similar or identical securities in an orderly transaction by the same issuer. As of March 31, 2026 and 2025, non-marketable securities measured at NAV were $27 million and $16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Determining whether an observed transaction is similar to a security within our portfolio requires judgment based on the rights and preferences of the securities. Recording upward and downward adjustments to the carrying values of equity securities as a result of observable price changes requires quantitative assessments of the fair values of equity securities held.</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Equity Method Investments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Equity method investments represent strategic investments in unlisted development enterprises. For certain of these investments, we have elected to apply the fair value option. Where applicable, the NAV practical expedient has been applied. Equity method investments measured at NAV as of March 31, 2026 and 2025 were $91 million and $100 million, respectively. Equity method investments measured at fair value as of March 31, 2026 and 2025 were $57 million and $200 million, respectively.</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elected the fair value option for Acetone Limited and Ampere. We initially computed the fair value for our investments, consistent with the methodology and assumptions that market participants would use in their estimates of fair value, with the assistance of a third-party valuation specialist or based on inputs provided by the investee. The fair value computation is updated on a quarterly basis. The investments are classified within Level 3 in the fair value hierarchy because we estimate the fair value of the investments using (i) the market approach based on similar transactions, (ii) the market-calibration approach based on the guideline public company method and/or (iii) probability-weighted expected return approach, and/or (iv) subject to the availability of sufficient information, the income approach based on the discounted cash flow method.</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consider numerous objective and subjective factors to determine the best estimate of fair value for our investees. These factors include forecasts, the financial condition of the investee and the prices paid for securities sold to third-party investors, if any, as well as the valuation of comparable companies.</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Impairment of investments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Non-marketable equity securities under the measurement alternative are subject to periodic impairment analysis. The periodic impairment analysis considers both qualitative and quantitative factors that may have a significant impact on the investee’s fair value. Qualitative factors considered include the investee’s financial condition and business outlook, industry and sector performance, market for technology, operational and financing cash flow activities, and other relevant events and factors affecting the investee. When indicators of impairment exist, we prepare a quantitative assessment of the fair value of the equity investments using both the market and income approaches, which require judgment and the use of estimates, including discount rates, investee revenue and costs, and comparable market data of private and public companies, among others. During the fiscal years ended March 31, 2026, 2025 and 2024, we recognized impairments of $0 million, $4 million and $3 million, respectively, on non-marketable equity securities.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Equity method investments not measured under the fair value option are subject to periodic impairment reviews using the other-than-temporary impairment model, which considers the severity and duration of a decline in fair value below cost and our ability and intent to hold the investment for a sufficient period of time to allow for recovery. We did not recognize any impairments on equity method investments during the fiscal years ended March 31, 2026, 2025 and 2024.</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Ordinary Share Valuations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determining the fair value of ordinary shares, the Board of Directors considered the grant date fair value for share-based awards as of the closing price of the Company’s ADSs on Nasdaq on the day of grant. The Company generally recognizes share based compensation cost using the straight-line method over the requisite service period of the award, net of estimated forfeitures, except for awards that are subject to continuous service and satisfaction of certain Company performance conditions. For awards that are subject to continuous service and satisfaction of certain Company performance conditions, the Company revises its estimate of the number of shares expected to vest at each reporting date as a result of the effect of the Company’s performance conditions. The impact of the revision of the original estimates, if any, is recognized in the Consolidated Income Statements such that the cumulative expense reflects the revised estimate. Certain fixed monetary amount liability-classified awards were modified to equity-classified awards at the time of IPO and were converted to into a variable number of ADSs representing ordinary shares based on the IPO price of $51.00 per ADS.</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Please see </w:t>
      </w:r>
      <w:r>
        <w:rPr>
          <w:color w:val="000000"/>
        </w:rPr>
        <w:t>“</w:t>
      </w:r>
      <w:r>
        <w:rPr>
          <w:rFonts w:ascii="Times New Roman;serif" w:hAnsi="Times New Roman;serif"/>
          <w:b w:val="false"/>
          <w:i/>
          <w:color w:val="000000"/>
          <w:sz w:val="20"/>
        </w:rPr>
        <w:t>Management’s Discussion and Analysis of Financial Condition and Results of Operations—Critical Accounting Estimates”</w:t>
      </w:r>
      <w:r>
        <w:rPr>
          <w:color w:val="000000"/>
        </w:rPr>
        <w:t xml:space="preserve"> </w:t>
      </w:r>
      <w:r>
        <w:rPr>
          <w:rFonts w:ascii="Times New Roman;serif" w:hAnsi="Times New Roman;serif"/>
          <w:b w:val="false"/>
          <w:color w:val="000000"/>
          <w:sz w:val="20"/>
        </w:rPr>
        <w:t>in the IPO Prospectus for critical accounting estimates applicable prior to the IPO.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Share-based Compensation</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expense share-based compensation over the requisite service periods of the awards, which generally is equivalent to the vesting term. Compensation expense is recorded only for those awards that are expected to vest. The fair value of RSUs is based on the grant date fair value for share-based awards based on the closing price of the Company’s ADSs on Nasdaq on the day of the grant. The Company granted PSUs with financial, strategic, and relative total shareholder return (“Relative TSR”) as the performance measures under the Omnibus Incentive Plan. The portion of PSUs granted with Relative TSR as the performance measure are assessed over a three-year performance period relative to the S&amp;P 500 IT Sector Index and have the potential to vest between 0% and 200% of the original award amount depending on the Relative TSR achievement. To determine the grant date fair value of the market conditions component of the awards with Relative TSR-based performance measures, a Monte Carlo simulation model is used.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income taxes in the United Kingdom and other foreign jurisdictions. We make certain estimates and judgments in calculating our income tax expense and income tax assets and liabilities.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recognize the tax benefit of an uncertain tax position only if it is more likely than not that the tax position is sustainable upon examination by the taxing authority, based solely on its technical merits. We measure the tax benefit recognized as the largest amount of benefit that is more than 50% likely to be realized upon settlement with the taxing authority. We adjust our reserves for uncertain tax positions in accordance with the income tax accounting guidance when facts and circumstances change, such as the closing of a tax audit or the refinement of an estimate due to new information. To the extent that the final outcome of these matters is different than the amounts recorded, our income tax expense would increase or decrease in the period in which such determination is made.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record a valuation allowance to reduce deferred tax assets to the net amount that is more likely than not to be realized. In assessing the need for a valuation allowance, we consider all available evidence, both positive and negative, including historical levels of income, estimates of future taxable income, and the feasibility of tax planning strategies. We regularly assess the need for a valuation allowance, and if we determine that an adjustment is needed, our income tax expense would increase or decrease in the period in which such determination is made.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Item 6.    Directors, Senior Management and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erif" w:hAnsi="Times New Roman;serif"/>
          <w:b/>
          <w:color w:val="000000"/>
          <w:sz w:val="20"/>
        </w:rPr>
        <w:t>A.    </w:t>
      </w:r>
      <w:r>
        <w:rPr>
          <w:rFonts w:ascii="Times New Roman;serif" w:hAnsi="Times New Roman;serif"/>
          <w:b/>
          <w:i/>
          <w:color w:val="000000"/>
          <w:sz w:val="20"/>
        </w:rPr>
        <w:t>Directors and senior management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our Non-Executive Directors and Senior Management as of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both"/>
        <w:rPr/>
      </w:pPr>
      <w:r>
        <w:rPr/>
      </w:r>
    </w:p>
    <w:tbl>
      <w:tblPr>
        <w:tblW w:w="8019" w:type="dxa"/>
        <w:jc w:val="left"/>
        <w:tblInd w:w="0" w:type="dxa"/>
        <w:tblLayout w:type="fixed"/>
        <w:tblCellMar>
          <w:top w:w="28" w:type="dxa"/>
          <w:left w:w="28" w:type="dxa"/>
          <w:bottom w:w="28" w:type="dxa"/>
          <w:right w:w="28" w:type="dxa"/>
        </w:tblCellMar>
      </w:tblPr>
      <w:tblGrid>
        <w:gridCol w:w="819"/>
        <w:gridCol w:w="719"/>
        <w:gridCol w:w="726"/>
        <w:gridCol w:w="109"/>
        <w:gridCol w:w="109"/>
        <w:gridCol w:w="109"/>
        <w:gridCol w:w="145"/>
        <w:gridCol w:w="145"/>
        <w:gridCol w:w="146"/>
        <w:gridCol w:w="109"/>
        <w:gridCol w:w="109"/>
        <w:gridCol w:w="109"/>
        <w:gridCol w:w="1367"/>
        <w:gridCol w:w="1367"/>
        <w:gridCol w:w="1931"/>
      </w:tblGrid>
      <w:tr>
        <w:trPr/>
        <w:tc>
          <w:tcPr>
            <w:tcW w:w="8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Position(s)</w:t>
            </w:r>
          </w:p>
        </w:tc>
      </w:tr>
      <w:tr>
        <w:trPr/>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Non-Executive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Masayoshi 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Chairman of the Board of Directors</w:t>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Ronald D. Fisher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Jeffrey A. Sine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Karen E. Dykstra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Rosemary Schooler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Paul E. Jacobs,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Young Sohn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Senior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Rene Haas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Jason Child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Charlotte Eaton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People Officer</w:t>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Spencer Collins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Legal Officer</w:t>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Richard Grisenthwaite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Architect</w:t>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Will Abbey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Commercial Officer</w:t>
            </w:r>
          </w:p>
        </w:tc>
      </w:tr>
    </w:tbl>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Non-Executive Directors</w:t>
      </w:r>
    </w:p>
    <w:p>
      <w:pPr>
        <w:pStyle w:val="TextBody"/>
        <w:bidi w:val="0"/>
        <w:spacing w:lineRule="auto" w:line="288" w:before="120" w:after="240"/>
        <w:ind w:left="0" w:right="0" w:firstLine="360"/>
        <w:jc w:val="both"/>
        <w:rPr/>
      </w:pPr>
      <w:r>
        <w:rPr>
          <w:rFonts w:ascii="Times New Roman;serif" w:hAnsi="Times New Roman;serif"/>
          <w:b w:val="false"/>
          <w:i/>
          <w:color w:val="000000"/>
          <w:sz w:val="20"/>
        </w:rPr>
        <w:t>Masayoshi Son</w:t>
      </w:r>
      <w:r>
        <w:rPr>
          <w:color w:val="000000"/>
        </w:rPr>
        <w:t xml:space="preserve"> </w:t>
      </w:r>
      <w:r>
        <w:rPr>
          <w:rFonts w:ascii="Times New Roman;serif" w:hAnsi="Times New Roman;serif"/>
          <w:b w:val="false"/>
          <w:color w:val="000000"/>
          <w:sz w:val="20"/>
        </w:rPr>
        <w:t>has served as a Director and Chairman of our Board of Directors since March 2018. From September 2016 to March 2018, Mr. Son served as Chairman of the Board of Directors of Arm Holdings plc. Mr. Son founded SoftBank Group in September 1981 and has been its Chairman and Chief Executive Officer since February 1986. Founded initially as a PC software distribution business, SoftBank Group and its portfolio of companies have expanded to cover a range of technologies, including advanced telecommunications, internet services, AI, smart robotics, and IoT. Mr. Son has overseen investments in some of the world’s fastest-growing technology companies. Mr. Son serves in various capacities within SoftBank Group’s portfolio of companies, including SoftBank Corp. (Japanese Telecommunication Operator) as its Chairman since 2015 and served as its Chairman and Chief Executive Officer from 2006 to 2015. Mr. Son has also served as Honorary Chairman of the Broadband Association in Japan.</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Mr. Son was selected to serve on our Board of Directors because of his vast executive leadership experience, including through his service as Chairman and Chief Executive Officer of SoftBank Group, a large international public company and our controlling shareholder, along with his significant expertise in technology and innovation.</w:t>
      </w:r>
    </w:p>
    <w:p>
      <w:pPr>
        <w:pStyle w:val="TextBody"/>
        <w:bidi w:val="0"/>
        <w:spacing w:lineRule="auto" w:line="288" w:before="120" w:after="240"/>
        <w:ind w:left="0" w:right="0" w:firstLine="360"/>
        <w:jc w:val="both"/>
        <w:rPr/>
      </w:pPr>
      <w:r>
        <w:rPr>
          <w:rFonts w:ascii="Times New Roman;serif" w:hAnsi="Times New Roman;serif"/>
          <w:b w:val="false"/>
          <w:i/>
          <w:color w:val="000000"/>
          <w:sz w:val="20"/>
        </w:rPr>
        <w:t xml:space="preserve">Ronald D. Fisher </w:t>
      </w:r>
      <w:r>
        <w:rPr>
          <w:rFonts w:ascii="Times New Roman;serif" w:hAnsi="Times New Roman;serif"/>
          <w:b w:val="false"/>
          <w:color w:val="000000"/>
          <w:sz w:val="20"/>
        </w:rPr>
        <w:t>has served as a Director of our Board of Directors since March 2018. Mr. Fisher is a Senior Advisor at SoftBank Investment Advisors. Mr. Fisher joined SoftBank Group in 1995 and was the founder and Managing Partner of SoftBank Capital. Mr. Fisher joined the Board of SoftBank Group in 1997 and was Vice Chairman from 2017 to 2022. Mr. Fisher also serves on the boards of several of SoftBank Group’s portfolio companies. Mr. Fisher has more than 40 years of experience of working with high-growth and turnaround technology companies. Prior to joining SoftBank Group, Mr. Fisher was the Chief Executive Officer of Phoenix Technologies Ltd., the leading developer and marketer of system software products for personal computers, from 1990 to 1995. Mr. Fisher joined Phoenix from Interactive Systems Corporation, a UNIX software company that was purchased by the Eastman Kodak Company in 1988. Mr. Fisher served for five years as President, initially as Chief Operating Officer and then Chief Executive Officer at Interactive Systems. Mr. Fisher earned an MBA from Columbia University and a Bachelor of Commerce from the University of Witwatersrand in South Africa.</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Mr. Fisher was selected to serve on our Board of Directors due to his extensive business, operational and management experience in the technology industry. </w:t>
      </w:r>
    </w:p>
    <w:p>
      <w:pPr>
        <w:pStyle w:val="TextBody"/>
        <w:bidi w:val="0"/>
        <w:spacing w:lineRule="auto" w:line="288" w:before="120" w:after="240"/>
        <w:ind w:left="0" w:right="0" w:firstLine="360"/>
        <w:jc w:val="both"/>
        <w:rPr/>
      </w:pPr>
      <w:r>
        <w:rPr>
          <w:rFonts w:ascii="Times New Roman;serif" w:hAnsi="Times New Roman;serif"/>
          <w:b w:val="false"/>
          <w:i/>
          <w:color w:val="000000"/>
          <w:sz w:val="20"/>
        </w:rPr>
        <w:t>Jeffrey A. Sine</w:t>
      </w:r>
      <w:r>
        <w:rPr>
          <w:color w:val="000000"/>
        </w:rPr>
        <w:t xml:space="preserve"> </w:t>
      </w:r>
      <w:r>
        <w:rPr>
          <w:rFonts w:ascii="Times New Roman;serif" w:hAnsi="Times New Roman;serif"/>
          <w:b w:val="false"/>
          <w:color w:val="000000"/>
          <w:sz w:val="20"/>
        </w:rPr>
        <w:t xml:space="preserve">has served as a Director of our Board of Directors since September 2022. Mr. Sine is the Co-Founder and Partner of The Raine Group LLC, a global merchant bank focused on technology, media, and communications. Prior to founding The Raine Group LLC, he served as Vice Chairman and Global Head of Technology, Media &amp; Telecom Investment Banking at UBS Investment Bank. Prior to that, Mr. Sine was Global Head of Media Investment Banking at Morgan Stanley and an attorney at Sullivan &amp; Cromwell in New York and London. Mr. Sine currently serves on the boards of many portfolio companies and subsidiaries of The Raine Group LLC. He also serves on the boards of National Public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Radio Foundation, TelevisaUnivision, Educational Testing Service, American University and The Manhattan Theatre Club. Mr. Sine has a B.A. from American University and a J.D. from the University of Southern California.</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Mr. Sine was selected to serve on our Board of Directors due to his significant experience as a leader and director of multiple global companies with international operations as well as his capital markets and financial experience from his tenure at global financial institutions.</w:t>
      </w:r>
    </w:p>
    <w:p>
      <w:pPr>
        <w:pStyle w:val="TextBody"/>
        <w:bidi w:val="0"/>
        <w:spacing w:lineRule="auto" w:line="288" w:before="120" w:after="240"/>
        <w:ind w:left="0" w:right="0" w:firstLine="360"/>
        <w:jc w:val="both"/>
        <w:rPr/>
      </w:pPr>
      <w:r>
        <w:rPr>
          <w:rFonts w:ascii="Times New Roman;serif" w:hAnsi="Times New Roman;serif"/>
          <w:b w:val="false"/>
          <w:i/>
          <w:color w:val="000000"/>
          <w:sz w:val="20"/>
        </w:rPr>
        <w:t>Karen E. Dykstra</w:t>
      </w:r>
      <w:r>
        <w:rPr>
          <w:color w:val="000000"/>
        </w:rPr>
        <w:t xml:space="preserve"> </w:t>
      </w:r>
      <w:r>
        <w:rPr>
          <w:rFonts w:ascii="Times New Roman;serif" w:hAnsi="Times New Roman;serif"/>
          <w:b w:val="false"/>
          <w:color w:val="000000"/>
          <w:sz w:val="20"/>
        </w:rPr>
        <w:t>has served as a Director of our Board of Directors since September 2022. Ms. Dykstra served as the Chief Financial Officer of VMware, Inc. (“VMware”) in 2023, a position she held while serving on VMware’s board of directors, and leading up to Broadcom Inc.’s acquisition of VMware. Ms. Dykstra previously served as Chief Financial and Administrative Officer, and as Chief Financial Officer, of AOL, Inc., a web portal and online service provider. Prior to joining AOL, Inc., Ms. Dykstra was a Partner at Plainfield Asset Management LLC (“Plainfield”), where she served as Chief Operating Officer, Chief Financial Officer and a director of Plainfield Direct LLC, Plainfield’s business development company. Previously, she spent over 25 years with Automatic Data Processing, Inc., a provider of human capital management solutions to employers, serving most recently as Chief Financial Officer, and prior thereto as Vice President—Finance, Corporate Controller, and in other capacities. Ms. Dykstra currently serves on the board of Gartner, Inc. and Atlassian Corporation, and is a former director of VMware, Crane Co., AOL, Inc. and Boston Properties, Inc.</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Ms. Dykstra was selected to serve on our Board of Directors due to her broad executive management experience and financial expertise as the Chief Financial Officer of multiple global companies and her experience from serving on the board of directors of other companies in the technology industry.</w:t>
      </w:r>
    </w:p>
    <w:p>
      <w:pPr>
        <w:pStyle w:val="TextBody"/>
        <w:bidi w:val="0"/>
        <w:spacing w:lineRule="auto" w:line="288" w:before="120" w:after="240"/>
        <w:ind w:left="0" w:right="0" w:firstLine="360"/>
        <w:jc w:val="both"/>
        <w:rPr/>
      </w:pPr>
      <w:r>
        <w:rPr>
          <w:rFonts w:ascii="Times New Roman;serif" w:hAnsi="Times New Roman;serif"/>
          <w:b w:val="false"/>
          <w:i/>
          <w:color w:val="000000"/>
          <w:sz w:val="20"/>
        </w:rPr>
        <w:t xml:space="preserve">Rosemary Schooler </w:t>
      </w:r>
      <w:r>
        <w:rPr>
          <w:rFonts w:ascii="Times New Roman;serif" w:hAnsi="Times New Roman;serif"/>
          <w:b w:val="false"/>
          <w:color w:val="000000"/>
          <w:sz w:val="20"/>
        </w:rPr>
        <w:t>has served as a Director of our Board of Directors since December 2022. Ms. Schooler has over 30 years of experience in the global technology industry. She most recently served as Corporate Vice President and General Manager of Data Center and AI Sales for Intel Corporation. During her 33-year career at Intel, Ms. Schooler managed and oversaw sales and corporate strategy for the company’s IoT business. Ms. Schooler also held vice president and general manager positions at a number of Intel start-up initiatives in the embedded/IoT, networking and storage businesses, including architecture, product development and customer success efforts. In her networking role, Ms. Schooler led industry transforming initiatives, including Network Function Virtualization and technologies such as Data Plane Development Kit. Ms. Schooler has supported industry efforts, including ATIS and TIA, as well as non-profits, including the National Center for Women in Technology. She was previously a director for Cloudera and currently serves on the board of directors for Zurn Elkay Water Solutions Corporation, Kubex (formerly Densify) and Mitsubishi Electric Power Products. She is also a strategic advisor for PQShield and Iron Mountain. Ms. Schooler earned a B.S. in ceramic science and engineering from Penn State University.</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Ms. Schooler was selected to serve on our Board of Directors due to her expansive knowledge of corporate strategy and strategic planning and vast experience as a leader in the technology industry.</w:t>
      </w:r>
    </w:p>
    <w:p>
      <w:pPr>
        <w:pStyle w:val="TextBody"/>
        <w:bidi w:val="0"/>
        <w:spacing w:lineRule="auto" w:line="288" w:before="120" w:after="240"/>
        <w:ind w:left="0" w:right="0" w:firstLine="360"/>
        <w:jc w:val="both"/>
        <w:rPr/>
      </w:pPr>
      <w:r>
        <w:rPr>
          <w:rFonts w:ascii="Times New Roman;serif" w:hAnsi="Times New Roman;serif"/>
          <w:b w:val="false"/>
          <w:i/>
          <w:color w:val="000000"/>
          <w:sz w:val="20"/>
        </w:rPr>
        <w:t>Paul E. Jacobs, PhD</w:t>
      </w:r>
      <w:r>
        <w:rPr>
          <w:color w:val="000000"/>
        </w:rPr>
        <w:t xml:space="preserve"> </w:t>
      </w:r>
      <w:r>
        <w:rPr>
          <w:rFonts w:ascii="Times New Roman;serif" w:hAnsi="Times New Roman;serif"/>
          <w:b w:val="false"/>
          <w:color w:val="000000"/>
          <w:sz w:val="20"/>
        </w:rPr>
        <w:t>has served as a Director of our Board of Directors since December 2022. Dr. Jacobs has been the Chief Executive Officer and a director of Globalstar, Inc. since August 2023. He is the Chairman, and until April 2024 also held the position of Chief Executive Officer, of Virewirx, Inc. (formerly known as XCOM Labs), which he founded in 2018 to develop high performance wireless technologies and applications. Prior to founding XCOM Labs, Dr. Jacobs served as the Chief Executive Officer and Executive Chairman of Qualcomm Inc., where he spearheaded the company’s efforts to develop and commercialize fundamental mobile technology breakthroughs that fueled the wireless internet and smartphone revolutions. Dr. Jacobs is a prolific inventor with over 80 U.S. patents granted or pending in the field of wireless technology and devices. Dr. Jacobs currently also serves as a director of Globalstar, Inc., Virewirx Inc., Deako Inc., and as an alternate governor of the NBA Board of Governors. He earned a B.S. in Electrical Engineering and Computer Science, M.S. in Electrical Engineering, and Ph.D. in Electrical Engineering and Computer Science from the University of California, Berkeley. He founded the Jacobs Institute for Design Innovation at the University of California, Berkeley. Dr. Jacobs is a member of the National Academy of Engineering and a Fellow of the American Academy of Arts and Sciences.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Dr. Jacobs was selected to serve on our Board of Directors based on his experience as the leader and board member of multiple global companies, as well as his innovation and business experience with companies in, and his in-depth knowledge of, the technology sector.</w:t>
      </w:r>
    </w:p>
    <w:p>
      <w:pPr>
        <w:pStyle w:val="TextBody"/>
        <w:bidi w:val="0"/>
        <w:spacing w:lineRule="auto" w:line="288" w:before="120" w:after="240"/>
        <w:ind w:left="0" w:right="0" w:firstLine="360"/>
        <w:jc w:val="both"/>
        <w:rPr/>
      </w:pPr>
      <w:r>
        <w:rPr>
          <w:rFonts w:ascii="Times New Roman;serif" w:hAnsi="Times New Roman;serif"/>
          <w:b w:val="false"/>
          <w:i/>
          <w:color w:val="000000"/>
          <w:sz w:val="20"/>
        </w:rPr>
        <w:t>Young Sohn</w:t>
      </w:r>
      <w:r>
        <w:rPr>
          <w:color w:val="000000"/>
        </w:rPr>
        <w:t xml:space="preserve"> </w:t>
      </w:r>
      <w:r>
        <w:rPr>
          <w:rFonts w:ascii="Times New Roman;serif" w:hAnsi="Times New Roman;serif"/>
          <w:b w:val="false"/>
          <w:color w:val="000000"/>
          <w:sz w:val="20"/>
        </w:rPr>
        <w:t xml:space="preserve">has served as a Director of our Board of Directors since September 2024. Mr. Sohn has served as a founding managing partner of Walden Catalyst Venture, a venture capital firm, since January 2021. Mr. Sohn has served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chairman of the Semiconductor Advisory Board of Samsung Electronics Co., Ltd. (“Samsung Electronics”) since February 2024. Mr. Sohn previously served as Corporate President and Chief Strategy Officer of Samsung Electronics from August 2012 to December 2020. Prior to joining Samsung, Mr. Sohn worked in Silicon Valley building and scaling businesses in core technologies, including semiconductors and storage, where he served as chief executive of Oak Technologies, Avago (then known as Agilent), and Inphi. In addition, under his leadership as CEO or board member, he took PLX Technologies, Synnex Technologies, and Inphi public. Mr. Sohn co-founded the Extreme Tech Challenge (XTC), the world’s largest startup competition for entrepreneurs addressing global challenges. He has served on the board of directors of Cadence Design Systems and as chairman of the board of HARMAN International since May 2012 and March 2017, respectively. Mr. Sohn holds a B.S. in electrical engineering from the University of Pennsylvania and an M.S. from the MIT Sloan School of Management.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Mr. Sohn was selected to serve on our Board of Directors based on his extensive experience as a leader and a board member of multiple global companies and his in-depth knowledge of the technology industry.</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Designation of Non-Executive Directors</w:t>
      </w:r>
    </w:p>
    <w:p>
      <w:pPr>
        <w:pStyle w:val="TextBody"/>
        <w:bidi w:val="0"/>
        <w:spacing w:lineRule="auto" w:line="288" w:before="120" w:after="240"/>
        <w:ind w:left="0" w:right="0" w:firstLine="360"/>
        <w:jc w:val="both"/>
        <w:rPr/>
      </w:pPr>
      <w:r>
        <w:rPr>
          <w:rFonts w:ascii="Times New Roman;serif" w:hAnsi="Times New Roman;serif"/>
          <w:b w:val="false"/>
          <w:color w:val="000000"/>
          <w:sz w:val="20"/>
        </w:rPr>
        <w:t>Pursuant to the terms of the Shareholder Governance Agreement, SoftBank Group has the right to designate seven of the candidates for election to our Board of Directors. Each of our non-executive directors were designated by SoftBank Group for election to our Board of Directors. See “</w:t>
      </w:r>
      <w:r>
        <w:rPr>
          <w:rFonts w:ascii="Times New Roman;serif" w:hAnsi="Times New Roman;serif"/>
          <w:b w:val="false"/>
          <w:i/>
          <w:color w:val="000000"/>
          <w:sz w:val="20"/>
        </w:rPr>
        <w:t>Item 7. Major Shareholders and Related Party Transactions—B. Related Party Transactions—Transactions with SoftBank Group—Shareholder Governance Agreement</w:t>
      </w:r>
      <w:r>
        <w:rPr>
          <w:rFonts w:ascii="Times New Roman;serif" w:hAnsi="Times New Roman;serif"/>
          <w:b w:val="false"/>
          <w:color w:val="000000"/>
          <w:sz w:val="20"/>
        </w:rPr>
        <w:t>.”</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Senior Management</w:t>
      </w:r>
    </w:p>
    <w:p>
      <w:pPr>
        <w:pStyle w:val="TextBody"/>
        <w:bidi w:val="0"/>
        <w:spacing w:lineRule="auto" w:line="288" w:before="120" w:after="240"/>
        <w:ind w:left="0" w:right="0" w:firstLine="360"/>
        <w:jc w:val="both"/>
        <w:rPr/>
      </w:pPr>
      <w:r>
        <w:rPr>
          <w:rFonts w:ascii="Times New Roman;serif" w:hAnsi="Times New Roman;serif"/>
          <w:b w:val="false"/>
          <w:i/>
          <w:color w:val="000000"/>
          <w:sz w:val="20"/>
        </w:rPr>
        <w:t>Rene Haas</w:t>
      </w:r>
      <w:r>
        <w:rPr>
          <w:color w:val="000000"/>
        </w:rPr>
        <w:t xml:space="preserve"> </w:t>
      </w:r>
      <w:r>
        <w:rPr>
          <w:rFonts w:ascii="Times New Roman;serif" w:hAnsi="Times New Roman;serif"/>
          <w:b w:val="false"/>
          <w:color w:val="000000"/>
          <w:sz w:val="20"/>
        </w:rPr>
        <w:t>has served as our Chief Executive Officer and a Director since February 2022. Prior to being appointed as Chief Executive Officer, Mr. Haas served as President of our IP Product Groups (“IPG”) from January 2017. Under his leadership, Mr. Haas transformed IPG to focus on key solutions for vertical markets with a more diversified product portfolio and increased investment in our software ecosystem. In addition to his role as Chief Executive Officer, Mr. Haas has sat on the board of SoftBank Group since June 2023. Mr. Haas also provides certain advisory and consulting services to SoftBank Group. In April 2026, Mr. Haas was also appointed as Chief Executive Officer of SoftBank Group International, an operating platform that oversees certain subsidiaries of SoftBank Group. Mr. Haas joined the Company in October 2013 as Vice President of Strategic Alliances and two years later was appointed to the Arm Leadership Team (formerly known as the Executive Committee) and named Arm’s Chief Commercial Officer in charge of global sales and marketing. Before joining the Company, Mr. Haas held several applications management, applications engineering and product engineering roles, including seven years at NVIDIA as Vice President and General Manager of its computing products business. Prior to NVIDIA, Mr. Haas held executive roles at Scintera Networks and Tensilica. Mr. Haas earned his Bachelor of Science in Electrical and Electronics Engineering from Clarkson University and is a graduate of the Stanford University Graduate School of Business Executive Education Program. Mr. Haas was selected to serve on our Board of Directors due to his knowledge of our business as our Chief Executive Officer and his extensive experience in the semiconductor industry.</w:t>
      </w:r>
    </w:p>
    <w:p>
      <w:pPr>
        <w:pStyle w:val="TextBody"/>
        <w:bidi w:val="0"/>
        <w:spacing w:lineRule="auto" w:line="288" w:before="120" w:after="240"/>
        <w:ind w:left="0" w:right="0" w:firstLine="360"/>
        <w:jc w:val="both"/>
        <w:rPr/>
      </w:pPr>
      <w:r>
        <w:rPr>
          <w:rFonts w:ascii="Times New Roman;serif" w:hAnsi="Times New Roman;serif"/>
          <w:b w:val="false"/>
          <w:i/>
          <w:color w:val="000000"/>
          <w:sz w:val="20"/>
        </w:rPr>
        <w:t>Jason Child</w:t>
      </w:r>
      <w:r>
        <w:rPr>
          <w:color w:val="000000"/>
        </w:rPr>
        <w:t xml:space="preserve"> </w:t>
      </w:r>
      <w:r>
        <w:rPr>
          <w:rFonts w:ascii="Times New Roman;serif" w:hAnsi="Times New Roman;serif"/>
          <w:b w:val="false"/>
          <w:color w:val="000000"/>
          <w:sz w:val="20"/>
        </w:rPr>
        <w:t>has served as our Executive Vice President and Chief Financial Officer since November 2022. Mr. Child’s career spans 30 years across all aspects of global finance and strategy, accounting, capital markets and treasury, initial public offering execution, and investor relations. He has extensive experience in scaling disruptive technologies within enterprise software and software-as-a-service industries, e-commerce, local commerce, consumer hardware and IoT, and online residential real estate. He most recently served as Senior Vice-President and Chief Financial Officer at Splunk, a technology company specializing in application management, security, and compliance, as well as business and web analytics. Mr. Child has also served as Chief Financial Officer for Groupon, Inc., a global e-commerce marketplace, Jawbone, a consumer technology and wearable device company, and Opendoor Technologies Inc, an online real estate company. Prior to those roles, he spent more than 11 years leading various global finance teams at Amazon and served as Chief Financial Officer of Amazon International. Mr. Child has served as a member of the board of directors of Coupang, Inc., an e-commerce company, since April 2022. He holds a B.A. from the Foster School of Business at the University of Washington, where he currently serves on its Global Advisory Board.</w:t>
      </w:r>
    </w:p>
    <w:p>
      <w:pPr>
        <w:pStyle w:val="TextBody"/>
        <w:bidi w:val="0"/>
        <w:spacing w:lineRule="auto" w:line="288" w:before="120" w:after="240"/>
        <w:ind w:left="0" w:right="0" w:firstLine="360"/>
        <w:jc w:val="both"/>
        <w:rPr/>
      </w:pPr>
      <w:r>
        <w:rPr>
          <w:rFonts w:ascii="Times New Roman;serif" w:hAnsi="Times New Roman;serif"/>
          <w:b w:val="false"/>
          <w:i/>
          <w:color w:val="000000"/>
          <w:sz w:val="20"/>
        </w:rPr>
        <w:t>Charlotte Eaton</w:t>
      </w:r>
      <w:r>
        <w:rPr>
          <w:color w:val="000000"/>
        </w:rPr>
        <w:t xml:space="preserve"> </w:t>
      </w:r>
      <w:r>
        <w:rPr>
          <w:rFonts w:ascii="Times New Roman;serif" w:hAnsi="Times New Roman;serif"/>
          <w:b w:val="false"/>
          <w:color w:val="000000"/>
          <w:sz w:val="20"/>
        </w:rPr>
        <w:t xml:space="preserve">has served as our Chief People Officer since November 2024. As Chief People Officer, she oversees all aspects of Arm’s people, workplace, and sustainability strategies. Over the course of her career, Ms. Eaton has shaped her experience across multiple sectors with rapid adaptation and change, and is passionate about building progressive, inclusive, purpose-led organizations. She thrives in seeking new ways of doing great things and inspiring others to think differently about the world of work. Before joining Arm, from April 2020 to September 2024, Ms. Eaton was Chief People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Officer at OVO Energy Ltd. (“OVO”), one of the UK’s largest energy companies, focused on sustainability and renewable energy. In her role, she was responsible for people, property, and customer experience. Prior to OVO, Ms. Eaton spent six years at Arm, latterly as VP of People, supporting teams in IPG globally. Before Arm, Ms. Eaton held HR leadership roles at The Heinz Company and worked at Barclays. Ms. Eaton holds an LL.B. with first class honors.</w:t>
      </w:r>
    </w:p>
    <w:p>
      <w:pPr>
        <w:pStyle w:val="TextBody"/>
        <w:bidi w:val="0"/>
        <w:spacing w:lineRule="auto" w:line="288" w:before="120" w:after="240"/>
        <w:ind w:left="0" w:right="0" w:firstLine="360"/>
        <w:jc w:val="both"/>
        <w:rPr/>
      </w:pPr>
      <w:r>
        <w:rPr>
          <w:rFonts w:ascii="Times New Roman;serif" w:hAnsi="Times New Roman;serif"/>
          <w:b w:val="false"/>
          <w:i/>
          <w:color w:val="000000"/>
          <w:sz w:val="20"/>
        </w:rPr>
        <w:t>Spencer Collins</w:t>
      </w:r>
      <w:r>
        <w:rPr>
          <w:color w:val="000000"/>
        </w:rPr>
        <w:t xml:space="preserve"> </w:t>
      </w:r>
      <w:r>
        <w:rPr>
          <w:rFonts w:ascii="Times New Roman;serif" w:hAnsi="Times New Roman;serif"/>
          <w:b w:val="false"/>
          <w:color w:val="000000"/>
          <w:sz w:val="20"/>
        </w:rPr>
        <w:t>has served as our Executive Vice President and Chief Legal Officer since September 2022. Prior to his appointment, he served as Interim General Counsel from February 2022. Mr. Collins has more than 20 years of industry experience and has served as lead counsel on many of the highest-profile M&amp;A and investment transactions in the technology sector. Prior to joining the Company, Mr. Collins was Managing Partner and General Counsel at SoftBank Investment Advisors, the investment manager of SoftBank Vision Fund. Mr. Collins has also served as a partner in the investment team at SoftBank Investment Advisors. Prior to joining SoftBank Investment Advisors, he practiced as a technology-focused M&amp;A and investment lawyer in the London offices of White &amp; Case and Allen &amp; Overy. Mr. Collins also spent time on secondment from Allen &amp; Overy to Fenwick &amp; West. Mr. Collins holds an LL.B. with first class honors.</w:t>
      </w:r>
    </w:p>
    <w:p>
      <w:pPr>
        <w:pStyle w:val="TextBody"/>
        <w:bidi w:val="0"/>
        <w:spacing w:lineRule="auto" w:line="288" w:before="120" w:after="240"/>
        <w:ind w:left="0" w:right="0" w:firstLine="360"/>
        <w:jc w:val="both"/>
        <w:rPr/>
      </w:pPr>
      <w:r>
        <w:rPr>
          <w:rFonts w:ascii="Times New Roman;serif" w:hAnsi="Times New Roman;serif"/>
          <w:b w:val="false"/>
          <w:i/>
          <w:color w:val="000000"/>
          <w:sz w:val="20"/>
        </w:rPr>
        <w:t>Richard Grisenthwaite</w:t>
      </w:r>
      <w:r>
        <w:rPr>
          <w:color w:val="000000"/>
        </w:rPr>
        <w:t xml:space="preserve"> </w:t>
      </w:r>
      <w:r>
        <w:rPr>
          <w:rFonts w:ascii="Times New Roman;serif" w:hAnsi="Times New Roman;serif"/>
          <w:b w:val="false"/>
          <w:color w:val="000000"/>
          <w:sz w:val="20"/>
        </w:rPr>
        <w:t xml:space="preserve">has served as our Executive Vice President and Chief Architect since March 2022. Mr. Grisenthwaite joined Arm in March 1997, and is responsible for the long-term evolution of our architecture, leading its development for more than 20 years, beginning with Armv6. He is currently leading development on Armv9 to ensure its specialized processing unlocks new markets and opportunities across the full spectrum of compute. Early in his tenure at the Company, Mr. Grisenthwaite worked on Arm720T, Arm940T, and Arm1136EJF-S. Prior to joining the Company, he worked for Analog Devices on fixed-function digital signal processors and at Inmos/ST on the Transputer. Mr. Grisenthwaite is an Arm fellow, has a B.A. in Electrical and Information Sciences from the University of Cambridge and holds 120 patents in the field of microprocessors. Additionally, Mr. Grisenthwaite serves on the U.K. government’s Semiconductor Advisory Panel. </w:t>
      </w:r>
    </w:p>
    <w:p>
      <w:pPr>
        <w:pStyle w:val="TextBody"/>
        <w:bidi w:val="0"/>
        <w:spacing w:lineRule="auto" w:line="288" w:before="120" w:after="240"/>
        <w:ind w:left="0" w:right="0" w:firstLine="360"/>
        <w:jc w:val="both"/>
        <w:rPr/>
      </w:pPr>
      <w:r>
        <w:rPr>
          <w:rFonts w:ascii="Times New Roman;serif" w:hAnsi="Times New Roman;serif"/>
          <w:b w:val="false"/>
          <w:i/>
          <w:color w:val="000000"/>
          <w:sz w:val="20"/>
        </w:rPr>
        <w:t>Will Abbey</w:t>
      </w:r>
      <w:r>
        <w:rPr>
          <w:color w:val="000000"/>
        </w:rPr>
        <w:t xml:space="preserve"> </w:t>
      </w:r>
      <w:r>
        <w:rPr>
          <w:rFonts w:ascii="Times New Roman;serif" w:hAnsi="Times New Roman;serif"/>
          <w:b w:val="false"/>
          <w:color w:val="000000"/>
          <w:sz w:val="20"/>
        </w:rPr>
        <w:t>has served as our Executive Vice President and Chief Commercial Officer since April 2023. Mr. Abbey joined the Company in 2004 and has held a number of leadership roles, including Senior Vice President of Sales and Partner Enablement, General Manager of our Physical Design group and Vice President of Commercial Operations for the Physical IP Division. Now, as Executive Vice President and Chief Commercial Officer, Mr. Abbey leads sales, field engineering, and partner enablement at the Company, helping some of the world’s most innovative organizations leverage the newest technologies to ready themselves for the next wave of digital transformation. From IP to AI, his unique insight has helped the world’s technology leaders transform their products and operations. Before joining the Company, he worked in product management positions at Celoxica, Infineon Technologies, and Loughborough Sound Images. Mr. Abbey serves on the board of EnPro Industries and Arm China and holds a BEng from Sheffield Hallam University, U.K.</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Family Relationships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no family relationships among any of our Non-Executive Directors or Senior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erif" w:hAnsi="Times New Roman;serif"/>
          <w:b/>
          <w:color w:val="000000"/>
          <w:sz w:val="20"/>
        </w:rPr>
        <w:t>B.    </w:t>
      </w:r>
      <w:r>
        <w:rPr>
          <w:rFonts w:ascii="Times New Roman;serif" w:hAnsi="Times New Roman;serif"/>
          <w:b/>
          <w:i/>
          <w:color w:val="000000"/>
          <w:sz w:val="20"/>
        </w:rPr>
        <w:t>Compensation</w:t>
      </w:r>
    </w:p>
    <w:p>
      <w:pPr>
        <w:pStyle w:val="TextBody"/>
        <w:bidi w:val="0"/>
        <w:spacing w:lineRule="auto" w:line="288" w:before="120" w:after="240"/>
        <w:ind w:left="0" w:right="0" w:firstLine="360"/>
        <w:jc w:val="both"/>
        <w:rPr/>
      </w:pPr>
      <w:r>
        <w:rPr>
          <w:rFonts w:ascii="Times New Roman;serif" w:hAnsi="Times New Roman;serif"/>
          <w:b w:val="false"/>
          <w:color w:val="000000"/>
          <w:sz w:val="20"/>
        </w:rPr>
        <w:t>Except for the information under “</w:t>
      </w:r>
      <w:r>
        <w:rPr>
          <w:rFonts w:ascii="Times New Roman;serif" w:hAnsi="Times New Roman;serif"/>
          <w:b w:val="false"/>
          <w:i/>
          <w:color w:val="000000"/>
          <w:sz w:val="20"/>
        </w:rPr>
        <w:t>Remuneration of Senior Management,</w:t>
      </w:r>
      <w:r>
        <w:rPr>
          <w:color w:val="000000"/>
        </w:rPr>
        <w:t>” “</w:t>
      </w:r>
      <w:r>
        <w:rPr>
          <w:rFonts w:ascii="Times New Roman;serif" w:hAnsi="Times New Roman;serif"/>
          <w:b w:val="false"/>
          <w:i/>
          <w:color w:val="000000"/>
          <w:sz w:val="20"/>
        </w:rPr>
        <w:t>Senior Management Employment Agreements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Description of Incentive Plans,</w:t>
      </w:r>
      <w:r>
        <w:rPr>
          <w:color w:val="000000"/>
        </w:rPr>
        <w:t xml:space="preserve">” </w:t>
      </w:r>
      <w:r>
        <w:rPr>
          <w:rFonts w:ascii="Times New Roman;serif" w:hAnsi="Times New Roman;serif"/>
          <w:b w:val="false"/>
          <w:color w:val="000000"/>
          <w:sz w:val="20"/>
        </w:rPr>
        <w:t xml:space="preserve">the following information on remuneration has been prepared in accordance with disclosure requirements for the Company under the Companies Act. </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Remuneration of Senior Management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fiscal year ended March 31, 2026, the aggregate remuneration paid to our Senior Management for services in all capacities, including retirement, benefits and vested Executive Awards (as described below), was approximately $115,850,000. This amount excludes outstanding Executive Awards and includes remuneration paid to members of Senior Management that were no longer members of Senior Management as of the end of the fiscal year.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set aside or accrue any amounts to provide pension, retirement or similar benefits to Senior Management, although we made defined contribution pension contributions on behalf of, and paid pension allowances to, our Senior Management in an aggregate amount of $237,000 during the fiscal year ended March 31, 2026, which is included in the aggregate remuneration figure reported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During the fiscal year ended March 31, 2026, pursuant to our equity incentive plans described below under </w:t>
      </w:r>
      <w:r>
        <w:rPr>
          <w:color w:val="000000"/>
        </w:rPr>
        <w:t>“—</w:t>
      </w:r>
      <w:r>
        <w:rPr>
          <w:rFonts w:ascii="Times New Roman;serif" w:hAnsi="Times New Roman;serif"/>
          <w:b w:val="false"/>
          <w:i/>
          <w:color w:val="000000"/>
          <w:sz w:val="20"/>
        </w:rPr>
        <w:t>Equity Incentive Plans,”</w:t>
      </w:r>
      <w:r>
        <w:rPr>
          <w:color w:val="000000"/>
        </w:rPr>
        <w:t xml:space="preserve"> </w:t>
      </w:r>
      <w:r>
        <w:rPr>
          <w:rFonts w:ascii="Times New Roman;serif" w:hAnsi="Times New Roman;serif"/>
          <w:b w:val="false"/>
          <w:color w:val="000000"/>
          <w:sz w:val="20"/>
        </w:rPr>
        <w:t>we granted conditional rights to receive a specified amount of our ordinary shares to our Senior Management, which we refer to as “Executive Awards,” in the aggregate amount of $91,665,000.</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Directors' Remuneration Policy</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Remuneration Policy was last approved by its shareholders at the Annual General Meeting (“AGM”) on September 11, 2024.</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March 2026, the Company expanded its offerings to include Arm-designed silicon products with the introduction of the Arm AGI CPU. In this context, the Remuneration Committee has proposed a revised FYE27 Remuneration Policy which incorporates two updates for equity awards: (i) adjusting the Performance Share Unit (“PSU”) maximum from 125% to 200% for the Company’s CEO, in line with the Arm Leadership Team and U.S. market practice, and (ii) introducing a new Value Creation Plan (“VCP”) PSU award for the CEO (the “VCP Award”), aligning potential compensation if certain exceptional growth metrics are met. All other elements of the Remuneration Policy remain unchanged from those previously approved in September 2024.</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approval by shareholders at the Company’s upcoming 2026 AGM, the amended Remuneration Policy (“Remuneration Policy”) will apply to the Company's Executive and Non-Executive Directors from September 9, 2026. If approved, the Remuneration Policy will remain in place for a period of three years from the effective date, unless the Remuneration Committee of the Company's Board of Directors (the “Remuneration Committee”) elects to seek approval by shareholders for a further amended policy. </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Remuneration policy table – Executive Director</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applies to any Executive Director. Currently, the only Executive Director is the CEO, but this policy will apply to any future Executive Directors appointed to the Board of Directors.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approach to executive remuneration is intended to enable Arm to attract and retain the highest caliber talent from the global technology industry. The Remuneration Committee has developed the CEO package to be competitive with U.S. standards reflecting the location of our key competitors for executive and other talent, the listing of our ADSs on Nasdaq and the US-location of our CEO.</w:t>
      </w:r>
    </w:p>
    <w:tbl>
      <w:tblPr>
        <w:tblW w:w="10205" w:type="dxa"/>
        <w:jc w:val="left"/>
        <w:tblInd w:w="0" w:type="dxa"/>
        <w:tblLayout w:type="fixed"/>
        <w:tblCellMar>
          <w:top w:w="28" w:type="dxa"/>
          <w:left w:w="28" w:type="dxa"/>
          <w:bottom w:w="28" w:type="dxa"/>
          <w:right w:w="28" w:type="dxa"/>
        </w:tblCellMar>
      </w:tblPr>
      <w:tblGrid>
        <w:gridCol w:w="706"/>
        <w:gridCol w:w="402"/>
        <w:gridCol w:w="404"/>
        <w:gridCol w:w="2527"/>
        <w:gridCol w:w="2527"/>
        <w:gridCol w:w="3639"/>
      </w:tblGrid>
      <w:tr>
        <w:trPr/>
        <w:tc>
          <w:tcPr>
            <w:tcW w:w="70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527" w:type="dxa"/>
            <w:tcBorders/>
            <w:vAlign w:val="center"/>
          </w:tcPr>
          <w:p>
            <w:pPr>
              <w:pStyle w:val="TableContents"/>
              <w:bidi w:val="0"/>
              <w:spacing w:before="0" w:after="283"/>
              <w:jc w:val="left"/>
              <w:rPr>
                <w:sz w:val="4"/>
                <w:szCs w:val="4"/>
              </w:rPr>
            </w:pPr>
            <w:r>
              <w:rPr>
                <w:sz w:val="4"/>
                <w:szCs w:val="4"/>
              </w:rPr>
            </w:r>
          </w:p>
        </w:tc>
        <w:tc>
          <w:tcPr>
            <w:tcW w:w="2527" w:type="dxa"/>
            <w:tcBorders/>
            <w:vAlign w:val="center"/>
          </w:tcPr>
          <w:p>
            <w:pPr>
              <w:pStyle w:val="TableContents"/>
              <w:bidi w:val="0"/>
              <w:spacing w:before="0" w:after="283"/>
              <w:jc w:val="left"/>
              <w:rPr>
                <w:sz w:val="4"/>
                <w:szCs w:val="4"/>
              </w:rPr>
            </w:pPr>
            <w:r>
              <w:rPr>
                <w:sz w:val="4"/>
                <w:szCs w:val="4"/>
              </w:rPr>
            </w:r>
          </w:p>
        </w:tc>
        <w:tc>
          <w:tcPr>
            <w:tcW w:w="3639"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Base Salary</w:t>
            </w:r>
          </w:p>
        </w:tc>
      </w:tr>
      <w:tr>
        <w:trPr/>
        <w:tc>
          <w:tcPr>
            <w:tcW w:w="15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Purpose and link to strategy</w:t>
            </w:r>
          </w:p>
        </w:tc>
        <w:tc>
          <w:tcPr>
            <w:tcW w:w="86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pPr>
            <w:r>
              <w:rPr>
                <w:rFonts w:ascii="Times New Roman;serif" w:hAnsi="Times New Roman;serif"/>
                <w:b w:val="false"/>
                <w:color w:val="000000"/>
                <w:sz w:val="20"/>
              </w:rPr>
              <w:t>To provide fixed remuneration to the Executive Director to reflect the responsibilities of the role.</w:t>
              <w:br/>
            </w:r>
            <w:r>
              <w:rPr>
                <w:rFonts w:ascii="Times New Roman;serif" w:hAnsi="Times New Roman;serif"/>
                <w:b w:val="false"/>
                <w:sz w:val="20"/>
              </w:rPr>
              <w:br/>
            </w:r>
            <w:r>
              <w:rPr>
                <w:rFonts w:ascii="Times New Roman;serif" w:hAnsi="Times New Roman;serif"/>
                <w:b w:val="false"/>
                <w:color w:val="000000"/>
                <w:sz w:val="20"/>
              </w:rPr>
              <w:t>To attract and retain the highest caliber talent from the global technology industry, including within the context of our growth aspirations.</w:t>
            </w:r>
          </w:p>
        </w:tc>
      </w:tr>
      <w:tr>
        <w:trPr/>
        <w:tc>
          <w:tcPr>
            <w:tcW w:w="15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w:t>
            </w:r>
          </w:p>
        </w:tc>
        <w:tc>
          <w:tcPr>
            <w:tcW w:w="86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pPr>
            <w:r>
              <w:rPr>
                <w:rFonts w:ascii="Times New Roman;serif" w:hAnsi="Times New Roman;serif"/>
                <w:b w:val="false"/>
                <w:color w:val="000000"/>
                <w:sz w:val="20"/>
              </w:rPr>
              <w:t>The Executive Director's salary is reviewed annually by the Remuneration Committee and any increase or adjustment is usually applied from April 1st of each year.</w:t>
              <w:br/>
            </w:r>
            <w:r>
              <w:rPr>
                <w:rFonts w:ascii="Times New Roman;serif" w:hAnsi="Times New Roman;serif"/>
                <w:b w:val="false"/>
                <w:sz w:val="20"/>
              </w:rPr>
              <w:br/>
            </w:r>
            <w:r>
              <w:rPr>
                <w:rFonts w:ascii="Times New Roman;serif" w:hAnsi="Times New Roman;serif"/>
                <w:b w:val="false"/>
                <w:color w:val="000000"/>
                <w:sz w:val="20"/>
              </w:rPr>
              <w:t>When reviewing the Executive Director's salary, the Remuneration Committee will take into account the general market movements, salary levels for comparable roles in comparable companies, the performance of the Company and the individual and any changes to the scope and/or responsibility of the role.</w:t>
            </w:r>
          </w:p>
        </w:tc>
      </w:tr>
      <w:tr>
        <w:trPr/>
        <w:tc>
          <w:tcPr>
            <w:tcW w:w="15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Maximum</w:t>
            </w:r>
          </w:p>
        </w:tc>
        <w:tc>
          <w:tcPr>
            <w:tcW w:w="86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 is no defined maximum salary. The salary and any increases are determined by the Remuneration Committee based on the factors described above.</w:t>
            </w:r>
          </w:p>
        </w:tc>
      </w:tr>
      <w:tr>
        <w:trPr/>
        <w:tc>
          <w:tcPr>
            <w:tcW w:w="15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conditions</w:t>
            </w:r>
          </w:p>
        </w:tc>
        <w:tc>
          <w:tcPr>
            <w:tcW w:w="869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0205"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Benefits</w:t>
            </w:r>
          </w:p>
        </w:tc>
      </w:tr>
      <w:tr>
        <w:trPr/>
        <w:tc>
          <w:tcPr>
            <w:tcW w:w="151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Purpose and link to strategy</w:t>
            </w:r>
          </w:p>
        </w:tc>
        <w:tc>
          <w:tcPr>
            <w:tcW w:w="869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 provide competitive benefits that enable our people’s wellbeing. Benefits align with the wider workforce and reflect those commonly available in the Executive Director’s home country.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99"/>
        <w:gridCol w:w="439"/>
        <w:gridCol w:w="446"/>
        <w:gridCol w:w="2583"/>
        <w:gridCol w:w="2583"/>
        <w:gridCol w:w="3655"/>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3655" w:type="dxa"/>
            <w:tcBorders/>
            <w:vAlign w:val="center"/>
          </w:tcPr>
          <w:p>
            <w:pPr>
              <w:pStyle w:val="TableContents"/>
              <w:bidi w:val="0"/>
              <w:spacing w:before="0" w:after="283"/>
              <w:jc w:val="left"/>
              <w:rPr>
                <w:sz w:val="4"/>
                <w:szCs w:val="4"/>
              </w:rPr>
            </w:pPr>
            <w:r>
              <w:rPr>
                <w:sz w:val="4"/>
                <w:szCs w:val="4"/>
              </w:rPr>
            </w:r>
          </w:p>
        </w:tc>
      </w:tr>
      <w:tr>
        <w:trPr/>
        <w:tc>
          <w:tcPr>
            <w:tcW w:w="13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w:t>
            </w:r>
          </w:p>
        </w:tc>
        <w:tc>
          <w:tcPr>
            <w:tcW w:w="88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pPr>
            <w:r>
              <w:rPr>
                <w:rFonts w:ascii="Times New Roman;serif" w:hAnsi="Times New Roman;serif"/>
                <w:b w:val="false"/>
                <w:color w:val="000000"/>
                <w:sz w:val="20"/>
              </w:rPr>
              <w:t>Benefits provided to the Executive Director include vacation, health coverage and insurance, accident and disability insurance, and group life insurance. The Executive Director is also eligible to receive benefits offered to the wider workforce within their home country.</w:t>
              <w:br/>
            </w:r>
            <w:r>
              <w:rPr>
                <w:rFonts w:ascii="Times New Roman;serif" w:hAnsi="Times New Roman;serif"/>
                <w:b w:val="false"/>
                <w:sz w:val="20"/>
              </w:rPr>
              <w:br/>
            </w:r>
            <w:r>
              <w:rPr>
                <w:rFonts w:ascii="Times New Roman;serif" w:hAnsi="Times New Roman;serif"/>
                <w:b w:val="false"/>
                <w:color w:val="000000"/>
                <w:sz w:val="20"/>
              </w:rPr>
              <w:t>Situation-specific taxable benefits may be provided as may be required in the interests of the Company’s business such as, but not limited to, company paid car or telephone, car allowance, memberships, directors and officers indemnification and insurance cover, and tax return preparation and advice. Executive Directors may receive other benefits that are judged to be cost-effective and appropriate in terms of the individual’s role, time and/or security.</w:t>
              <w:br/>
            </w:r>
            <w:r>
              <w:rPr>
                <w:rFonts w:ascii="Times New Roman;serif" w:hAnsi="Times New Roman;serif"/>
                <w:b w:val="false"/>
                <w:sz w:val="20"/>
              </w:rPr>
              <w:br/>
            </w:r>
            <w:r>
              <w:rPr>
                <w:rFonts w:ascii="Times New Roman;serif" w:hAnsi="Times New Roman;serif"/>
                <w:b w:val="false"/>
                <w:color w:val="000000"/>
                <w:sz w:val="20"/>
              </w:rPr>
              <w:t>Where applicable, the Company may provide housing or relocation allowances, travel allowance and expenses, tax equalization or other expatriate benefits, and where necessary some or all of these benefits may be grossed up for taxes.</w:t>
              <w:br/>
            </w:r>
            <w:r>
              <w:rPr>
                <w:rFonts w:ascii="Times New Roman;serif" w:hAnsi="Times New Roman;serif"/>
                <w:b w:val="false"/>
                <w:sz w:val="20"/>
              </w:rPr>
              <w:br/>
            </w:r>
            <w:r>
              <w:rPr>
                <w:rFonts w:ascii="Times New Roman;serif" w:hAnsi="Times New Roman;serif"/>
                <w:b w:val="false"/>
                <w:color w:val="000000"/>
                <w:sz w:val="20"/>
              </w:rPr>
              <w:t>Other benefits may be provided if the Remuneration Committee considers it appropriate, in its discretion.</w:t>
              <w:br/>
            </w:r>
            <w:r>
              <w:rPr>
                <w:rFonts w:ascii="Times New Roman;serif" w:hAnsi="Times New Roman;serif"/>
                <w:b w:val="false"/>
                <w:sz w:val="20"/>
              </w:rPr>
              <w:br/>
            </w:r>
            <w:r>
              <w:rPr>
                <w:rFonts w:ascii="Times New Roman;serif" w:hAnsi="Times New Roman;serif"/>
                <w:b w:val="false"/>
                <w:color w:val="000000"/>
                <w:sz w:val="20"/>
              </w:rPr>
              <w:t>Any reasonable business-related expenses, in line with the Company’s expenses policy from time to time, may be reimbursed, including any taxes payable if reimbursement is determined to be a taxable benefit. Where necessary some or all expenses may be grossed up for taxes.</w:t>
            </w:r>
          </w:p>
        </w:tc>
      </w:tr>
      <w:tr>
        <w:trPr/>
        <w:tc>
          <w:tcPr>
            <w:tcW w:w="13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Maximum</w:t>
            </w:r>
          </w:p>
        </w:tc>
        <w:tc>
          <w:tcPr>
            <w:tcW w:w="88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pPr>
            <w:r>
              <w:rPr>
                <w:rFonts w:ascii="Times New Roman;serif" w:hAnsi="Times New Roman;serif"/>
                <w:b w:val="false"/>
                <w:color w:val="000000"/>
                <w:sz w:val="20"/>
              </w:rPr>
              <w:t xml:space="preserve">Reasonable market cost of providing the benefits. </w:t>
              <w:br/>
            </w:r>
            <w:r>
              <w:rPr>
                <w:rFonts w:ascii="Times New Roman;serif" w:hAnsi="Times New Roman;serif"/>
                <w:b w:val="false"/>
                <w:sz w:val="20"/>
              </w:rPr>
              <w:br/>
            </w:r>
            <w:r>
              <w:rPr>
                <w:rFonts w:ascii="Times New Roman;serif" w:hAnsi="Times New Roman;serif"/>
                <w:b w:val="false"/>
                <w:color w:val="000000"/>
                <w:sz w:val="20"/>
              </w:rPr>
              <w:t>The Remuneration Committee shall have the discretion to introduce new benefits where these are introduced for the wider workforce, where it concludes that it is in the interests of the Company to do so, or which are considered necessary or desirable to support the executive in the execution of their duties, having regard to the particular circumstances of the individual.</w:t>
              <w:br/>
            </w:r>
            <w:r>
              <w:rPr>
                <w:rFonts w:ascii="Times New Roman;serif" w:hAnsi="Times New Roman;serif"/>
                <w:b w:val="false"/>
                <w:sz w:val="20"/>
              </w:rPr>
              <w:br/>
            </w:r>
            <w:r>
              <w:rPr>
                <w:rFonts w:ascii="Times New Roman;serif" w:hAnsi="Times New Roman;serif"/>
                <w:b w:val="false"/>
                <w:color w:val="000000"/>
                <w:sz w:val="20"/>
              </w:rPr>
              <w:t>There is no overall defined maximum level of benefit.</w:t>
            </w:r>
          </w:p>
        </w:tc>
      </w:tr>
      <w:tr>
        <w:trPr/>
        <w:tc>
          <w:tcPr>
            <w:tcW w:w="13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conditions</w:t>
            </w:r>
          </w:p>
        </w:tc>
        <w:tc>
          <w:tcPr>
            <w:tcW w:w="882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0205"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Pension</w:t>
            </w:r>
          </w:p>
        </w:tc>
      </w:tr>
      <w:tr>
        <w:trPr/>
        <w:tc>
          <w:tcPr>
            <w:tcW w:w="13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Purpose and link to strategy</w:t>
            </w:r>
          </w:p>
        </w:tc>
        <w:tc>
          <w:tcPr>
            <w:tcW w:w="88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Enable the Executive Director to save for retirement and ensures their overall remuneration is competitive.</w:t>
            </w:r>
          </w:p>
        </w:tc>
      </w:tr>
      <w:tr>
        <w:trPr/>
        <w:tc>
          <w:tcPr>
            <w:tcW w:w="13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w:t>
            </w:r>
          </w:p>
        </w:tc>
        <w:tc>
          <w:tcPr>
            <w:tcW w:w="88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pPr>
            <w:r>
              <w:rPr>
                <w:rFonts w:ascii="Times New Roman;serif" w:hAnsi="Times New Roman;serif"/>
                <w:b w:val="false"/>
                <w:color w:val="000000"/>
                <w:sz w:val="20"/>
              </w:rPr>
              <w:t>The Executive Director is invited to participate in the pension arrangements in their local market and will receive the same level of contributions as other employees in that market.</w:t>
              <w:br/>
            </w:r>
            <w:r>
              <w:rPr>
                <w:rFonts w:ascii="Times New Roman;serif" w:hAnsi="Times New Roman;serif"/>
                <w:b w:val="false"/>
                <w:sz w:val="20"/>
              </w:rPr>
              <w:br/>
            </w:r>
            <w:r>
              <w:rPr>
                <w:rFonts w:ascii="Times New Roman;serif" w:hAnsi="Times New Roman;serif"/>
                <w:b w:val="false"/>
                <w:color w:val="000000"/>
                <w:sz w:val="20"/>
              </w:rPr>
              <w:t>The Company may make payments of defined contribution pension contributions and pension allowances, which can either be made directly to the pension scheme or in cash via payroll.</w:t>
              <w:br/>
            </w:r>
            <w:r>
              <w:rPr>
                <w:rFonts w:ascii="Times New Roman;serif" w:hAnsi="Times New Roman;serif"/>
                <w:b w:val="false"/>
                <w:sz w:val="20"/>
              </w:rPr>
              <w:br/>
            </w:r>
            <w:r>
              <w:rPr>
                <w:rFonts w:ascii="Times New Roman;serif" w:hAnsi="Times New Roman;serif"/>
                <w:b w:val="false"/>
                <w:color w:val="000000"/>
                <w:sz w:val="20"/>
              </w:rPr>
              <w:t>In the U.S., employees including the Executive Director may contribute into the Company's 401(k) Savings Plan, and the Company matches 100% up to the first 6% of employee contributions. A portion of the Executive Director’s contributions will be matched each pay period subject to annual IRS limits.</w:t>
              <w:br/>
            </w:r>
            <w:r>
              <w:rPr>
                <w:rFonts w:ascii="Times New Roman;serif" w:hAnsi="Times New Roman;serif"/>
                <w:b w:val="false"/>
                <w:sz w:val="20"/>
              </w:rPr>
              <w:br/>
            </w:r>
            <w:r>
              <w:rPr>
                <w:rFonts w:ascii="Times New Roman;serif" w:hAnsi="Times New Roman;serif"/>
                <w:b w:val="false"/>
                <w:color w:val="000000"/>
                <w:sz w:val="20"/>
              </w:rPr>
              <w:t>The Company does not set aside or accrue any amounts to provide pension, retirement or similar benefits to executives.</w:t>
            </w:r>
          </w:p>
        </w:tc>
      </w:tr>
      <w:tr>
        <w:trPr/>
        <w:tc>
          <w:tcPr>
            <w:tcW w:w="13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Maximum</w:t>
            </w:r>
          </w:p>
        </w:tc>
        <w:tc>
          <w:tcPr>
            <w:tcW w:w="88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maximum percentage may not exceed the workforce rate. The Remuneration Committee has discretion to consider the relevant workforce rate including consideration of the relevant jurisdiction.</w:t>
            </w:r>
          </w:p>
        </w:tc>
      </w:tr>
      <w:tr>
        <w:trPr/>
        <w:tc>
          <w:tcPr>
            <w:tcW w:w="13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conditions</w:t>
            </w:r>
          </w:p>
        </w:tc>
        <w:tc>
          <w:tcPr>
            <w:tcW w:w="882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0205"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Annual Bonus</w:t>
            </w:r>
          </w:p>
        </w:tc>
      </w:tr>
      <w:tr>
        <w:trPr/>
        <w:tc>
          <w:tcPr>
            <w:tcW w:w="13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Purpose and link to strategy</w:t>
            </w:r>
          </w:p>
        </w:tc>
        <w:tc>
          <w:tcPr>
            <w:tcW w:w="882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purpose of the Arm Annual Bonus Plan (as defined below) is to incentivize the Executive Director towards achieving stretching short-term goals based on the Company's strategy.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88"/>
        <w:gridCol w:w="429"/>
        <w:gridCol w:w="436"/>
        <w:gridCol w:w="2657"/>
        <w:gridCol w:w="2558"/>
        <w:gridCol w:w="3637"/>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w:t>
            </w:r>
          </w:p>
        </w:tc>
        <w:tc>
          <w:tcPr>
            <w:tcW w:w="88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pPr>
            <w:r>
              <w:rPr>
                <w:rFonts w:ascii="Times New Roman;serif" w:hAnsi="Times New Roman;serif"/>
                <w:b w:val="false"/>
                <w:color w:val="000000"/>
                <w:sz w:val="20"/>
              </w:rPr>
              <w:t>The Remuneration Committee sets the performance conditions towards the beginning of each fiscal year with the relevant weightings, which are communicated to the Executive Director. The Remuneration Committee assesses performance at the end of the fiscal year against these targets. Any amount is fully paid in cash.</w:t>
              <w:br/>
            </w:r>
            <w:r>
              <w:rPr>
                <w:rFonts w:ascii="Times New Roman;serif" w:hAnsi="Times New Roman;serif"/>
                <w:b w:val="false"/>
                <w:sz w:val="20"/>
              </w:rPr>
              <w:br/>
            </w:r>
            <w:r>
              <w:rPr>
                <w:rFonts w:ascii="Times New Roman;serif" w:hAnsi="Times New Roman;serif"/>
                <w:b w:val="false"/>
                <w:color w:val="000000"/>
                <w:sz w:val="20"/>
              </w:rPr>
              <w:t>The Remuneration Committee retains the right to exercise its discretion in the event that the formulaic outturn of the bonus does not reflect the Company or individual’s overall performance.</w:t>
            </w:r>
          </w:p>
        </w:tc>
      </w:tr>
      <w:tr>
        <w:trPr/>
        <w:tc>
          <w:tcPr>
            <w:tcW w:w="13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Maximum</w:t>
            </w:r>
          </w:p>
        </w:tc>
        <w:tc>
          <w:tcPr>
            <w:tcW w:w="88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maximum is 125% of salary for target performance. The plan may then pay up to 200% of target depending on company performance, plus any individual performance multiplier of up to 1.25x (maximum of 312.5% of salary).</w:t>
            </w:r>
          </w:p>
        </w:tc>
      </w:tr>
      <w:tr>
        <w:trPr/>
        <w:tc>
          <w:tcPr>
            <w:tcW w:w="13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conditions</w:t>
            </w:r>
          </w:p>
        </w:tc>
        <w:tc>
          <w:tcPr>
            <w:tcW w:w="885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performance conditions may include financial targets (including for example revenue and/or profit targets) and strategic measures, and/or any other measures that the Remuneration Committee considers appropriate, in its discretion. At least 50% of the performance conditions in any year will be financial targets.</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exact measures, weightings, thresholds for vesting and targets are determined by the Remuneration Committee each year taking into account the Company's key strategic priorities and any other priorities which the Remuneration Committee considers are important, in its discretion, for the Executive Director to prioritize. No amounts are paid for below threshold performance. Maximum payment requires stretching levels of outperformance.</w:t>
            </w:r>
          </w:p>
        </w:tc>
      </w:tr>
      <w:tr>
        <w:trPr/>
        <w:tc>
          <w:tcPr>
            <w:tcW w:w="10205"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Equity Awards</w:t>
            </w:r>
          </w:p>
        </w:tc>
      </w:tr>
      <w:tr>
        <w:trPr/>
        <w:tc>
          <w:tcPr>
            <w:tcW w:w="13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Purpose and link to strategy</w:t>
            </w:r>
          </w:p>
        </w:tc>
        <w:tc>
          <w:tcPr>
            <w:tcW w:w="88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 incentivize the Executive Director towards achieving long-term goals based on the Company's strategy and to align their remuneration with shareholder interests.</w:t>
            </w:r>
          </w:p>
        </w:tc>
      </w:tr>
      <w:tr>
        <w:trPr/>
        <w:tc>
          <w:tcPr>
            <w:tcW w:w="135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w:t>
            </w:r>
          </w:p>
        </w:tc>
        <w:tc>
          <w:tcPr>
            <w:tcW w:w="885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pPr>
            <w:r>
              <w:rPr>
                <w:rFonts w:ascii="Times New Roman;serif" w:hAnsi="Times New Roman;serif"/>
                <w:b w:val="false"/>
                <w:color w:val="000000"/>
                <w:sz w:val="20"/>
              </w:rPr>
              <w:t>The Executive Director is granted equity awards annually which can take the form of RSUs, performance share units (“PSUs”), dividend equivalent rights, restricted shares, options or share appreciation rights (“SARs”) (or other forms of awards) under the Arm Holdings 2023 Omnibus Incentive Plan (the "Omnibus Incentive Plan") or successor plans. The Remuneration Committee will determine, in its discretion, the vesting and, if relevant, the performance conditions applicable to the awards of the Executive Director.</w:t>
              <w:br/>
            </w:r>
            <w:r>
              <w:rPr>
                <w:rFonts w:ascii="Times New Roman;serif" w:hAnsi="Times New Roman;serif"/>
                <w:b w:val="false"/>
                <w:sz w:val="20"/>
              </w:rPr>
              <w:br/>
            </w:r>
            <w:r>
              <w:rPr>
                <w:rFonts w:ascii="Times New Roman;serif" w:hAnsi="Times New Roman;serif"/>
                <w:b w:val="false"/>
                <w:color w:val="000000"/>
                <w:sz w:val="20"/>
              </w:rPr>
              <w:t>Annual Awards to the Executive Director will vest over at least three years, subject to the Executive Director remaining in employment and subject to any performance conditions being met. Market price share options would have an overall life cycle of 10 years. Dividend equivalents may be paid on RSUs or PSUs to the extent that the awards vest.</w:t>
              <w:br/>
            </w:r>
            <w:r>
              <w:rPr>
                <w:rFonts w:ascii="Times New Roman;serif" w:hAnsi="Times New Roman;serif"/>
                <w:b w:val="false"/>
                <w:sz w:val="20"/>
              </w:rPr>
              <w:br/>
            </w:r>
            <w:r>
              <w:rPr>
                <w:rFonts w:ascii="Times New Roman;serif" w:hAnsi="Times New Roman;serif"/>
                <w:b w:val="false"/>
                <w:color w:val="000000"/>
                <w:sz w:val="20"/>
              </w:rPr>
              <w:t>For the fiscal year ending March 31, 2027, the Annual Awards will be made in the form of PSUs and it is anticipated that PSUs will form the majority or entirety of awards for the Executive Director in future years.</w:t>
              <w:br/>
            </w:r>
            <w:r>
              <w:rPr>
                <w:rFonts w:ascii="Times New Roman;serif" w:hAnsi="Times New Roman;serif"/>
                <w:b w:val="false"/>
                <w:sz w:val="20"/>
              </w:rPr>
              <w:br/>
            </w:r>
            <w:r>
              <w:rPr>
                <w:rFonts w:ascii="Times New Roman;serif" w:hAnsi="Times New Roman;serif"/>
                <w:b w:val="false"/>
                <w:color w:val="000000"/>
                <w:sz w:val="20"/>
              </w:rPr>
              <w:t>In FYE27, in addition to the Annual Award, the Executive Director will be granted a VCP Award of PSUs under the Omnibus Incentive Plan. This grant will vest over a period of seven years subject to the achievement of market capitalization targets.</w:t>
              <w:br/>
            </w:r>
            <w:r>
              <w:rPr>
                <w:rFonts w:ascii="Times New Roman;serif" w:hAnsi="Times New Roman;serif"/>
                <w:b w:val="false"/>
                <w:sz w:val="20"/>
              </w:rPr>
              <w:br/>
            </w:r>
            <w:r>
              <w:rPr>
                <w:rFonts w:ascii="Times New Roman;serif" w:hAnsi="Times New Roman;serif"/>
                <w:b w:val="false"/>
                <w:color w:val="000000"/>
                <w:sz w:val="20"/>
              </w:rPr>
              <w:t>The Remuneration Committee retains the right to exercise its discretion in the event that the formulaic outturn of the performance measures does not reflect the Company or individual’s overall performance.</w:t>
              <w:br/>
            </w:r>
            <w:r>
              <w:rPr>
                <w:rFonts w:ascii="Times New Roman;serif" w:hAnsi="Times New Roman;serif"/>
                <w:b w:val="false"/>
                <w:sz w:val="20"/>
              </w:rPr>
              <w:br/>
            </w:r>
            <w:r>
              <w:rPr>
                <w:rFonts w:ascii="Times New Roman;serif" w:hAnsi="Times New Roman;serif"/>
                <w:b w:val="false"/>
                <w:color w:val="000000"/>
                <w:sz w:val="20"/>
              </w:rPr>
              <w:t>The Executive Director may also participate in any all employee share purchase plan or share option plan that is adopted by the Company on the same terms and conditions as other employees.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67"/>
        <w:gridCol w:w="411"/>
        <w:gridCol w:w="414"/>
        <w:gridCol w:w="2622"/>
        <w:gridCol w:w="2597"/>
        <w:gridCol w:w="3694"/>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3694" w:type="dxa"/>
            <w:tcBorders/>
            <w:vAlign w:val="center"/>
          </w:tcPr>
          <w:p>
            <w:pPr>
              <w:pStyle w:val="TableContents"/>
              <w:bidi w:val="0"/>
              <w:spacing w:before="0" w:after="283"/>
              <w:jc w:val="left"/>
              <w:rPr>
                <w:sz w:val="4"/>
                <w:szCs w:val="4"/>
              </w:rPr>
            </w:pPr>
            <w:r>
              <w:rPr>
                <w:sz w:val="4"/>
                <w:szCs w:val="4"/>
              </w:rPr>
            </w:r>
          </w:p>
        </w:tc>
      </w:tr>
      <w:tr>
        <w:trPr/>
        <w:tc>
          <w:tcPr>
            <w:tcW w:w="12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Maximum</w:t>
            </w:r>
          </w:p>
        </w:tc>
        <w:tc>
          <w:tcPr>
            <w:tcW w:w="891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pPr>
            <w:r>
              <w:rPr>
                <w:rFonts w:ascii="Times New Roman;serif" w:hAnsi="Times New Roman;serif"/>
                <w:b w:val="false"/>
                <w:color w:val="000000"/>
                <w:sz w:val="20"/>
              </w:rPr>
              <w:t>The maximum initial target value of the Annual Awards will be 14 times base salary (assessed at the time of grant). Awards may then vest up to 200% of the target value based on satisfaction of stretching performance conditions.</w:t>
              <w:br/>
            </w:r>
            <w:r>
              <w:rPr>
                <w:rFonts w:ascii="Times New Roman;serif" w:hAnsi="Times New Roman;serif"/>
                <w:b w:val="false"/>
                <w:sz w:val="20"/>
              </w:rPr>
              <w:br/>
            </w:r>
            <w:r>
              <w:rPr>
                <w:rFonts w:ascii="Times New Roman;serif" w:hAnsi="Times New Roman;serif"/>
                <w:b w:val="false"/>
                <w:color w:val="000000"/>
                <w:sz w:val="20"/>
              </w:rPr>
              <w:t>The maximum initial target value of the VCP Award will be 100% of the value at grant of 425,000 PSUs, based on satisfaction of certain market capitalization milestones.</w:t>
            </w:r>
          </w:p>
        </w:tc>
      </w:tr>
      <w:tr>
        <w:trPr/>
        <w:tc>
          <w:tcPr>
            <w:tcW w:w="129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conditions</w:t>
            </w:r>
          </w:p>
        </w:tc>
        <w:tc>
          <w:tcPr>
            <w:tcW w:w="891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pPr>
            <w:r>
              <w:rPr>
                <w:rFonts w:ascii="Times New Roman;serif" w:hAnsi="Times New Roman;serif"/>
                <w:b w:val="false"/>
                <w:color w:val="000000"/>
                <w:sz w:val="20"/>
              </w:rPr>
              <w:t>The Annual Award performance conditions may include financial targets (including for example revenue and profit targets, or relative or absolute total shareholder return or earnings per share targets) and strategic measures. These will be set over a three year period and tested annually in relation to the relevant tranche and/or at the end of the three year performance period.</w:t>
              <w:br/>
            </w:r>
            <w:r>
              <w:rPr>
                <w:rFonts w:ascii="Times New Roman;serif" w:hAnsi="Times New Roman;serif"/>
                <w:b w:val="false"/>
                <w:sz w:val="20"/>
              </w:rPr>
              <w:br/>
            </w:r>
            <w:r>
              <w:rPr>
                <w:rFonts w:ascii="Times New Roman;serif" w:hAnsi="Times New Roman;serif"/>
                <w:b w:val="false"/>
                <w:color w:val="000000"/>
                <w:sz w:val="20"/>
              </w:rPr>
              <w:t>The exact measures, weightings, thresholds for vesting and targets are determined by the Remuneration Committee, in its discretion, each year taking into account the Company's key strategic priorities. The targets will, where relevant, be determined in accordance with the Company's annual budget. No amounts are paid for below threshold performance.</w:t>
              <w:br/>
            </w:r>
            <w:r>
              <w:rPr>
                <w:rFonts w:ascii="Times New Roman;serif" w:hAnsi="Times New Roman;serif"/>
                <w:b w:val="false"/>
                <w:sz w:val="20"/>
              </w:rPr>
              <w:br/>
            </w:r>
            <w:r>
              <w:rPr>
                <w:rFonts w:ascii="Times New Roman;serif" w:hAnsi="Times New Roman;serif"/>
                <w:b w:val="false"/>
                <w:color w:val="000000"/>
                <w:sz w:val="20"/>
              </w:rPr>
              <w:t>The VCP Award performance condition will be market capitalization milestones: $1.0 trillion by March 31, 2029, $1.5 trillion by March 31, 2030, and $2.0 trillion by March 31, 2031. 25% of the VCP award is tied to each interim milestone, with the remaining 50% tied to the final $2.0 trillion milestone. Achievement of the milestone will be determined based on the rolling average closing price over any 60-day period prior to the relevant milestone date. Achievement may be satisfied based on any such qualifying period.</w:t>
              <w:br/>
            </w:r>
            <w:r>
              <w:rPr>
                <w:rFonts w:ascii="Times New Roman;serif" w:hAnsi="Times New Roman;serif"/>
                <w:b w:val="false"/>
                <w:sz w:val="20"/>
              </w:rPr>
              <w:br/>
            </w:r>
            <w:r>
              <w:rPr>
                <w:rFonts w:ascii="Times New Roman;serif" w:hAnsi="Times New Roman;serif"/>
                <w:b w:val="false"/>
                <w:color w:val="000000"/>
                <w:sz w:val="20"/>
              </w:rPr>
              <w:t>The Committee shall determine the extent to which the performance measures have been met and may make adjustments to the targets in the event that the Committee determines this is appropriate. Adjusted targets will be no less challenging as those originally set.</w:t>
            </w:r>
          </w:p>
        </w:tc>
      </w:tr>
    </w:tbl>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2026 Amendment to Executive Director Equity Awards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Executive Director Equity Award updates include: (i) an adjustment to the CEO PSU maximum from 125% to 200%, and (ii) the introduction of the VCP Award. The adjustment to the CEO PSU maximum will apply to all awards granted to the CEO from May 2026 onward, conditioned on shareholder approval of the new Remuneration Policy at the 2026 AGM.</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Implementation of Remuneration Policy for the Fiscal Year ending March 31, 2027</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Details of how the Remuneration Policy will be implemented for the next fiscal year are set out below:</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Base salary</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the Remuneration Committee reviewed the base salary for the CEO. The Remuneration Committee did not propose any increase and, as such, the CEO’s base salary will remain at $1,350,000. The Remuneration Committee will continue to review this on an on-going basis. The average global workforce salary increase through the annual review process for the fiscal year ending March 31, 2027 (inclusive of promotions and effective April 1, 2026) was 7.20%.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Pension</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CEO participates in the Company’s 401(k) Savings Plan and receives a match of up to 6% of the employee contribution in line with the workforce rate. The CEO’s estimated 401(k) employer match is approximately $14,000.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Annual bonus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Remuneration Committee sets the target annual bonus at 125% of salary for the CEO with up to 187.5% of this amount being paid for maximum levels of performance. The award will be subject to the Company's attainment of goals relating to Revenue (50% weighting) and the Non-GAAP Operating Income (50% weighting).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Any payment above target will be subject to the Company's achievement of goals relating to strategic priorities through a modifier of 1x to 1.5x. An individual performance multiplier of up to 1.25x is then applied to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performance outcome to give a maximum total payment of 187.5% of target. The Remuneration Committee will have overall discretion to adjust the formulaic outturn based on the company’s overall performance for the year. Any pay-out will be subject to the Company’s Clawback Policy.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Equity awards</w:t>
      </w:r>
    </w:p>
    <w:p>
      <w:pPr>
        <w:pStyle w:val="TextBody"/>
        <w:bidi w:val="0"/>
        <w:spacing w:lineRule="auto" w:line="288" w:before="12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1.Annual Award</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CEO will be granted an Annual Award of PSUs which will have an initial target value of 14 times base salary. The maximum opportunity will be 200% of grant. </w:t>
      </w:r>
    </w:p>
    <w:p>
      <w:pPr>
        <w:pStyle w:val="TextBody"/>
        <w:bidi w:val="0"/>
        <w:spacing w:lineRule="auto" w:line="288" w:before="6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75% of the award will be assessed over three separate one-year performance periods, with 25% allocated to each year. For each period, performance will be measured against the following metrics (which together make up 100% of that year’s maximum allocation):</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Revenue (25%)</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Non-GAAP Operating Income (25%)</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color w:val="000000"/>
          <w:sz w:val="20"/>
        </w:rPr>
        <w:t>Strategic Priorities (applied as a modifier of up to 2x on the combined financial performance, enabling a total outcome of up to 100%)</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Strategic Priorities are linked thematically to Arm's potential growth drivers. Financial performance targets are based on the Board-approved budget for the financial year. At the end of each fiscal year, performance against these financial and strategic measures will be evaluated. Based on this assessment, the resulting payout for each period can range from 0% to 200%.</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25% of the award will be subject to relative total shareholder return (“Relative TSR”) measured over the full three-year performance period. Total shareholder return will be measured relative to the S&amp;P 500 IT Sector Index. At the end of the three-year performance period Relative TSR achievement will be measured. 0% of the Relative TSR portion will vest if the Company’s total shareholder return is at or below the 25th percentile of the index and 200% of the Relative TSR portion if the Company’s total shareholder return is at or above the 75th percentile of the index with linear interpolation for intermediate levels of performance.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Remuneration Committee believes the salary multiple delivered at maximum appropriately reflects the sustained stretch performance required across financial and strategic measures to deliver the maximum vesting scenario. By design, these goals provide significant alignment to shareholder value creation in both the long and short term. Strategic measures will be assessed on a pass-fail basis with no credit given when not achieved in full.</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2. VCP Award</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one-time VCP award of 425,000 PSUs will have a maximum vesting opportunity of 100% with the objective of achieving a $2.0 trillion market capitalization by March 31, 2031.</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VCP Award has three tranches as set forth in the table below, each contingent on achieving specified market capitalization milestones: $1.0 trillion by March 31, 2029, $1.5 trillion by March 31, 2030, and $2.0 trillion by March 31, 2031. 25% of the VCP award is tied to each interim milestone, with the remaining 50% tied to the final $2.0 trillion milestone.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an interim milestone is not achieved within the specified timeframe, the associated portion will roll forward and remain eligible for vesting upon achievement of a subsequent milestone. Achievement of the market capitalization milestones will be determined based on the rolling average closing price over any 60-day period prior to the relevant milestone date. Achievement may be satisfied based on any such qualifying period.</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Vesting occurs on April 1, two years following the relevant milestone date, with the award fully vested by April 1, 2033, subject to continued employment.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Remuneration Committee believes the value delivered to the CEO at maximum vesting of 100% appropriately reflects the significant value creation required by market capitalization milestones.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0"/>
        <w:jc w:val="both"/>
        <w:rPr/>
      </w:pPr>
      <w:r>
        <w:rPr/>
      </w:r>
    </w:p>
    <w:tbl>
      <w:tblPr>
        <w:tblW w:w="8143" w:type="dxa"/>
        <w:jc w:val="left"/>
        <w:tblInd w:w="0" w:type="dxa"/>
        <w:tblLayout w:type="fixed"/>
        <w:tblCellMar>
          <w:top w:w="28" w:type="dxa"/>
          <w:left w:w="28" w:type="dxa"/>
          <w:bottom w:w="28" w:type="dxa"/>
          <w:right w:w="28" w:type="dxa"/>
        </w:tblCellMar>
      </w:tblPr>
      <w:tblGrid>
        <w:gridCol w:w="304"/>
        <w:gridCol w:w="268"/>
        <w:gridCol w:w="269"/>
        <w:gridCol w:w="954"/>
        <w:gridCol w:w="954"/>
        <w:gridCol w:w="956"/>
        <w:gridCol w:w="489"/>
        <w:gridCol w:w="489"/>
        <w:gridCol w:w="491"/>
        <w:gridCol w:w="579"/>
        <w:gridCol w:w="579"/>
        <w:gridCol w:w="581"/>
        <w:gridCol w:w="359"/>
        <w:gridCol w:w="359"/>
        <w:gridCol w:w="512"/>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Tranche</w:t>
            </w:r>
          </w:p>
        </w:tc>
        <w:tc>
          <w:tcPr>
            <w:tcW w:w="28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Market Capitalization Milestone</w:t>
            </w:r>
          </w:p>
        </w:tc>
        <w:tc>
          <w:tcPr>
            <w:tcW w:w="14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Achieved before</w:t>
            </w:r>
          </w:p>
        </w:tc>
        <w:tc>
          <w:tcPr>
            <w:tcW w:w="17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Cumulative vesting</w:t>
            </w:r>
          </w:p>
        </w:tc>
        <w:tc>
          <w:tcPr>
            <w:tcW w:w="12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Vest date</w:t>
            </w:r>
          </w:p>
        </w:tc>
      </w:tr>
      <w:tr>
        <w:trPr/>
        <w:tc>
          <w:tcPr>
            <w:tcW w:w="8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28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 trillion</w:t>
            </w:r>
          </w:p>
        </w:tc>
        <w:tc>
          <w:tcPr>
            <w:tcW w:w="14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2029</w:t>
            </w:r>
          </w:p>
        </w:tc>
        <w:tc>
          <w:tcPr>
            <w:tcW w:w="17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12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2031</w:t>
            </w:r>
          </w:p>
        </w:tc>
      </w:tr>
      <w:tr>
        <w:trPr/>
        <w:tc>
          <w:tcPr>
            <w:tcW w:w="8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28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 trillion</w:t>
            </w:r>
          </w:p>
        </w:tc>
        <w:tc>
          <w:tcPr>
            <w:tcW w:w="14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2030</w:t>
            </w:r>
          </w:p>
        </w:tc>
        <w:tc>
          <w:tcPr>
            <w:tcW w:w="17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12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2032</w:t>
            </w:r>
          </w:p>
        </w:tc>
      </w:tr>
      <w:tr>
        <w:trPr/>
        <w:tc>
          <w:tcPr>
            <w:tcW w:w="8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28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 trillion</w:t>
            </w:r>
          </w:p>
        </w:tc>
        <w:tc>
          <w:tcPr>
            <w:tcW w:w="14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2031</w:t>
            </w:r>
          </w:p>
        </w:tc>
        <w:tc>
          <w:tcPr>
            <w:tcW w:w="17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23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2033</w:t>
            </w:r>
          </w:p>
        </w:tc>
      </w:tr>
    </w:tbl>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Equity awards are granted annually in May with the performance period starting April 1st. For the CEO, the FYE27 Annual Award and VCP Award were granted in May 2026 and are conditional on shareholder approval of the new Remuneration Policy at the 2026 AGM.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Equity awards granted under both the Annual Award and the VCP Awards are subject to Arm’s Clawback Policy. </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Remuneration policy table – Non-Executive Directors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applies to any Non-Executive Director, other than for Mr. Son (who is not currently paid by the Company).</w:t>
      </w:r>
    </w:p>
    <w:tbl>
      <w:tblPr>
        <w:tblW w:w="10205" w:type="dxa"/>
        <w:jc w:val="left"/>
        <w:tblInd w:w="0" w:type="dxa"/>
        <w:tblLayout w:type="fixed"/>
        <w:tblCellMar>
          <w:top w:w="28" w:type="dxa"/>
          <w:left w:w="28" w:type="dxa"/>
          <w:bottom w:w="28" w:type="dxa"/>
          <w:right w:w="28" w:type="dxa"/>
        </w:tblCellMar>
      </w:tblPr>
      <w:tblGrid>
        <w:gridCol w:w="671"/>
        <w:gridCol w:w="321"/>
        <w:gridCol w:w="323"/>
        <w:gridCol w:w="2676"/>
        <w:gridCol w:w="2574"/>
        <w:gridCol w:w="3640"/>
      </w:tblGrid>
      <w:tr>
        <w:trPr/>
        <w:tc>
          <w:tcPr>
            <w:tcW w:w="67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364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Fees</w:t>
            </w:r>
          </w:p>
        </w:tc>
      </w:tr>
      <w:tr>
        <w:trPr/>
        <w:tc>
          <w:tcPr>
            <w:tcW w:w="13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Purpose and link to strategy</w:t>
            </w:r>
          </w:p>
        </w:tc>
        <w:tc>
          <w:tcPr>
            <w:tcW w:w="8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 provide a fixed remuneration to the Non-Executive Director to reflect their responsibilities and to attract high caliber talent to the Board of Directors. The Non-Executive Chair’s fee (where paid) will typically be determined by the other members of the Remuneration Committee, and the Board of Directors is responsible for determining all other Non-Executive Director fees.</w:t>
            </w:r>
          </w:p>
        </w:tc>
      </w:tr>
      <w:tr>
        <w:trPr/>
        <w:tc>
          <w:tcPr>
            <w:tcW w:w="13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w:t>
            </w:r>
          </w:p>
        </w:tc>
        <w:tc>
          <w:tcPr>
            <w:tcW w:w="8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Non-Executive Director fees consist of an annual cash retainer. In addition, each Non-Executive Director will receive a fee per meeting of the Board of Directors. Members of the Audit Committee and the Remuneration Committee, as well as the chairs of each committee, will receive a separate annual fee in cash. The Non-Executive Chair typically receives an annual cash retainer. However, Mr. Son has waived his eligibility and does not receive any remuneration from the Company.</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fees will normally be paid quarterly.</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fiscal year ending March 31, 2027, Non-Executive Directors will receive an annual cash retainer of $80,000. In addition, each Non-Executive Director will receive a cash fee of $5,000 per meeting of the Board of Directors. Members of the Audit Committee and the Remuneration Committee will receive $15,000 and $10,000, respectively, in cash annually. The chairs of the Audit Committee and Remuneration Committee will receive $30,000 and $20,000, respectively in cash annually. As stated above, Mr. Son (the current Remuneration Committee Chair) does not receive any remuneration from the Company.</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Fees are reviewed on a regular basis and determined by reference to fee levels in the U.S. market, taking into account the expected time commitment and responsibilities involved.</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Non-Executive Directors will be reimbursed for expenses properly incurred in connection with the performance of their duties as a director, including, but not limited to, reasonable travel expenses.</w:t>
            </w:r>
          </w:p>
        </w:tc>
      </w:tr>
      <w:tr>
        <w:trPr/>
        <w:tc>
          <w:tcPr>
            <w:tcW w:w="13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Maximum</w:t>
            </w:r>
          </w:p>
        </w:tc>
        <w:tc>
          <w:tcPr>
            <w:tcW w:w="88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pPr>
            <w:r>
              <w:rPr>
                <w:rFonts w:ascii="Times New Roman;serif" w:hAnsi="Times New Roman;serif"/>
                <w:b w:val="false"/>
                <w:color w:val="000000"/>
                <w:sz w:val="20"/>
              </w:rPr>
              <w:t>Fees are set at an appropriate level taking into account the factors outlined in this table.</w:t>
              <w:br/>
            </w:r>
            <w:r>
              <w:rPr>
                <w:rFonts w:ascii="Times New Roman;serif" w:hAnsi="Times New Roman;serif"/>
                <w:b w:val="false"/>
                <w:sz w:val="20"/>
              </w:rPr>
              <w:br/>
            </w:r>
            <w:r>
              <w:rPr>
                <w:rFonts w:ascii="Times New Roman;serif" w:hAnsi="Times New Roman;serif"/>
                <w:b w:val="false"/>
                <w:color w:val="000000"/>
                <w:sz w:val="20"/>
              </w:rPr>
              <w:t>Any Non-Executive Director who performs services which, in the opinion of the Board of Directors on recommendation from the Remuneration Committee, are outside the scope of the ordinary duties of a director, may be paid additional fees.</w:t>
            </w:r>
          </w:p>
        </w:tc>
      </w:tr>
      <w:tr>
        <w:trPr/>
        <w:tc>
          <w:tcPr>
            <w:tcW w:w="13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conditions</w:t>
            </w:r>
          </w:p>
        </w:tc>
        <w:tc>
          <w:tcPr>
            <w:tcW w:w="889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10205"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Equity Awards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62"/>
        <w:gridCol w:w="381"/>
        <w:gridCol w:w="382"/>
        <w:gridCol w:w="2643"/>
        <w:gridCol w:w="2500"/>
        <w:gridCol w:w="3537"/>
      </w:tblGrid>
      <w:tr>
        <w:trPr/>
        <w:tc>
          <w:tcPr>
            <w:tcW w:w="76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3537"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Purpose and link to strategy</w:t>
            </w:r>
          </w:p>
        </w:tc>
        <w:tc>
          <w:tcPr>
            <w:tcW w:w="8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 provide a fixed remuneration to the Non-Executive Directors to reflect their responsibilities and to attract high caliber talent to the Board of Directors while being linked to shareholder experience.</w:t>
            </w:r>
          </w:p>
        </w:tc>
      </w:tr>
      <w:tr>
        <w:trPr/>
        <w:tc>
          <w:tcPr>
            <w:tcW w:w="15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w:t>
            </w:r>
          </w:p>
        </w:tc>
        <w:tc>
          <w:tcPr>
            <w:tcW w:w="8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Non-Executive Directors receive an annual award of RSUs. The amount of the award is determined by the Board following recommendations from the Remuneration Committee. The Non-Executive Chair is typically eligible for an annual award. However, Mr. Son has waived his eligibility and does not receive any remuneration from the Company.</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awards are not subject to performance conditions. The awards are subject to a 12-month vesting period. Non-Executive Directors are permitted to delay the vesting of their awards for up to 12 additional months.</w:t>
            </w:r>
          </w:p>
        </w:tc>
      </w:tr>
      <w:tr>
        <w:trPr/>
        <w:tc>
          <w:tcPr>
            <w:tcW w:w="15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Maximum</w:t>
            </w:r>
          </w:p>
        </w:tc>
        <w:tc>
          <w:tcPr>
            <w:tcW w:w="8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maximum is determined by the Board of Directors (on recommendation from the Remuneration Committee).</w:t>
            </w:r>
          </w:p>
        </w:tc>
      </w:tr>
      <w:tr>
        <w:trPr/>
        <w:tc>
          <w:tcPr>
            <w:tcW w:w="15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conditions</w:t>
            </w:r>
          </w:p>
        </w:tc>
        <w:tc>
          <w:tcPr>
            <w:tcW w:w="8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15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Shareholding requirements</w:t>
            </w:r>
          </w:p>
        </w:tc>
        <w:tc>
          <w:tcPr>
            <w:tcW w:w="86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has shareholding principles set out in its Corporate Governance Principles. The shareholding principles are summarized below.</w:t>
            </w:r>
          </w:p>
        </w:tc>
      </w:tr>
    </w:tbl>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Shareholding principles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Members of the Arm Leadership Team, including the CEO, have five years from the later of (a) August 24, 2023, and (b) the start of employment, to obtain and maintain the required level of shareholding. The holding requirement is 1,000% of base salary for the CEO. Vested ADSs and unvested time-based RSUs will count towards the holding requirement.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Non-Executive Directors have five years from the later of (a) August 24, 2023, and (b) appointment to the Board of Directors, to obtain and maintain the required level of shareholding. The holding requirement for Non-Executive Directors is 300% of the then</w:t>
        <w:noBreakHyphen/>
        <w:t>current annual cash retainer (excluding any additional cash retainer for committee chairs). Vested ADSs and unvested time-based RSUs will count towards the holding requirement.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required holding level is not reached within the required timeframe, subject to the discretion of the Remuneration Committee, an Arm Leadership Team member or Non-Executive Director may be required to retain 100% of their net ADSs.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Discretion</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Remuneration Committee operates the Arm Annual Bonus Plan, the Omnibus Incentive Plan and the Prior Plans (as defined below) in accordance with the relevant plans rules and in accordance with any applicable rules and legislation (where applicable). The Remuneration Committee retains discretion within the provisions of the applicable rules and the remuneration policy over a number of items, including but not limited to:</w:t>
      </w:r>
    </w:p>
    <w:p>
      <w:pPr>
        <w:pStyle w:val="TextBody"/>
        <w:bidi w:val="0"/>
        <w:spacing w:lineRule="auto" w:line="288" w:before="60" w:after="120"/>
        <w:ind w:left="0" w:right="0" w:firstLine="360"/>
        <w:jc w:val="both"/>
        <w:rPr/>
      </w:pPr>
      <w:r>
        <w:rPr>
          <w:color w:val="000000"/>
        </w:rPr>
        <w:t>•</w:t>
      </w:r>
      <w:r>
        <w:rPr>
          <w:rFonts w:ascii="Times New Roman;serif" w:hAnsi="Times New Roman;serif"/>
          <w:b w:val="false"/>
          <w:color w:val="000000"/>
          <w:sz w:val="20"/>
        </w:rPr>
        <w:t>who receives awards;</w:t>
      </w:r>
    </w:p>
    <w:p>
      <w:pPr>
        <w:pStyle w:val="TextBody"/>
        <w:bidi w:val="0"/>
        <w:spacing w:lineRule="auto" w:line="288" w:before="60" w:after="120"/>
        <w:ind w:left="0" w:right="0" w:firstLine="360"/>
        <w:jc w:val="both"/>
        <w:rPr/>
      </w:pPr>
      <w:r>
        <w:rPr>
          <w:color w:val="000000"/>
        </w:rPr>
        <w:t>•</w:t>
      </w:r>
      <w:r>
        <w:rPr>
          <w:rFonts w:ascii="Times New Roman;serif" w:hAnsi="Times New Roman;serif"/>
          <w:b w:val="false"/>
          <w:color w:val="000000"/>
          <w:sz w:val="20"/>
        </w:rPr>
        <w:t xml:space="preserve">the size of awards, subject to the limits in the Remuneration Policy; </w:t>
      </w:r>
    </w:p>
    <w:p>
      <w:pPr>
        <w:pStyle w:val="TextBody"/>
        <w:bidi w:val="0"/>
        <w:spacing w:lineRule="auto" w:line="288" w:before="60" w:after="120"/>
        <w:ind w:left="0" w:right="0" w:firstLine="360"/>
        <w:jc w:val="both"/>
        <w:rPr/>
      </w:pPr>
      <w:r>
        <w:rPr>
          <w:color w:val="000000"/>
        </w:rPr>
        <w:t>•</w:t>
      </w:r>
      <w:r>
        <w:rPr>
          <w:rFonts w:ascii="Times New Roman;serif" w:hAnsi="Times New Roman;serif"/>
          <w:b w:val="false"/>
          <w:color w:val="000000"/>
          <w:sz w:val="20"/>
        </w:rPr>
        <w:t>treatment of leavers;</w:t>
      </w:r>
    </w:p>
    <w:p>
      <w:pPr>
        <w:pStyle w:val="TextBody"/>
        <w:bidi w:val="0"/>
        <w:spacing w:lineRule="auto" w:line="288" w:before="60" w:after="120"/>
        <w:ind w:left="0" w:right="0" w:firstLine="360"/>
        <w:jc w:val="both"/>
        <w:rPr/>
      </w:pPr>
      <w:r>
        <w:rPr>
          <w:color w:val="000000"/>
        </w:rPr>
        <w:t>•</w:t>
      </w:r>
      <w:r>
        <w:rPr>
          <w:rFonts w:ascii="Times New Roman;serif" w:hAnsi="Times New Roman;serif"/>
          <w:b w:val="false"/>
          <w:color w:val="000000"/>
          <w:sz w:val="20"/>
        </w:rPr>
        <w:t>treatment of outstanding awards upon a change of control;</w:t>
      </w:r>
    </w:p>
    <w:p>
      <w:pPr>
        <w:pStyle w:val="TextBody"/>
        <w:bidi w:val="0"/>
        <w:spacing w:lineRule="auto" w:line="288" w:before="60" w:after="120"/>
        <w:ind w:left="0" w:right="0" w:firstLine="360"/>
        <w:jc w:val="both"/>
        <w:rPr/>
      </w:pPr>
      <w:r>
        <w:rPr>
          <w:color w:val="000000"/>
        </w:rPr>
        <w:t>•</w:t>
      </w:r>
      <w:r>
        <w:rPr>
          <w:rFonts w:ascii="Times New Roman;serif" w:hAnsi="Times New Roman;serif"/>
          <w:b w:val="false"/>
          <w:color w:val="000000"/>
          <w:sz w:val="20"/>
        </w:rPr>
        <w:t>adjustments in certain circumstances, mostly corporate events e.g. corporate reorganization;</w:t>
      </w:r>
    </w:p>
    <w:p>
      <w:pPr>
        <w:pStyle w:val="TextBody"/>
        <w:bidi w:val="0"/>
        <w:spacing w:lineRule="auto" w:line="288" w:before="60" w:after="120"/>
        <w:ind w:left="0" w:right="0" w:firstLine="360"/>
        <w:jc w:val="both"/>
        <w:rPr/>
      </w:pPr>
      <w:r>
        <w:rPr>
          <w:color w:val="000000"/>
        </w:rPr>
        <w:t>•</w:t>
      </w:r>
      <w:r>
        <w:rPr>
          <w:rFonts w:ascii="Times New Roman;serif" w:hAnsi="Times New Roman;serif"/>
          <w:b w:val="false"/>
          <w:color w:val="000000"/>
          <w:sz w:val="20"/>
        </w:rPr>
        <w:t>setting performance conditions, targets and thresholds; and</w:t>
      </w:r>
    </w:p>
    <w:p>
      <w:pPr>
        <w:pStyle w:val="TextBody"/>
        <w:bidi w:val="0"/>
        <w:spacing w:lineRule="auto" w:line="288" w:before="60" w:after="240"/>
        <w:ind w:left="0" w:right="0" w:firstLine="360"/>
        <w:jc w:val="both"/>
        <w:rPr/>
      </w:pPr>
      <w:r>
        <w:rPr>
          <w:color w:val="000000"/>
        </w:rPr>
        <w:t>•</w:t>
      </w:r>
      <w:r>
        <w:rPr>
          <w:rFonts w:ascii="Times New Roman;serif" w:hAnsi="Times New Roman;serif"/>
          <w:b w:val="false"/>
          <w:color w:val="000000"/>
          <w:sz w:val="20"/>
        </w:rPr>
        <w:t>the application of malus and clawback (subject to the Company’s Clawback Policy).</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individuals other than members of the Board of Directors or the CEO, certain elements of the discretions above are delegated to the CEO (and their designees) in accordance with the terms of the Remuneration Committee Charter.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Selection of performance measures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Remuneration Committee sets stretching and realistic performance targets, taking into account the Company’s strategic priorities and key drivers of future shareholder value.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performance measures for the annual bonus and Annual Award PSUs are chosen to support the Company’s strategy. The Remuneration Committee believes it is appropriate to use a balance between financial targets and strategic objectives. The Remuneration Committee annually reviews the measures, weightings and targets to ensure they remain relevant and stretching for the Company.</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performance measures for the VCP Award are based on the achievement of specified market capitalization milestones by specific dates. Achievement of the milestone will be determined based on the rolling average closing price over any 60-day period prior to the relevant milestone date. Achievement may be satisfied based on any such qualifying period and is not limited to the 60-day period immediately preceding the milestone date. The primary milestone is the achievement of a $2 trillion market capitalization before the end of the fiscal year ending March 31, 2031. If interim milestones are not achieved within the designated timeframe, the associated value will roll forward to the next tranche, subject to performance conditions.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External appointments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Mr. Haas is a director of SoftBank Group. Additionally, in April 2026, Mr. Haas was appointed as Chief Executive Officer of SBGI. Mr. Haas’s role at SBGI is expected to be limited and part-time.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Mr. Son is the Chair and CEO of SoftBank Group.</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Both Mr. Haas and Mr. Son receive remuneration for their roles with SoftBank Group, as determined by SoftBank Group.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Approach to recruitment remuneration</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Executive and Non-Executive Directors will be remunerated in accordance with the policy set forth above (including the maximums), except as set out in this section. The maximum initial target level of ongoing variable remuneration which may be awarded on recruitment to an Executive Director is 15.25 times the base salary.</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Newly hired Executive Directors may be eligible for a pro-rated annual bonus award if they join part way through the plan period.</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Remuneration Committee considers it appropriate, in its discretion, in connection with the hiring of an Executive Director, the Company may provide for a sign-on, retention or similar bonus to the Executive Director as compensation for awards that were forfeited due to leaving their previous employer. This would be based on reasonable evidence of the awards and the awards would generally take account of the form, timing and expected value of the forfeited award. If the Remuneration Committee considers it appropriate, in its discretion, the newly hired executive may also receive a top-up award in connection with their recruitment to the Company. In no event will the Remuneration Committee approve payment greater than it believes is necessary to secure the required talent.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an Executive Director is relocating in order to take up their position, the Company may pay such reasonable relocation costs as the Remuneration Committee considers appropriate, in its discretion. The Remuneration Committee may, in its discretion, also make payments to cover reasonable other miscellaneous expenses including, but not limited to, housing, tax, immigration support, legal fees and/or other amounts.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an internal candidate is promoted to the Board of Directors, the legacy terms and conditions relating to outstanding incentive awards would normally be honored.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New Non-Executive Directors that are hired will be provided remuneration in line with that of the Company's current Non-Executive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Service contracts and payments for loss of office</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Chief Executive Officer</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CEO has a current employment agreement with an indefinite term, unless it is terminated by the Company or the CEO with prior notice. The Company may terminate the CEO's employment for cause, at any time, without advance notice of severance (except for accrued remuneration or where required by applicable law). Cause includes typical bad-leaver events, such as where the CEO has committed gross misconduct or negligence. The Company may terminate the CEO's employment without cause with 30 days' advance notice. The CEO is required to give the Company 60 days' advance notice and a reasonable cure period if they wish to terminate their employment for good reason, which generally includes a significant diminution of their authority, duties or responsibilities or a material reduction in their salary, annual or long-term incentive opportunity or other monetary compensation.</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CEO’s employment is terminated by the Company without cause or by the CEO for good reason, in either case, then, subject to the CEO’s execution of an effective severance and release agreement and continued compliance with their restrictive covenants obligations, the CEO is entitled to severance pay in the form of 12 months' base salary, payable in 12 equal monthly installments following the date of termination for the period until alternative employment is found.</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event of a change in control of the Company, the CEO has the right, but not the obligation, to terminate their employment and may, subject to the Remuneration Committee's discretion, become entitled to the severance pay benefit described above, subject to their execution of an effective severance and release agreement and continued compliance with their restrictive covenants obligations.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unfortunate event that the CEO’s employment is terminated due to death, the severance entitlement described above will be paid to the designated beneficiary of the CEO. The CEO has no set contractual entitlements upon disability, though the Remuneration Committee may in its absolute discretion determine that the CEO may receive compensation payments if the CEO ceases employment as a result of disability.</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the CEO's employment is terminated for cause, the CEO will have no severance entitlement.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CEO is subject to certain restrictive covenant obligations, including confidentiality, non-competition, non-solicitation, non-recruiting and non-disparagement covenants, subject to applicable law.</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may pay any statutory entitlements or requirements under local law. The Company may make payments to settle or compromise claims in connection with termination of employment, where the Remuneration Committee consider it in the best interests of the Company, in its discretion. The Company may pay any legal and/or professional fees as required or customary in local markets. The Company may pay out any accrued but untaken holiday.</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Executive Directors may be provided certain benefits after departure at the Remuneration Committee's discretion. Benefits may include, but are not limited to, medical coverage, home security, tax return preparation assistance, legal expenses, and/or outplacement or relocation costs.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Any future Executive Directors may be engaged by the Company with such terms relating to the termination of employment as the Remuneration Committee agrees in its sole discretion, based on the specific circumstances and location of the individual.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Remuneration Committee retains the discretion to make payments in connection with an Executive Director’s loss of office or employment, which may be in addition to contractual and statutory entitlements.</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Non-Executive Directors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Non-Executive Directors do not receive any benefits or payment upon removal or resignation from their respective position as directors (except for accrued remuneration or where required by applicable law).</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Senior Management Employment Agreements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entered into employment agreements with our Senior Management. Each member of Senior Management is employed for an indefinite term unless either we or the member of Senior Management gives prior notice to terminate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employment. We may terminate a member of Senior Management’s employment for cause, at any time, without advance notice or severance (except for accrued remuneration or where required by applicable law). Cause includes, for example, where the member of Senior Management has committed gross misconduct or negligence. We may terminate a member of Senior Management’s employment, for a fair reason and following a fair process, by providing prior written notice varying between 30 days and 12 months depending on the terms of the employment agreement. In such case of termination by us, we will provide severance payments to the member of Senior Management as expressly required by the applicable law of the jurisdiction where the member of Senior Management is based or per the terms contained in their individual agreement, if any. Three members of Senior Management in the U.S. are entitled to receive severance if they resign for good reason or if there is a change in control event, as set out in their employment agreements. Good reason includes, for example, a significant diminution in authorities, duties or responsibilities, or a material reduction of the executive’s salary. To resign for good reason, the executive must provide 60 days of notice and a reasonable cure period. An executive officer may terminate their employment at any time with prior written notice, if required, as set out in their individual employment agreement.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member of Senior Management has agreed to hold, both during and after the employment agreement is terminated, in strict confidence and not to use, except for our benefit, any confidential information of our company or affiliates or of our customers, suppliers and other business partners. Each member of Senior Management has also agreed to disclose to us all inventions, designs and any other IP which they develop during their employment with us and to assist us in obtaining and enforcing patent, copyright and other legal rights for such inventions, designs, and IP. In addition, each member of Senior Management has agreed to be bound by post-termination covenants in order to protect our business interests, including restrictions on soliciting our customers and our employees. Members of Senior Management in the U.S. have post-termination non-compete provisions, where permitted by applicable law, that equal or exceed the duration of their severance benefits.</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Description of Incentive Plans</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Arm Annual Bonus Plan</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paid cash bonuses to our Senior Management under the Arm Annual Bonus Plan (the “Annual Bonus Plan”). The principal features of this cash plan are summarized below. This summary is qualified in its entirety by reference to the actual text of the Annual Bonus Plan, which is filed as an exhibit to this Annual Report.</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Administration</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our CEO, the Annual Bonus Plan is administered by the Remuneration Committee.</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Eligibility</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Prior to April 1, 2024, our (and our subsidiaries’) employees (which include our Senior Management) were eligible to participate in the Annual Bonus Plan. With effect from April 1, 2024, the Annual Bonus Plan applies to members of the Arm Leadership Team only. </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Start of Plan Period</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the start of each plan period (which runs from April 1st of a year to March 31st of the following year), the Remuneration Committee determines: (i) whether the Annual Bonus Plan will be operated in respect of that plan period, (ii) the CEO’s target percentage of the actual base salary which may be payable as the bonus award (the “Target Bonus Percentage”) for such plan period; and (iii) the performance conditions for such plan period. With respect to the fiscal year ended March 31, 2026, the target bonus opportunity of our Senior Management was in the range from 100% to 125% of their base salary levels. The maximum bonus award that can be earned is 200% of the target bonus award (based on the Target Bonus Percentage of the participant’s salary) plus any individual performance multiplier.</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Performance Conditions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Remuneration Committee sets performance conditions for each plan period for the whole Company, one or more divisions or business units of the Arm group (or any subdivision thereof), and/or individual participants, as appropriate, and may in its sole discretion amend or waive the performance conditions in whole or in part (a) in accordance with the terms specified in the performance conditions, or (b) if events happen which cause the Remuneration Committee to consider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(i) the amended performance conditions would be a fairer measure of performance and would be no more difficult to satisfy than the existing performance conditions, or (ii) the existing performance conditions should be waived in whole or in part. The Remuneration Committee may withhold, reduce or cancel all or any part of the bonus award for any participant in the event that the Remuneration Committee considers that such participant’s performance or conduct during the plan period warrants such action.</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With respect to the fiscal year ended March 31, 2026, the performance conditions were based on the revenue and profit (EBITDA) of our group, plus strategic measures. For a description of the bonus outcome for Mr. Haas, see </w:t>
      </w:r>
      <w:r>
        <w:rPr>
          <w:color w:val="000000"/>
        </w:rPr>
        <w:t>“—</w:t>
      </w:r>
      <w:r>
        <w:rPr>
          <w:rFonts w:ascii="Times New Roman;serif" w:hAnsi="Times New Roman;serif"/>
          <w:b w:val="false"/>
          <w:i/>
          <w:color w:val="000000"/>
          <w:sz w:val="20"/>
        </w:rPr>
        <w:t>Chief Executive Officer’s bonus outcomes for fiscal year ended March 31, 2026”</w:t>
      </w:r>
      <w:r>
        <w:rPr>
          <w:color w:val="000000"/>
        </w:rPr>
        <w:t xml:space="preserve"> </w:t>
      </w:r>
      <w:r>
        <w:rPr>
          <w:rFonts w:ascii="Times New Roman;serif" w:hAnsi="Times New Roman;serif"/>
          <w:b w:val="false"/>
          <w:color w:val="000000"/>
          <w:sz w:val="20"/>
        </w:rPr>
        <w:t xml:space="preserve">for further information. </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New Hires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person who becomes an eligible member of Senior Management during the course of a plan period and who the Remuneration Committee determines shall become a participant will be eligible to receive a pro-rated bonus award for such plan period. The pro-rated bonus award will be calculated by determining what the participant’s full-year bonus award entitlement would have been under the applicable performance conditions and then making a pro-rata adjustment to such entitlement based on the portion of such plan period in which such participant participated in the Annual Bonus Plan.</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Change of Performance Conditions and Targets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Remuneration Committee, in its sole discretion and at any time within a plan period, may evaluate performance conditions and make changes to a participant’s defined targets. In such case, such participant’s bonus award shall be calculated based on the Remuneration Committee’s evaluation, in its sole discretion, of what such participant’s full-year bonus award entitlement would have been under the original performance conditions and what such participant’s full-year bonus award entitlement would be under the new performance conditions. Following this, the Remuneration Committee shall make an adjustment to such bonus award based on each of the two entitlements.</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Termination of Employment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Generally, a participant must be continuously employed by a member of our group through the end of the applicable plan period in order to receive a bonus award for such plan period. If a participant ceases to be an eligible member of Senior Management prior to the end of such plan period for any reason, such participant shall immediately forfeit upon termination any and all entitlement to any portion of the bonus award for such plan period.</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Change in Control</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event of a change of control event during a plan period, the plan period will end and each participant will receive a bonus award payment, payable as soon as administratively practicable following such change of control event, calculated by determining what such participant’s full-year bonus award entitlement would have been based on deemed maximum achievement of the applicable performance conditions through the date of the consummation of such change of control event and then making a pro-rata adjustment to such entitlement based on the portion of such plan period occurring before the date on which such change of control event is consummated.</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Plan Amendment and Termination</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Subject to applicable law, our Board of Directors (or another duly authorized committee of executives) may (i) delete, alter or add to any of the provisions of the Annual Bonus Plan in any respect at any time unilaterally and without the consent of any participant, or (ii) terminate the Annual Bonus Plan at any time. If the Annual Bonus Plan is terminated during a plan period, such termination will not affect the operation of the Annual Bonus Plan for the rest of such plan period and bonus awards may be determined and paid pursuant to the rules of the Annual Bonus Plan.</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Equity Incentive Plans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the fiscal year ended March 31, 2026, we granted equity-based awards to our Senior Management, employees and Non-Executive Directors under the Omnibus Incentive Plan. Prior to the IPO, we granted equity-based awards to our Senior Management, employees and Non-Executive Directors under: (1) The Arm Holdings plc RSU Award Plan (the “2022 RSU Plan”), (2) The Arm Non-Executive Directors RSU Award Plan (the “NED Plan”), (3) The Arm Holdings plc All-Employee Plan 2019 (the “2019 AEP”) and (4) The Executive IPO Plan 2019 (the “2019 EIP”) (collectively, the “Prior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pPr>
      <w:r>
        <w:rPr>
          <w:rFonts w:ascii="Times New Roman;serif" w:hAnsi="Times New Roman;serif"/>
          <w:b w:val="false"/>
          <w:color w:val="000000"/>
          <w:sz w:val="20"/>
        </w:rPr>
        <w:t xml:space="preserve">Plans”). A description of the Prior Plans is included in the section titled </w:t>
      </w:r>
      <w:r>
        <w:rPr>
          <w:color w:val="000000"/>
        </w:rPr>
        <w:t>“</w:t>
      </w:r>
      <w:r>
        <w:rPr>
          <w:rFonts w:ascii="Times New Roman;serif" w:hAnsi="Times New Roman;serif"/>
          <w:b w:val="false"/>
          <w:i/>
          <w:color w:val="000000"/>
          <w:sz w:val="20"/>
        </w:rPr>
        <w:t>Item 6. Directors, Senior Management and Employees-B. Compensation”</w:t>
      </w:r>
      <w:r>
        <w:rPr>
          <w:color w:val="000000"/>
        </w:rPr>
        <w:t xml:space="preserve"> </w:t>
      </w:r>
      <w:r>
        <w:rPr>
          <w:rFonts w:ascii="Times New Roman;serif" w:hAnsi="Times New Roman;serif"/>
          <w:b w:val="false"/>
          <w:color w:val="000000"/>
          <w:sz w:val="20"/>
        </w:rPr>
        <w:t xml:space="preserve">of our Annual Report on Form 20-F for the fiscal year ended March 31, 2024. Since the IPO, we have not and will not grant further awards under the Prior Plans and the final vest to Senior Management and Non-Executive Directors under any of these plans occurred on May 15, 2026. Instead, equity-based awards granted at or after the completion of the IPO are under the Omnibus Incentive Plan. The principal features of the Omnibus Incentive Plan are summarized below. With respect to awards granted under the Prior Plans and the Omnibus Incentive Plan that may be satisfied by transfer or issue of our ordinary shares, the Remuneration Committee or other plan administrator may also satisfy them by transfer or issue of ADSs instead. Unless otherwise indicated, under this “Equity Incentive Plans” section, references to our ordinary shares shall also include references to ADSs. These summaries are qualified in their entirety by reference to the actual text of the applicable plan, each of which is filed as an exhibit to this Annual Report.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Omnibus Incentive Plan</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August 2023, our Board of Directors adopted, and our shareholders approved, the Omnibus Incentive Plan, which became effective from the date on which the underwriting agreement between us, the underwriters and the selling shareholder for the IPO was signed. We have used the Omnibus Incentive Plan following the completion of the IPO for the grant of incentive awards to our employees, including our executive directors, and our non-employees, including our non-employee directors. The principal terms of the Omnibus Incentive Plan are summarized below.</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Eligibility</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employees, including executive directors, and employees of our subsidiaries are eligible to participate in the Omnibus Incentive Plan. Our non-executive directors and consultants, and non-executive directors and consultants of our subsidiaries, are eligible to participate in the Non-Employee Sub-Plan to the Omnibus Incentive Plan. Persons eligible to receive awards under the Omnibus Incentive Plan (including the Non-Employee Sub-Plan) are together referred to as service providers below. Except as otherwise specified, references below to the Omnibus Incentive Plan include the Non-Employee Sub-Plan, provided that in no event may an officer or employee grant, or have administrative discretion with respect to, his or her own award.</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Administration</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Omnibus Incentive Plan is administered by our Board of Directors, the Remuneration Committee or any other committee composed of members of our Board of Directors that is appointed by our Board of Directors or the Remuneration Committee to administer the Omnibus Incentive Plan, subject to certain limitations imposed under the Omnibus Incentive Plan, and other applicable laws and stock exchange listing rules. The administrator will have the authority to construe and interpret the Omnibus Incentive Plan and the terms of awards granted under the Omnibus Incentive Plan. Subject to applicable law, the administrator may authorize one or more officers or employees to administer the Omnibus Incentive Plan.</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Shares Available for Awards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maximum number of ordinary shares that may be issued under the Omnibus Incentive Plan as approved at the time of adoption of the Omnibus Incentive Plan was equal to the sum of (i) 20,500,000 ordinary shares and (ii) an annual increase on April 1 of each year beginning on April 1, 2024 and ending on April 1, 2028, equal to the lesser of (A) 2% of the aggregate number of ordinary shares outstanding on March 31 of the immediately preceding fiscal year and (B) such smaller number of ordinary shares as determined by our Board of Directors or the Remuneration Committee. No more than 20,500,000 ordinary shares may be issued under the Omnibus Incentive Plan upon the exercise of incentive stock options.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an award under the Omnibus Incentive Plan is exchanged for or settled in cash, forfeited, canceled or expires without the issuance of our ordinary shares, any unused shares underlying the award will be deemed not to have been issued for purposes of determining the maximum number of ordinary shares that may be issued under the Omnibus Incentive Plan. Additionally, shares underlying awards issued by the Company in assumption of, or in substitution or exchange for, awards previously granted by a company acquired by the Company or any of its affiliates or with which the Company or any of its affiliates combines will not be deemed not to have been issued for purposes of determining the maximum number of ordinary shares that may be issued under the Omnibus Incentive Plan. To the extent not prohibited by applicable laws, any ordinary shares underlying an award that are surrendered or withheld in payment of the award’s exercise or purchase price, or in satisfaction of tax withholding obligations with respect to an award, will be deemed not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have been issued for purposes of determining the maximum number of ordinary shares that may be issued under the Omnibus Incentive Plan, unless otherwise determined by the administrator.</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Awards may be settled in ordinary shares or ADSs. References in this summary to ordinary shares include references to our ADSs. Ordinary shares issued under the Omnibus Incentive Plan may be new shares, shares purchased on the open market or treasury shares.</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Awards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types of awards granted under the Omnibus Incentive Plan will be determined by the administrator, but may include awards of share options, SARs, restricted shares, RSUs, other awards of cash, shares or other property (which may include a specified cash amount that is payable in cash or shares, or awards tied to the appreciation in the value of shares), dividends and dividend equivalents. Vesting conditions applicable to awards may be based on continued service, achievement of company, business unit or other performance objectives, or such other criteria as the Remuneration Committee may establish.</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i/>
          <w:color w:val="000000"/>
          <w:sz w:val="20"/>
        </w:rPr>
        <w:t>Options and SARs</w:t>
      </w:r>
      <w:r>
        <w:rPr>
          <w:rFonts w:ascii="Times New Roman;serif" w:hAnsi="Times New Roman;serif"/>
          <w:b w:val="false"/>
          <w:color w:val="000000"/>
          <w:sz w:val="20"/>
        </w:rPr>
        <w:t>. Options provide for the purchase of our ordinary shares in the future at an exercise price set at a specified price and usually become exercisable in one or more installments after the grant date, subject to the participant’s continued employment or service with us and/or subject to the satisfaction of performance targets established by the administrator. SARs entitle their holder, upon exercise, to receive from us an amount equal to the appreciation of the shares underlying the award between the grant date and the exercise date, payable either in ordinary shares, cash or a combination of the two, as determined by the administrator. The administrator will determine the number of shares underlying each option and SAR, the exercise or base price of each option and SAR and the conditions and limitations applicable to the exercise of each option and SAR. In general, the exercise price per share for each option or SAR granted under the Omnibus Incentive Plan will not be less than the nominal value of such share and for grantees who are subject to tax in the U.S. not less than the fair market value of such share at the time of grant.</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i/>
          <w:color w:val="000000"/>
          <w:sz w:val="20"/>
        </w:rPr>
        <w:t>Restricted Shares and RSUs</w:t>
      </w:r>
      <w:r>
        <w:rPr>
          <w:rFonts w:ascii="Times New Roman;serif" w:hAnsi="Times New Roman;serif"/>
          <w:b w:val="false"/>
          <w:color w:val="000000"/>
          <w:sz w:val="20"/>
        </w:rPr>
        <w:t>. Restricted shares are an award of non-transferable ordinary shares that remain forfeitable unless and until specified conditions are met and which may be subject to a purchase price. RSUs are contractual promises for grantees to receive our ordinary shares (or, as determined by the administrator, the cash equivalent) in the future, which may also be subject to vesting, issuance and forfeiture conditions. The administrator may provide that the delivery of the shares underlying RSUs will occur upon or as soon as reasonably practicable after the RSUs vest or will be deferred on a mandatory basis or at the election of the grantee. The terms and conditions applicable to restricted shares and RSUs will be determined by the administrator, subject to the conditions and limitations contained in the Omnibus Incentive Plan.</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i/>
          <w:color w:val="000000"/>
          <w:sz w:val="20"/>
        </w:rPr>
        <w:t>Other Awards; Dividends and Dividend Equivalents.</w:t>
      </w:r>
      <w:r>
        <w:rPr>
          <w:color w:val="000000"/>
        </w:rPr>
        <w:t xml:space="preserve"> </w:t>
      </w:r>
      <w:r>
        <w:rPr>
          <w:rFonts w:ascii="Times New Roman;serif" w:hAnsi="Times New Roman;serif"/>
          <w:b w:val="false"/>
          <w:color w:val="000000"/>
          <w:sz w:val="20"/>
        </w:rPr>
        <w:t>Other awards may include awards of fully vested ordinary shares, cash incentive awards, and other awards valued wholly or partially by referring to, or otherwise based on, our ordinary shares or other property. Other awards may be granted to grantees and may also be available as a payment form in the settlement of other awards, as standalone payments and as payment in lieu of compensation to which a participant is otherwise entitled. The administrator will determine the terms and conditions of other awards, which may include any purchase price, performance goal, transfer restrictions and vesting conditions. Awards of restricted shares may also entitle the participant to receive dividends paid on the ordinary shares underlying the awards, and RSUs and other share-based awards (other than options and SARs) may entitle the participant to receive dividend equivalents, which are notional entitlements representing the dividends that would have been paid had the ordinary shares underlying the award been outstanding. Dividends and dividend equivalents may be subject to the same vesting conditions as the awards to which they relate.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Awards may be granted in consideration of past or future services. The administrator may, but need not, require the payment of consideration by the participant with respect to an award. To the extent permitted by applicable law, the administrator may authorize the deferral of the settlement of awards.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the extent terms of the Omnibus Incentive Plan do not address local laws in non-U.S. jurisdictions, we anticipate that provisions specific to such non-U.S. jurisdictions in which awards are granted will be addressed in the award agreement “riders,” which will set forth or modify otherwise applicable terms as needed to comply with local laws, including, as applicable, tax laws, securities laws, employment laws, data privacy requirements and exchange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Transferability</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Prior to the issuance of ordinary shares with respect to an award granted under the Omnibus Incentive Plan, participants generally will not be allowed to transfer awards. However, awards may be transferred by will or by the laws of descent and distribution.</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Term of Plan; Amendment and Termination</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Omnibus Incentive Plan will have a five-year term; however, the administrator may amend, suspend or terminate the Omnibus Incentive Plan and award agreements at any time. Generally, if the administrator proposes any amendment, suspension or termination that would be to the material disadvantage of any grantees in respect of subsisting rights under the Omnibus Incentive Plan or the relevant award agreement, then: (i) the administrator must invite each such disadvantaged grantee to indicate whether or not they approve the amendment, and (ii) such amendment shall only take effect if the majority (assessed by reference to the size of affected awards) of the grantees who respond to an invitation consent to the amendment.</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Change in Control</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event of a change in control, unless otherwise specified by the administrator or specified in an individual agreement with the participant, awards generally will only accelerate to the extent they are not substituted or assumed by the acquiring entity or if the awards are substituted or assumed by the acquiring entity and the participant’s service is terminated under specified circumstances within 18 months following the change in control. In the event the awards are not assumed or substituted by the acquiring or surviving entity in a change in control, except as otherwise determined by the administrator or provided in an award agreement, employment or similar agreement in the definitive change in control transaction agreement, time-based awards will become vested on a pro-rata basis as of the date of the change in control, and all or a portion of performance-based awards may vest, but only to the extent (if at all) determined by the administrator. The administrator may also elect to terminate an award in exchange for cash.</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Adjustments for Certain Corporate Events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event of a stock dividend, stock split or other non-reciprocal transaction that affects share values, the type and the number of ordinary shares, ADSs or other securities subject to the Omnibus Incentive Plan and outstanding awards, and the exercise or base price of outstanding awards will be equitably adjusted as appropriate to reflect the transaction. Additionally, in the event of a reorganization, amalgamation, dissolution, sale of assets or shares or other corporate transactions, the administrator may take a variety of actions with respect to outstanding awards, including canceling awards in exchange for cash or other property, accelerating the vesting of awards, causing awards to be terminated or replaced with other rights or property or providing for the substitution or assumption of outstanding awards in a manner intended to preserve the intended economic and other benefits of the plans and outstanding awards.</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Non-U.S. and Non-U.K. Participants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Remuneration Committee may modify awards granted to participants who are non-U.S. or U.K. nationals or employed outside the U.S. and the U.K. or establish sub-plans or procedures to address differences in laws, rules, regulations or customs of such international jurisdictions with respect to tax, securities, currency, employee benefit or other matters or to enable awards to be granted in compliance with a tax favorable regime that may be available in any jurisdiction.</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Non-Employee Sub-Plan</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Non-Employee Sub-Plan governs equity awards granted to our non-executive directors, consultants, advisers and other non-employee service providers and generally provides for awards to be made on identical terms to awards made under the Omnibus Incentive Plan.</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2024 Employee Stock Purchase Plan</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2024 and September 2024, our Board of Directors adopted and our shareholders approved the 2024 Employee Stock Purchase Plan (the “ESPP”). The ESPP provides eligible employees with the opportunity to purchase ordinary shares or ADSs through voluntary payroll deductions. The ESPP is intended to constitute an “employee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purchase plan” within the meaning of Section 423 of the Code for U.S. residents. The maximum number of shares, including ADSs representing ordinary shares, that may be granted under the ESPP is equal to the number of shares available for issuance under the Omnibus Incentive Plan, and each share or ADS granted under the ESPP reduces the number of shares available for issuance under the Omnibus Incentive Plan and its sub-plans by one share.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ESPP is administered by the Remuneration Committee. The ESPP provides for one or more offering periods, and each offering will be for any period of between six and 24 calendar months as determined by the Remuneration Committee. Subject to certain limitations contained therein, the ESPP allows eligible employees to purchase the Company’s ordinary shares or ADSs through payroll deductions of not less than 1% and up to 10% of eligible compensation, subject to a cap of $25,000 per year (as calculated based on applicable tax rules) or such other limit specified in the Code. During an offering period, a participant may not increase payroll deductions but may decrease deductions with the consent of the Remuneration Committee. During an offering period, participating employees are granted options to acquire ordinary shares or ADSs at a fixed price, which may be set at a discount of up to 15% of the lesser of (1) the fair market value of the ordinary shares or ADSs on the day before the offering period start date or (2) the fair market value of the ordinary shares or ADSs on the day before the purchase date at the end of the offering period. Employees may withdraw from the ESPP during specified periods and receive a full refund of accumulated payroll contributions. Employees who cease working at the Company during an offering period are treated as withdrawing from the ESPP. The first purchase period under the ESPP commenced during the fiscal year ending March 31, 2025. As of March 31, 2026, 0.7 million ordinary shares or ADSs have been purchased under the ESPP.</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or the Remuneration Committee may at any time amend the ESPP, except that no such amendment may increase the number of ordinary shares or ADSs approved for the ESPP without prior approval by shareholders, or which would require shareholder approval in order for ESPP, as amended, to qualify as an "employee stock purchase plan" under Section 423(b) of the Code or under the rules or regulations of Nasdaq or other applicable exchange on which the ordinary shares or ADSs are listed. The ESPP expires on September 11, 2034 and may be terminated at any earlier time by the Board or the Remuneration Committee.</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Employee Benefit Trust</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In connection with the IPO, the Company established an employee benefit trust (the “EBT”), constituted by a trust deed entered into by the Company and a professional trustee, with the principal purpose to facilitate the efficient and flexible settlement of share-based compensation arrangements with employees. See </w:t>
      </w:r>
      <w:r>
        <w:rPr>
          <w:rFonts w:ascii="Times New Roman;serif" w:hAnsi="Times New Roman;serif"/>
          <w:b w:val="false"/>
          <w:i/>
          <w:color w:val="000000"/>
          <w:sz w:val="20"/>
        </w:rPr>
        <w:t>Note 14 - Shareholders’ Equity</w:t>
      </w:r>
      <w:r>
        <w:rPr>
          <w:color w:val="000000"/>
        </w:rPr>
        <w:t xml:space="preserve"> </w:t>
      </w:r>
      <w:r>
        <w:rPr>
          <w:rFonts w:ascii="Times New Roman;serif" w:hAnsi="Times New Roman;serif"/>
          <w:b w:val="false"/>
          <w:color w:val="000000"/>
          <w:sz w:val="20"/>
        </w:rPr>
        <w:t>for further details.</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Directors' Remuneration Report</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The Executive Director</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Single figure table – Chief Executive Officer</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summarizes the total remuneration earned by Rene Haas, the Company’s Chief Executive Officer, in respect of his employment with the Company for the fiscal year ended March 31, 2026 (dollars in thousands). </w:t>
      </w:r>
    </w:p>
    <w:tbl>
      <w:tblPr>
        <w:tblW w:w="10205" w:type="dxa"/>
        <w:jc w:val="left"/>
        <w:tblInd w:w="0" w:type="dxa"/>
        <w:tblLayout w:type="fixed"/>
        <w:tblCellMar>
          <w:top w:w="28" w:type="dxa"/>
          <w:left w:w="28" w:type="dxa"/>
          <w:bottom w:w="28" w:type="dxa"/>
          <w:right w:w="28" w:type="dxa"/>
        </w:tblCellMar>
      </w:tblPr>
      <w:tblGrid>
        <w:gridCol w:w="197"/>
        <w:gridCol w:w="173"/>
        <w:gridCol w:w="174"/>
        <w:gridCol w:w="175"/>
        <w:gridCol w:w="175"/>
        <w:gridCol w:w="176"/>
        <w:gridCol w:w="211"/>
        <w:gridCol w:w="616"/>
        <w:gridCol w:w="109"/>
        <w:gridCol w:w="212"/>
        <w:gridCol w:w="620"/>
        <w:gridCol w:w="109"/>
        <w:gridCol w:w="237"/>
        <w:gridCol w:w="406"/>
        <w:gridCol w:w="123"/>
        <w:gridCol w:w="295"/>
        <w:gridCol w:w="884"/>
        <w:gridCol w:w="153"/>
        <w:gridCol w:w="211"/>
        <w:gridCol w:w="618"/>
        <w:gridCol w:w="109"/>
        <w:gridCol w:w="212"/>
        <w:gridCol w:w="409"/>
        <w:gridCol w:w="110"/>
        <w:gridCol w:w="211"/>
        <w:gridCol w:w="722"/>
        <w:gridCol w:w="109"/>
        <w:gridCol w:w="266"/>
        <w:gridCol w:w="930"/>
        <w:gridCol w:w="139"/>
        <w:gridCol w:w="211"/>
        <w:gridCol w:w="736"/>
        <w:gridCol w:w="167"/>
      </w:tblGrid>
      <w:tr>
        <w:trPr/>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$000</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Salary</w:t>
            </w:r>
          </w:p>
        </w:tc>
        <w:tc>
          <w:tcPr>
            <w:tcW w:w="9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Taxable Benefits</w:t>
            </w:r>
          </w:p>
        </w:tc>
        <w:tc>
          <w:tcPr>
            <w:tcW w:w="7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Pension</w:t>
            </w:r>
          </w:p>
        </w:tc>
        <w:tc>
          <w:tcPr>
            <w:tcW w:w="13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Fixed Remuneration</w:t>
            </w:r>
          </w:p>
        </w:tc>
        <w:tc>
          <w:tcPr>
            <w:tcW w:w="9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Annual Bonus</w:t>
            </w:r>
          </w:p>
        </w:tc>
        <w:tc>
          <w:tcPr>
            <w:tcW w:w="7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Special Bonus</w:t>
            </w:r>
          </w:p>
        </w:tc>
        <w:tc>
          <w:tcPr>
            <w:tcW w:w="10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Equity Plans</w:t>
            </w:r>
          </w:p>
        </w:tc>
        <w:tc>
          <w:tcPr>
            <w:tcW w:w="13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Variable Remuneration</w:t>
            </w:r>
          </w:p>
        </w:tc>
        <w:tc>
          <w:tcPr>
            <w:tcW w:w="11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544" w:type="dxa"/>
            <w:gridSpan w:val="3"/>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Rene Haas</w:t>
            </w:r>
          </w:p>
        </w:tc>
        <w:tc>
          <w:tcPr>
            <w:tcW w:w="5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2,434</w:t>
            </w: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58,199</w:t>
            </w:r>
            <w:r>
              <w:rPr>
                <w:color w:val="000000"/>
              </w:rPr>
              <w:t>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60,633</w:t>
            </w:r>
            <w:r>
              <w:rPr>
                <w:color w:val="000000"/>
              </w:rPr>
              <w:t> </w:t>
            </w:r>
          </w:p>
        </w:tc>
        <w:tc>
          <w:tcPr>
            <w:tcW w:w="167"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44"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52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11" w:type="dxa"/>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1,475</w:t>
            </w:r>
            <w:r>
              <w:rPr>
                <w:color w:val="000000"/>
              </w:rPr>
              <w:t> </w:t>
            </w:r>
          </w:p>
        </w:tc>
        <w:tc>
          <w:tcPr>
            <w:tcW w:w="15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2,329 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20,734 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23,063</w:t>
            </w:r>
            <w:r>
              <w:rPr>
                <w:color w:val="000000"/>
              </w:rPr>
              <w:t> </w:t>
            </w:r>
          </w:p>
        </w:tc>
        <w:tc>
          <w:tcPr>
            <w:tcW w:w="13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24,538</w:t>
            </w:r>
            <w:r>
              <w:rPr>
                <w:color w:val="000000"/>
              </w:rPr>
              <w:t> </w:t>
            </w:r>
          </w:p>
        </w:tc>
        <w:tc>
          <w:tcPr>
            <w:tcW w:w="167" w:type="dxa"/>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Notes: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Taxable Benefits: The Company operates a benefits scheme through which the Chief Executive Officer is entitled to participate. The scheme offers a range of benefits (not all of which are taxable) which include: vacation; medical, dental and vision coverage and insurance; accident and disability insurance, group life insurance and an Employee Assistance Plan. The Taxable Benefit figures above include group life insurance, a taxable travel benefit, personal security and tax compliance advice provided by the Company. The Taxable Benefit figure for FYE26 includes estimates, subject to Mr. Haas's final personal tax filings. The year-over-year increase in CEO benefits is attributable to corporate travel and personal security provisions, which were made more comprehensive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during FYE26. This aligns with steps taken across the industry to strengthen security protections for Executive Directors in response to a heightened external threat environment.</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Annual Bonus for the fiscal year ended March 31, 2026: This includes the annual bonus of approximately $2.6 million to be paid in May 2026.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Annual Bonus for the fiscal year ended March 31, 2025: This includes the annual bonus of approximately $2.3 million paid in May 2025.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Equity Plans for the fiscal year ended March 31, 2026: All plans contain performance related measures and are therefore measured using the fair market value upon vesting. This amount includes Tranche 3 of the FYE24 annual award, Tranche 2 of the FYE25 annual award and Tranche 1 of the FYE26 annual award which vested in May 2026. Pursuant to Tranche 3 of the FYE24 annual award, the Executive Director acquired 162,000 ADSs with a fair market value upon vesting of $33.9 million (of which, $25.6 million is attributed to share price appreciation). Pursuant to Tranche 2 of the FYE25 annual award, the Executive Director acquired 51,691 ADSs with a fair market value upon vesting of $10.8 million (of which, $5.5 million is attributed to share price appreciation). Pursuant to Tranche 1 of the FYE26 annual award, the Executive Director acquired 51,952 ADSs with a fair market value upon vesting of $10.9 million (of which, $5.5 million is attributed to share price appreciation).</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Equity Plans for the fiscal year ended March 31, 2025: All awards contain performance related measures and are, therefore, measured using the fair market value as of the vesting date. This amount includes Tranche 2 of the annual award granted in the fiscal year ended March 31, 2024 (“2024 Tranche 2”) and Tranche 1 of the annual award granted in the fiscal year ended March 31, 2025 (“2025 Tranche 1”), each of which vested in May 2025. Upon the vesting of the 2024 Tranche 2, the Chief Executive Officer acquired 106,412 ADSs with a fair market value as of the vesting date of approximately $14.2 million (of which, $8.7 million is attributed to share price appreciation). Upon the vesting of the 2025 Tranche 1, the Chief Executive Officer acquired 49,404 ADSs with a fair market value as of the vesting date of approximately $6.6 million (of which, $1.5 million is attributed to share price appreciation).</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color w:val="000000"/>
          <w:sz w:val="20"/>
        </w:rPr>
        <w:t>*The FYE25 Taxable Benefits figure has been updated to reflect Mr. Haas's final personal tax filings. The FYE25 taxable benefit figure provided previously was based on estimates and subject to final tax filings.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Chief Executive Officer’s bonus outcomes for fiscal year ended March 31, 2026</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annual bonus is determined based on a scorecard of metrics, details of which are set out in the table below (dollars in millions).</w:t>
      </w:r>
    </w:p>
    <w:tbl>
      <w:tblPr>
        <w:tblW w:w="10205" w:type="dxa"/>
        <w:jc w:val="left"/>
        <w:tblInd w:w="0" w:type="dxa"/>
        <w:tblLayout w:type="fixed"/>
        <w:tblCellMar>
          <w:top w:w="28" w:type="dxa"/>
          <w:left w:w="28" w:type="dxa"/>
          <w:bottom w:w="28" w:type="dxa"/>
          <w:right w:w="28" w:type="dxa"/>
        </w:tblCellMar>
      </w:tblPr>
      <w:tblGrid>
        <w:gridCol w:w="711"/>
        <w:gridCol w:w="624"/>
        <w:gridCol w:w="626"/>
        <w:gridCol w:w="471"/>
        <w:gridCol w:w="471"/>
        <w:gridCol w:w="476"/>
        <w:gridCol w:w="330"/>
        <w:gridCol w:w="330"/>
        <w:gridCol w:w="331"/>
        <w:gridCol w:w="544"/>
        <w:gridCol w:w="544"/>
        <w:gridCol w:w="546"/>
        <w:gridCol w:w="458"/>
        <w:gridCol w:w="458"/>
        <w:gridCol w:w="460"/>
        <w:gridCol w:w="452"/>
        <w:gridCol w:w="452"/>
        <w:gridCol w:w="453"/>
        <w:gridCol w:w="435"/>
        <w:gridCol w:w="435"/>
        <w:gridCol w:w="437"/>
        <w:gridCol w:w="161"/>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96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Performance Condition</w:t>
            </w:r>
          </w:p>
        </w:tc>
        <w:tc>
          <w:tcPr>
            <w:tcW w:w="141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Measure</w:t>
            </w:r>
          </w:p>
        </w:tc>
        <w:tc>
          <w:tcPr>
            <w:tcW w:w="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Weighting</w:t>
            </w:r>
          </w:p>
        </w:tc>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Threshold (0%)</w:t>
            </w:r>
          </w:p>
        </w:tc>
        <w:tc>
          <w:tcPr>
            <w:tcW w:w="13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Target (100%)</w:t>
            </w:r>
          </w:p>
        </w:tc>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Overall achievement</w:t>
            </w:r>
          </w:p>
        </w:tc>
        <w:tc>
          <w:tcPr>
            <w:tcW w:w="130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Outcome (% of overall max)</w:t>
            </w:r>
          </w:p>
        </w:tc>
        <w:tc>
          <w:tcPr>
            <w:tcW w:w="161" w:type="dxa"/>
            <w:tcBorders/>
          </w:tcPr>
          <w:p>
            <w:pPr>
              <w:pStyle w:val="TableContents"/>
              <w:bidi w:val="0"/>
              <w:spacing w:before="0" w:after="283"/>
              <w:jc w:val="left"/>
              <w:rPr>
                <w:sz w:val="4"/>
                <w:szCs w:val="4"/>
              </w:rPr>
            </w:pPr>
            <w:r>
              <w:rPr>
                <w:sz w:val="4"/>
                <w:szCs w:val="4"/>
              </w:rPr>
            </w:r>
          </w:p>
        </w:tc>
      </w:tr>
      <w:tr>
        <w:trPr/>
        <w:tc>
          <w:tcPr>
            <w:tcW w:w="1961" w:type="dxa"/>
            <w:gridSpan w:val="3"/>
            <w:vMerge w:val="restart"/>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Target achievement (100% payment)</w:t>
            </w:r>
          </w:p>
        </w:tc>
        <w:tc>
          <w:tcPr>
            <w:tcW w:w="141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Revenue</w:t>
            </w:r>
          </w:p>
        </w:tc>
        <w:tc>
          <w:tcPr>
            <w:tcW w:w="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$4,088</w:t>
            </w:r>
          </w:p>
        </w:tc>
        <w:tc>
          <w:tcPr>
            <w:tcW w:w="13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$4,996</w:t>
            </w:r>
          </w:p>
        </w:tc>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$4,920</w:t>
            </w:r>
          </w:p>
        </w:tc>
        <w:tc>
          <w:tcPr>
            <w:tcW w:w="130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92%</w:t>
            </w:r>
          </w:p>
        </w:tc>
        <w:tc>
          <w:tcPr>
            <w:tcW w:w="161" w:type="dxa"/>
            <w:tcBorders/>
          </w:tcPr>
          <w:p>
            <w:pPr>
              <w:pStyle w:val="TableContents"/>
              <w:bidi w:val="0"/>
              <w:spacing w:before="0" w:after="283"/>
              <w:jc w:val="left"/>
              <w:rPr>
                <w:sz w:val="4"/>
                <w:szCs w:val="4"/>
              </w:rPr>
            </w:pPr>
            <w:r>
              <w:rPr>
                <w:sz w:val="4"/>
                <w:szCs w:val="4"/>
              </w:rPr>
            </w:r>
          </w:p>
        </w:tc>
      </w:tr>
      <w:tr>
        <w:trPr/>
        <w:tc>
          <w:tcPr>
            <w:tcW w:w="1961"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141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9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$1,689</w:t>
            </w:r>
          </w:p>
        </w:tc>
        <w:tc>
          <w:tcPr>
            <w:tcW w:w="137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$2,065</w:t>
            </w:r>
          </w:p>
        </w:tc>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$2,115</w:t>
            </w:r>
          </w:p>
        </w:tc>
        <w:tc>
          <w:tcPr>
            <w:tcW w:w="130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61" w:type="dxa"/>
            <w:tcBorders/>
          </w:tcPr>
          <w:p>
            <w:pPr>
              <w:pStyle w:val="TableContents"/>
              <w:bidi w:val="0"/>
              <w:spacing w:before="0" w:after="283"/>
              <w:jc w:val="left"/>
              <w:rPr>
                <w:sz w:val="4"/>
                <w:szCs w:val="4"/>
              </w:rPr>
            </w:pPr>
            <w:r>
              <w:rPr>
                <w:sz w:val="4"/>
                <w:szCs w:val="4"/>
              </w:rPr>
            </w:r>
          </w:p>
        </w:tc>
      </w:tr>
      <w:tr>
        <w:trPr/>
        <w:tc>
          <w:tcPr>
            <w:tcW w:w="1961" w:type="dxa"/>
            <w:gridSpan w:val="3"/>
            <w:vMerge w:val="restart"/>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Stretch (up to additional 50%)</w:t>
            </w:r>
          </w:p>
        </w:tc>
        <w:tc>
          <w:tcPr>
            <w:tcW w:w="1418" w:type="dxa"/>
            <w:gridSpan w:val="3"/>
            <w:vMerge w:val="restart"/>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Strategic business initiatives</w:t>
            </w:r>
          </w:p>
        </w:tc>
        <w:tc>
          <w:tcPr>
            <w:tcW w:w="991" w:type="dxa"/>
            <w:gridSpan w:val="3"/>
            <w:vMerge w:val="restart"/>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010" w:type="dxa"/>
            <w:gridSpan w:val="6"/>
            <w:vMerge w:val="restart"/>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Delivery of solutions and achievement of major design wins / key client adoption.</w:t>
            </w:r>
          </w:p>
        </w:tc>
        <w:tc>
          <w:tcPr>
            <w:tcW w:w="1357" w:type="dxa"/>
            <w:gridSpan w:val="3"/>
            <w:vMerge w:val="restart"/>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1.3x</w:t>
            </w:r>
          </w:p>
        </w:tc>
        <w:tc>
          <w:tcPr>
            <w:tcW w:w="1307" w:type="dxa"/>
            <w:gridSpan w:val="3"/>
            <w:vMerge w:val="restart"/>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161" w:type="dxa"/>
            <w:tcBorders/>
          </w:tcPr>
          <w:p>
            <w:pPr>
              <w:pStyle w:val="TableContents"/>
              <w:bidi w:val="0"/>
              <w:spacing w:before="0" w:after="283"/>
              <w:jc w:val="left"/>
              <w:rPr>
                <w:sz w:val="4"/>
                <w:szCs w:val="4"/>
              </w:rPr>
            </w:pPr>
            <w:r>
              <w:rPr>
                <w:sz w:val="4"/>
                <w:szCs w:val="4"/>
              </w:rPr>
            </w:r>
          </w:p>
        </w:tc>
      </w:tr>
      <w:tr>
        <w:trPr/>
        <w:tc>
          <w:tcPr>
            <w:tcW w:w="1961"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1418"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991"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3010" w:type="dxa"/>
            <w:gridSpan w:val="6"/>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1357"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1307"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achieved important milestones that are expected to be key in delivering long-term growth, including key product and commercial advancements in all three business units.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Remuneration Committee reviewed the appropriateness of the outcome under the annual bonus in light of both the relevant performance targets and wider internal and external considerations across the respective measurement periods. Of the five strategic measures, two were achieved in full. The Committee exercised discretion in assessing a third measure, concluding that its underlying intent had been met despite changes in internal and external conditions meaning the original, start-of-year criteria were not fully satisfied. No additional discretion was applied, and outcomes were otherwise determined in accordance with the established formula.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above deemed achievement, the Company was deemed to have achieved 125% of target under the Company scorecard (83% of the maximum 150% Company performance). The Chief Executive Officer's individual performance multiplier was determined by the Board of Directors to be 1.25x, resulting in a bonus of 156% of target bonus (which is 125% of salary) or approximately $2.6 million.</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Share award outcomes with respect to the fiscal year ended March 31, 2026</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achieved important milestones that are expected to be key in delivering long-term growth, as described above.</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Fiscal Year End 2024 Annual Award</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granted an award to the Company’s Chief Executive Officer under the 2022 RSU Plan during the fiscal year ended March 31, 2024. This vests in tranches over 3 years (30% in year 1 and year 2 and 40% in year 3). The performance conditions for Tranche 3 (i.e. 40%) of the award are set out in the table below (dollars in millions).</w:t>
      </w:r>
    </w:p>
    <w:tbl>
      <w:tblPr>
        <w:tblW w:w="10205" w:type="dxa"/>
        <w:jc w:val="left"/>
        <w:tblInd w:w="0" w:type="dxa"/>
        <w:tblLayout w:type="fixed"/>
        <w:tblCellMar>
          <w:top w:w="28" w:type="dxa"/>
          <w:left w:w="28" w:type="dxa"/>
          <w:bottom w:w="28" w:type="dxa"/>
          <w:right w:w="28" w:type="dxa"/>
        </w:tblCellMar>
      </w:tblPr>
      <w:tblGrid>
        <w:gridCol w:w="720"/>
        <w:gridCol w:w="632"/>
        <w:gridCol w:w="634"/>
        <w:gridCol w:w="475"/>
        <w:gridCol w:w="475"/>
        <w:gridCol w:w="481"/>
        <w:gridCol w:w="330"/>
        <w:gridCol w:w="330"/>
        <w:gridCol w:w="331"/>
        <w:gridCol w:w="552"/>
        <w:gridCol w:w="552"/>
        <w:gridCol w:w="554"/>
        <w:gridCol w:w="466"/>
        <w:gridCol w:w="466"/>
        <w:gridCol w:w="468"/>
        <w:gridCol w:w="454"/>
        <w:gridCol w:w="454"/>
        <w:gridCol w:w="455"/>
        <w:gridCol w:w="400"/>
        <w:gridCol w:w="400"/>
        <w:gridCol w:w="576"/>
      </w:tblGrid>
      <w:tr>
        <w:trPr/>
        <w:tc>
          <w:tcPr>
            <w:tcW w:w="72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198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Performance Condition</w:t>
            </w:r>
          </w:p>
        </w:tc>
        <w:tc>
          <w:tcPr>
            <w:tcW w:w="14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Measure</w:t>
            </w:r>
          </w:p>
        </w:tc>
        <w:tc>
          <w:tcPr>
            <w:tcW w:w="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Weighting</w:t>
            </w:r>
          </w:p>
        </w:tc>
        <w:tc>
          <w:tcPr>
            <w:tcW w:w="16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Threshold (0%)</w:t>
            </w:r>
          </w:p>
        </w:tc>
        <w:tc>
          <w:tcPr>
            <w:tcW w:w="14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Target (100%)</w:t>
            </w:r>
          </w:p>
        </w:tc>
        <w:tc>
          <w:tcPr>
            <w:tcW w:w="13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Overall achievement</w:t>
            </w:r>
          </w:p>
        </w:tc>
        <w:tc>
          <w:tcPr>
            <w:tcW w:w="13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Outcome (% of overall max)</w:t>
            </w:r>
          </w:p>
        </w:tc>
      </w:tr>
      <w:tr>
        <w:trPr/>
        <w:tc>
          <w:tcPr>
            <w:tcW w:w="1986" w:type="dxa"/>
            <w:gridSpan w:val="3"/>
            <w:vMerge w:val="restart"/>
            <w:tcBorders>
              <w:left w:val="single" w:sz="4" w:space="0" w:color="000000"/>
            </w:tcBorders>
            <w:tcMar>
              <w:top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Target achievement (100% payment)</w:t>
            </w:r>
          </w:p>
        </w:tc>
        <w:tc>
          <w:tcPr>
            <w:tcW w:w="14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Revenue</w:t>
            </w:r>
          </w:p>
        </w:tc>
        <w:tc>
          <w:tcPr>
            <w:tcW w:w="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16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$4,088</w:t>
            </w:r>
          </w:p>
        </w:tc>
        <w:tc>
          <w:tcPr>
            <w:tcW w:w="14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$4,996</w:t>
            </w:r>
          </w:p>
        </w:tc>
        <w:tc>
          <w:tcPr>
            <w:tcW w:w="13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$4,920</w:t>
            </w:r>
          </w:p>
        </w:tc>
        <w:tc>
          <w:tcPr>
            <w:tcW w:w="13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92%</w:t>
            </w:r>
          </w:p>
        </w:tc>
      </w:tr>
      <w:tr>
        <w:trPr/>
        <w:tc>
          <w:tcPr>
            <w:tcW w:w="1986" w:type="dxa"/>
            <w:gridSpan w:val="3"/>
            <w:vMerge w:val="continue"/>
            <w:tcBorders>
              <w:left w:val="single" w:sz="4" w:space="0" w:color="000000"/>
            </w:tcBorders>
            <w:tcMar>
              <w:top w:w="0" w:type="dxa"/>
              <w:bottom w:w="0" w:type="dxa"/>
              <w:right w:w="0" w:type="dxa"/>
            </w:tcMar>
            <w:vAlign w:val="center"/>
          </w:tcPr>
          <w:p>
            <w:pPr>
              <w:pStyle w:val="Normal"/>
              <w:bidi w:val="0"/>
              <w:jc w:val="left"/>
              <w:rPr/>
            </w:pPr>
            <w:r>
              <w:rPr/>
            </w:r>
          </w:p>
        </w:tc>
        <w:tc>
          <w:tcPr>
            <w:tcW w:w="14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16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$1,689</w:t>
            </w:r>
          </w:p>
        </w:tc>
        <w:tc>
          <w:tcPr>
            <w:tcW w:w="140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$2,065</w:t>
            </w:r>
          </w:p>
        </w:tc>
        <w:tc>
          <w:tcPr>
            <w:tcW w:w="13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$2,115</w:t>
            </w:r>
          </w:p>
        </w:tc>
        <w:tc>
          <w:tcPr>
            <w:tcW w:w="13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98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Stretch (up to additional 100%)</w:t>
            </w:r>
          </w:p>
        </w:tc>
        <w:tc>
          <w:tcPr>
            <w:tcW w:w="143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Strategic business initiatives</w:t>
            </w:r>
          </w:p>
        </w:tc>
        <w:tc>
          <w:tcPr>
            <w:tcW w:w="9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05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Delivery of solutions and achievement of major design wins / key client adoption.</w:t>
            </w:r>
          </w:p>
        </w:tc>
        <w:tc>
          <w:tcPr>
            <w:tcW w:w="136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1.6x</w:t>
            </w:r>
          </w:p>
        </w:tc>
        <w:tc>
          <w:tcPr>
            <w:tcW w:w="137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r>
    </w:tbl>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Remuneration Committee reviewed the appropriateness of the outcome under the FYE24 Annual Award in light of both the relevant performance targets and wider internal and external considerations across the respective measurement periods. Of the five strategic measures, two were achieved in full. The Committee exercised discretion in assessing a third measure, concluding that its underlying intent had been met despite changes in internal and external conditions meaning the original, start-of-year criteria were not fully satisfied. No additional discretion was applied, and outcomes were otherwise determined in accordance with the established formula.</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above deemed achievement, the Company was deemed to have achieved 153% of target (77% of the maximum 200% Company performance). The third and final tranche of the PSUs awarded to the CEO in May 2023, therefore, vested in May 2026 at 153% of target.</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Fiscal Year End 2026 and 2025 Annual Award</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granted an award to the Company’s Chief Executive Officer under the Omnibus Incentive Plan during the fiscal years ended March 31, 2026 and 2025 (the “2026 Award” and “2025 Award”, respectively). These awards vest in tranches over 3 years (25% in year 1 and year 2 and 50% in year 3). The performance conditions for Tranche 1 of the 2026 Award (i.e. 25%), and Tranche 2 of the 2025 Award (i.e. 25%) are set out in the table below (dollars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20"/>
        <w:gridCol w:w="632"/>
        <w:gridCol w:w="634"/>
        <w:gridCol w:w="475"/>
        <w:gridCol w:w="475"/>
        <w:gridCol w:w="481"/>
        <w:gridCol w:w="330"/>
        <w:gridCol w:w="330"/>
        <w:gridCol w:w="331"/>
        <w:gridCol w:w="552"/>
        <w:gridCol w:w="552"/>
        <w:gridCol w:w="554"/>
        <w:gridCol w:w="466"/>
        <w:gridCol w:w="466"/>
        <w:gridCol w:w="468"/>
        <w:gridCol w:w="454"/>
        <w:gridCol w:w="454"/>
        <w:gridCol w:w="455"/>
        <w:gridCol w:w="400"/>
        <w:gridCol w:w="400"/>
        <w:gridCol w:w="576"/>
      </w:tblGrid>
      <w:tr>
        <w:trPr/>
        <w:tc>
          <w:tcPr>
            <w:tcW w:w="72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198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Performance Condition</w:t>
            </w:r>
          </w:p>
        </w:tc>
        <w:tc>
          <w:tcPr>
            <w:tcW w:w="14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Measure</w:t>
            </w:r>
          </w:p>
        </w:tc>
        <w:tc>
          <w:tcPr>
            <w:tcW w:w="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Weighting</w:t>
            </w:r>
          </w:p>
        </w:tc>
        <w:tc>
          <w:tcPr>
            <w:tcW w:w="16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Threshold (0%)</w:t>
            </w:r>
          </w:p>
        </w:tc>
        <w:tc>
          <w:tcPr>
            <w:tcW w:w="14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Target (100%)</w:t>
            </w:r>
          </w:p>
        </w:tc>
        <w:tc>
          <w:tcPr>
            <w:tcW w:w="13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Overall achievement</w:t>
            </w:r>
          </w:p>
        </w:tc>
        <w:tc>
          <w:tcPr>
            <w:tcW w:w="13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Outcome (% of overall max)</w:t>
            </w:r>
          </w:p>
        </w:tc>
      </w:tr>
      <w:tr>
        <w:trPr/>
        <w:tc>
          <w:tcPr>
            <w:tcW w:w="1986" w:type="dxa"/>
            <w:gridSpan w:val="3"/>
            <w:vMerge w:val="restart"/>
            <w:tcBorders>
              <w:left w:val="single" w:sz="4" w:space="0" w:color="000000"/>
            </w:tcBorders>
            <w:tcMar>
              <w:top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Target achievement (100% payment)</w:t>
            </w:r>
          </w:p>
        </w:tc>
        <w:tc>
          <w:tcPr>
            <w:tcW w:w="14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Revenue</w:t>
            </w:r>
          </w:p>
        </w:tc>
        <w:tc>
          <w:tcPr>
            <w:tcW w:w="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16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$4,088</w:t>
            </w:r>
          </w:p>
        </w:tc>
        <w:tc>
          <w:tcPr>
            <w:tcW w:w="14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$4,996</w:t>
            </w:r>
          </w:p>
        </w:tc>
        <w:tc>
          <w:tcPr>
            <w:tcW w:w="13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$4,920</w:t>
            </w:r>
          </w:p>
        </w:tc>
        <w:tc>
          <w:tcPr>
            <w:tcW w:w="13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92%</w:t>
            </w:r>
          </w:p>
        </w:tc>
      </w:tr>
      <w:tr>
        <w:trPr/>
        <w:tc>
          <w:tcPr>
            <w:tcW w:w="1986" w:type="dxa"/>
            <w:gridSpan w:val="3"/>
            <w:vMerge w:val="continue"/>
            <w:tcBorders>
              <w:left w:val="single" w:sz="4" w:space="0" w:color="000000"/>
            </w:tcBorders>
            <w:tcMar>
              <w:top w:w="0" w:type="dxa"/>
              <w:bottom w:w="0" w:type="dxa"/>
              <w:right w:w="0" w:type="dxa"/>
            </w:tcMar>
            <w:vAlign w:val="center"/>
          </w:tcPr>
          <w:p>
            <w:pPr>
              <w:pStyle w:val="Normal"/>
              <w:bidi w:val="0"/>
              <w:jc w:val="left"/>
              <w:rPr/>
            </w:pPr>
            <w:r>
              <w:rPr/>
            </w:r>
          </w:p>
        </w:tc>
        <w:tc>
          <w:tcPr>
            <w:tcW w:w="14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16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$1,689</w:t>
            </w:r>
          </w:p>
        </w:tc>
        <w:tc>
          <w:tcPr>
            <w:tcW w:w="140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$2,065</w:t>
            </w:r>
          </w:p>
        </w:tc>
        <w:tc>
          <w:tcPr>
            <w:tcW w:w="13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$2,115</w:t>
            </w:r>
          </w:p>
        </w:tc>
        <w:tc>
          <w:tcPr>
            <w:tcW w:w="13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98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Stretch (up to additional 100%)</w:t>
            </w:r>
          </w:p>
        </w:tc>
        <w:tc>
          <w:tcPr>
            <w:tcW w:w="143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Strategic business initiatives</w:t>
            </w:r>
          </w:p>
        </w:tc>
        <w:tc>
          <w:tcPr>
            <w:tcW w:w="9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058"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Delivery of solutions and achievement of major design wins / key client adoption.</w:t>
            </w:r>
          </w:p>
        </w:tc>
        <w:tc>
          <w:tcPr>
            <w:tcW w:w="136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1.6x</w:t>
            </w:r>
          </w:p>
        </w:tc>
        <w:tc>
          <w:tcPr>
            <w:tcW w:w="137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r>
    </w:tbl>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Remuneration Committee reviewed the appropriateness of the outcome under the FYE25 and FYE26 Annual Awards in light of both the relevant performance targets and wider internal and external considerations across the respective measurement periods. Of the five strategic measures, two were achieved in full. The Committee exercised discretion in assessing a third measure, concluding that its underlying intent had been met despite changes in internal and external conditions meaning the original, start-of-year criteria were not fully satisfied. No additional discretion was applied, and outcomes were otherwise determined in accordance with the established formula.</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Company’s deemed achievement described above, the Company was deemed to have achieved 153% of target (77% of the maximum 200% Company performance). The maximum opportunity for the Chief Executive Officer under both the 2026 Award and 2025 Award is 125%; therefore, Company achievement above 100% is adjusted by a factor of 0.25. The first and second tranches of the PSUs awarded to the CEO in May 2026 and 2025, respectively, therefore, vested in May 2026 at 113% of target (90% of the 125% maximum). For all other executive participants, the first and second tranches of the PSUs awarded in May 2026 and 2025, respectively, vested in May 2026 at 153% of target.</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Non-Executive Directors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Single figure table – Non-Executive Directors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summarizes the total remuneration earned by each Non-Executive Director of the Company, in respect of their service to the Company for the fiscal years ended March 31, 2026 and 2025 (dollars in thousands). </w:t>
      </w:r>
    </w:p>
    <w:tbl>
      <w:tblPr>
        <w:tblW w:w="10205" w:type="dxa"/>
        <w:jc w:val="left"/>
        <w:tblInd w:w="0" w:type="dxa"/>
        <w:tblLayout w:type="fixed"/>
        <w:tblCellMar>
          <w:top w:w="28" w:type="dxa"/>
          <w:left w:w="28" w:type="dxa"/>
          <w:bottom w:w="28" w:type="dxa"/>
          <w:right w:w="28" w:type="dxa"/>
        </w:tblCellMar>
      </w:tblPr>
      <w:tblGrid>
        <w:gridCol w:w="656"/>
        <w:gridCol w:w="577"/>
        <w:gridCol w:w="580"/>
        <w:gridCol w:w="175"/>
        <w:gridCol w:w="175"/>
        <w:gridCol w:w="176"/>
        <w:gridCol w:w="174"/>
        <w:gridCol w:w="174"/>
        <w:gridCol w:w="178"/>
        <w:gridCol w:w="444"/>
        <w:gridCol w:w="444"/>
        <w:gridCol w:w="445"/>
        <w:gridCol w:w="690"/>
        <w:gridCol w:w="690"/>
        <w:gridCol w:w="692"/>
        <w:gridCol w:w="348"/>
        <w:gridCol w:w="348"/>
        <w:gridCol w:w="349"/>
        <w:gridCol w:w="756"/>
        <w:gridCol w:w="756"/>
        <w:gridCol w:w="757"/>
        <w:gridCol w:w="180"/>
        <w:gridCol w:w="180"/>
        <w:gridCol w:w="261"/>
      </w:tblGrid>
      <w:tr>
        <w:trPr/>
        <w:tc>
          <w:tcPr>
            <w:tcW w:w="65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33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$000</w:t>
            </w:r>
          </w:p>
        </w:tc>
        <w:tc>
          <w:tcPr>
            <w:tcW w:w="5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Fees</w:t>
            </w:r>
          </w:p>
        </w:tc>
        <w:tc>
          <w:tcPr>
            <w:tcW w:w="13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Taxable Benefits</w:t>
            </w:r>
          </w:p>
        </w:tc>
        <w:tc>
          <w:tcPr>
            <w:tcW w:w="207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Fixed Remuneration</w:t>
            </w:r>
          </w:p>
        </w:tc>
        <w:tc>
          <w:tcPr>
            <w:tcW w:w="10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Equity Plans</w:t>
            </w:r>
          </w:p>
        </w:tc>
        <w:tc>
          <w:tcPr>
            <w:tcW w:w="22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Variable Remuneration</w:t>
            </w:r>
          </w:p>
        </w:tc>
        <w:tc>
          <w:tcPr>
            <w:tcW w:w="6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13"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Masayoshi Son</w:t>
            </w:r>
          </w:p>
        </w:tc>
        <w:tc>
          <w:tcPr>
            <w:tcW w:w="5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5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207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22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813"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526"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526"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2072"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45"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226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813"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Karen E. Dykstra</w:t>
            </w:r>
          </w:p>
        </w:tc>
        <w:tc>
          <w:tcPr>
            <w:tcW w:w="5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5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c>
          <w:tcPr>
            <w:tcW w:w="13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207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$125</w:t>
            </w:r>
          </w:p>
        </w:tc>
        <w:tc>
          <w:tcPr>
            <w:tcW w:w="10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w:t>
            </w:r>
          </w:p>
        </w:tc>
        <w:tc>
          <w:tcPr>
            <w:tcW w:w="22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$220</w:t>
            </w:r>
          </w:p>
        </w:tc>
        <w:tc>
          <w:tcPr>
            <w:tcW w:w="6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$345</w:t>
            </w:r>
          </w:p>
        </w:tc>
      </w:tr>
      <w:tr>
        <w:trPr/>
        <w:tc>
          <w:tcPr>
            <w:tcW w:w="1813"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526"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526"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$130</w:t>
            </w:r>
          </w:p>
        </w:tc>
        <w:tc>
          <w:tcPr>
            <w:tcW w:w="1333"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2072"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$130</w:t>
            </w:r>
          </w:p>
        </w:tc>
        <w:tc>
          <w:tcPr>
            <w:tcW w:w="1045"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w:t>
            </w:r>
          </w:p>
        </w:tc>
        <w:tc>
          <w:tcPr>
            <w:tcW w:w="226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$220</w:t>
            </w:r>
          </w:p>
        </w:tc>
        <w:tc>
          <w:tcPr>
            <w:tcW w:w="621"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$350</w:t>
            </w:r>
          </w:p>
        </w:tc>
      </w:tr>
      <w:tr>
        <w:trPr/>
        <w:tc>
          <w:tcPr>
            <w:tcW w:w="1813"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Anthony Michael Fadell</w:t>
            </w:r>
          </w:p>
        </w:tc>
        <w:tc>
          <w:tcPr>
            <w:tcW w:w="5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526"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left w:val="single" w:sz="8" w:space="0" w:color="000000"/>
              <w:right w:val="single" w:sz="8" w:space="0" w:color="000000"/>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1813"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526"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526"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1333"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2072"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$41</w:t>
            </w:r>
          </w:p>
        </w:tc>
        <w:tc>
          <w:tcPr>
            <w:tcW w:w="1045"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w:t>
            </w:r>
          </w:p>
        </w:tc>
        <w:tc>
          <w:tcPr>
            <w:tcW w:w="226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$99</w:t>
            </w:r>
          </w:p>
        </w:tc>
        <w:tc>
          <w:tcPr>
            <w:tcW w:w="621"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$140</w:t>
            </w:r>
          </w:p>
        </w:tc>
      </w:tr>
      <w:tr>
        <w:trPr/>
        <w:tc>
          <w:tcPr>
            <w:tcW w:w="1813"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Jeffrey A. Sine</w:t>
            </w:r>
          </w:p>
        </w:tc>
        <w:tc>
          <w:tcPr>
            <w:tcW w:w="5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5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13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207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$105</w:t>
            </w:r>
          </w:p>
        </w:tc>
        <w:tc>
          <w:tcPr>
            <w:tcW w:w="10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w:t>
            </w:r>
          </w:p>
        </w:tc>
        <w:tc>
          <w:tcPr>
            <w:tcW w:w="22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$220</w:t>
            </w:r>
          </w:p>
        </w:tc>
        <w:tc>
          <w:tcPr>
            <w:tcW w:w="6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$325</w:t>
            </w:r>
          </w:p>
        </w:tc>
      </w:tr>
      <w:tr>
        <w:trPr/>
        <w:tc>
          <w:tcPr>
            <w:tcW w:w="1813"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526"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526"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$110</w:t>
            </w:r>
          </w:p>
        </w:tc>
        <w:tc>
          <w:tcPr>
            <w:tcW w:w="1333"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2072"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$110</w:t>
            </w:r>
          </w:p>
        </w:tc>
        <w:tc>
          <w:tcPr>
            <w:tcW w:w="1045"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w:t>
            </w:r>
          </w:p>
        </w:tc>
        <w:tc>
          <w:tcPr>
            <w:tcW w:w="226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$220</w:t>
            </w:r>
          </w:p>
        </w:tc>
        <w:tc>
          <w:tcPr>
            <w:tcW w:w="621"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$330</w:t>
            </w:r>
          </w:p>
        </w:tc>
      </w:tr>
      <w:tr>
        <w:trPr/>
        <w:tc>
          <w:tcPr>
            <w:tcW w:w="1813"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Paul E. Jacobs, PhD</w:t>
            </w:r>
          </w:p>
        </w:tc>
        <w:tc>
          <w:tcPr>
            <w:tcW w:w="5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5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$95</w:t>
            </w:r>
          </w:p>
        </w:tc>
        <w:tc>
          <w:tcPr>
            <w:tcW w:w="13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207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$95</w:t>
            </w:r>
          </w:p>
        </w:tc>
        <w:tc>
          <w:tcPr>
            <w:tcW w:w="10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w:t>
            </w:r>
          </w:p>
        </w:tc>
        <w:tc>
          <w:tcPr>
            <w:tcW w:w="22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$220</w:t>
            </w:r>
          </w:p>
        </w:tc>
        <w:tc>
          <w:tcPr>
            <w:tcW w:w="6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$315</w:t>
            </w:r>
          </w:p>
        </w:tc>
      </w:tr>
      <w:tr>
        <w:trPr/>
        <w:tc>
          <w:tcPr>
            <w:tcW w:w="1813"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526"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526"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333"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2072"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$100</w:t>
            </w:r>
          </w:p>
        </w:tc>
        <w:tc>
          <w:tcPr>
            <w:tcW w:w="1045"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w:t>
            </w:r>
          </w:p>
        </w:tc>
        <w:tc>
          <w:tcPr>
            <w:tcW w:w="226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$220</w:t>
            </w:r>
          </w:p>
        </w:tc>
        <w:tc>
          <w:tcPr>
            <w:tcW w:w="621"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$320</w:t>
            </w:r>
          </w:p>
        </w:tc>
      </w:tr>
      <w:tr>
        <w:trPr/>
        <w:tc>
          <w:tcPr>
            <w:tcW w:w="1813"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Rosemary Schooler</w:t>
            </w:r>
          </w:p>
        </w:tc>
        <w:tc>
          <w:tcPr>
            <w:tcW w:w="5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5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$120</w:t>
            </w:r>
          </w:p>
        </w:tc>
        <w:tc>
          <w:tcPr>
            <w:tcW w:w="13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207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$120</w:t>
            </w:r>
          </w:p>
        </w:tc>
        <w:tc>
          <w:tcPr>
            <w:tcW w:w="10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w:t>
            </w:r>
          </w:p>
        </w:tc>
        <w:tc>
          <w:tcPr>
            <w:tcW w:w="22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$220</w:t>
            </w:r>
          </w:p>
        </w:tc>
        <w:tc>
          <w:tcPr>
            <w:tcW w:w="6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$340</w:t>
            </w:r>
          </w:p>
        </w:tc>
      </w:tr>
      <w:tr>
        <w:trPr/>
        <w:tc>
          <w:tcPr>
            <w:tcW w:w="1813"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526"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526"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c>
          <w:tcPr>
            <w:tcW w:w="1333"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2072"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$125</w:t>
            </w:r>
          </w:p>
        </w:tc>
        <w:tc>
          <w:tcPr>
            <w:tcW w:w="1045"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w:t>
            </w:r>
          </w:p>
        </w:tc>
        <w:tc>
          <w:tcPr>
            <w:tcW w:w="226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$220</w:t>
            </w:r>
          </w:p>
        </w:tc>
        <w:tc>
          <w:tcPr>
            <w:tcW w:w="621"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$345</w:t>
            </w:r>
          </w:p>
        </w:tc>
      </w:tr>
      <w:tr>
        <w:trPr/>
        <w:tc>
          <w:tcPr>
            <w:tcW w:w="1813"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Ronald D. Fisher</w:t>
            </w:r>
          </w:p>
        </w:tc>
        <w:tc>
          <w:tcPr>
            <w:tcW w:w="5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5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13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207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$105</w:t>
            </w:r>
          </w:p>
        </w:tc>
        <w:tc>
          <w:tcPr>
            <w:tcW w:w="10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w:t>
            </w:r>
          </w:p>
        </w:tc>
        <w:tc>
          <w:tcPr>
            <w:tcW w:w="22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$220</w:t>
            </w:r>
          </w:p>
        </w:tc>
        <w:tc>
          <w:tcPr>
            <w:tcW w:w="6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$325</w:t>
            </w:r>
          </w:p>
        </w:tc>
      </w:tr>
      <w:tr>
        <w:trPr/>
        <w:tc>
          <w:tcPr>
            <w:tcW w:w="1813"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526"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526"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$112</w:t>
            </w:r>
          </w:p>
        </w:tc>
        <w:tc>
          <w:tcPr>
            <w:tcW w:w="1333"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2072"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$112</w:t>
            </w:r>
          </w:p>
        </w:tc>
        <w:tc>
          <w:tcPr>
            <w:tcW w:w="1045"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w:t>
            </w:r>
          </w:p>
        </w:tc>
        <w:tc>
          <w:tcPr>
            <w:tcW w:w="226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$220</w:t>
            </w:r>
          </w:p>
        </w:tc>
        <w:tc>
          <w:tcPr>
            <w:tcW w:w="621"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$332</w:t>
            </w:r>
          </w:p>
        </w:tc>
      </w:tr>
      <w:tr>
        <w:trPr/>
        <w:tc>
          <w:tcPr>
            <w:tcW w:w="1813" w:type="dxa"/>
            <w:gridSpan w:val="3"/>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Young Sohn</w:t>
            </w:r>
          </w:p>
        </w:tc>
        <w:tc>
          <w:tcPr>
            <w:tcW w:w="5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5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$110</w:t>
            </w:r>
          </w:p>
        </w:tc>
        <w:tc>
          <w:tcPr>
            <w:tcW w:w="13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207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$110</w:t>
            </w:r>
          </w:p>
        </w:tc>
        <w:tc>
          <w:tcPr>
            <w:tcW w:w="10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w:t>
            </w:r>
          </w:p>
        </w:tc>
        <w:tc>
          <w:tcPr>
            <w:tcW w:w="22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$220</w:t>
            </w:r>
          </w:p>
        </w:tc>
        <w:tc>
          <w:tcPr>
            <w:tcW w:w="6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$330</w:t>
            </w:r>
          </w:p>
        </w:tc>
      </w:tr>
      <w:tr>
        <w:trPr/>
        <w:tc>
          <w:tcPr>
            <w:tcW w:w="1813" w:type="dxa"/>
            <w:gridSpan w:val="3"/>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526"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526"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c>
          <w:tcPr>
            <w:tcW w:w="1333"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2072"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$63</w:t>
            </w:r>
          </w:p>
        </w:tc>
        <w:tc>
          <w:tcPr>
            <w:tcW w:w="1045"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$122</w:t>
            </w:r>
          </w:p>
        </w:tc>
        <w:tc>
          <w:tcPr>
            <w:tcW w:w="2269"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$122</w:t>
            </w:r>
          </w:p>
        </w:tc>
        <w:tc>
          <w:tcPr>
            <w:tcW w:w="621"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$185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Mr. Fisher has served as a Director of the Company since March 2018, and has been remunerated for his role since April 1, 2024. Ms. Dykstra and Mr. Sine have served as Directors of the Company since September 2022. Dr. Jacobs and Ms. Schooler have served as Directors of the Company since December 2022.</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Mr. Fadell served as a Director of the Company from September 2022 until September 2024. Mr. Sohn has served as a Director of the Company since September 2024. Remuneration earned in the fiscal year ended March 31, 2025 is reflective of these changes and reported pro-rata.</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Fees in the table above relate to the annual retainer, committee fees and meeting fees. Year-over-year variances are attributed to the number of board meetings, committee membership changes and pro-rating.</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In line with policy, Non-Executive Directors do not receive any taxable benefits. The Non-Executive Directors also did not receive any pension contributions.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Equity Plans for the fiscal year ended March 31, 2026: Pursuant to the Omnibus Incentive Plan, 2,141 RSUs were awarded to each Non-Executive Director (other than Mr. Son) in May 2025 for their service during FYE26, which vested on May 15, 2026. The values shown in the table above reflect the fair market value of the award at grant using a share price of $102.77 which reflects the 20-day average closing price of ADSs immediately preceding the grant date. RSUs granted to Non-Executive Directors have no performance related measures.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Equity Plans for the fiscal year ended March 31, 2025: Pursuant to the Omnibus Incentive Plan, 2,130 RSUs were awarded to each Non-Executive Director (other than Mr. Sohn and Mr. Son) in May 2024 for their service during the fiscal year ended March 31, 2025, which vested on May 15, 2025. The values shown in the table above reflect the fair market value of the award at grant using a share price of $103.29, which reflects the 20-day average closing price of ADSs immediately preceding the grant date. Mr. Sohn was appointed to the Company’s Board of Directors on September 11, 2024, and pursuant to the Omnibus Incentive Plan, 856 RSUs were awarded to Mr. Sohn, which reflects a pro-rated amount of the annual RSU grant to other Non-Executive Directors based on Mr. Sohn’s expected service on the Company’s Board of Directors during the fiscal year ended March 31, 2025. The value shown in the table above reflect the fair market value of the award to Mr. Sohn at grant using a share price of $142.21, which reflects the 20-day average closing price of ADSs immediately preceding the grant date. RSUs granted to Non-Executive Directors have no performance related measures.</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color w:val="000000"/>
          <w:sz w:val="20"/>
        </w:rPr>
        <w:t>Mr. Son has waived his eligibility and does not receive any remuneration from the Company.</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Scheme interests granted in period</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sets out the awards granted to the Company’s Chief Executive Officer during the fiscal year ended March 31, 2026:</w:t>
      </w:r>
    </w:p>
    <w:tbl>
      <w:tblPr>
        <w:tblW w:w="10205" w:type="dxa"/>
        <w:jc w:val="left"/>
        <w:tblInd w:w="0" w:type="dxa"/>
        <w:tblLayout w:type="fixed"/>
        <w:tblCellMar>
          <w:top w:w="28" w:type="dxa"/>
          <w:left w:w="28" w:type="dxa"/>
          <w:bottom w:w="28" w:type="dxa"/>
          <w:right w:w="28" w:type="dxa"/>
        </w:tblCellMar>
      </w:tblPr>
      <w:tblGrid>
        <w:gridCol w:w="286"/>
        <w:gridCol w:w="251"/>
        <w:gridCol w:w="252"/>
        <w:gridCol w:w="301"/>
        <w:gridCol w:w="301"/>
        <w:gridCol w:w="303"/>
        <w:gridCol w:w="304"/>
        <w:gridCol w:w="304"/>
        <w:gridCol w:w="306"/>
        <w:gridCol w:w="590"/>
        <w:gridCol w:w="532"/>
        <w:gridCol w:w="534"/>
        <w:gridCol w:w="472"/>
        <w:gridCol w:w="389"/>
        <w:gridCol w:w="391"/>
        <w:gridCol w:w="915"/>
        <w:gridCol w:w="915"/>
        <w:gridCol w:w="917"/>
        <w:gridCol w:w="566"/>
        <w:gridCol w:w="566"/>
        <w:gridCol w:w="810"/>
      </w:tblGrid>
      <w:tr>
        <w:trPr/>
        <w:tc>
          <w:tcPr>
            <w:tcW w:w="2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Award type</w:t>
            </w:r>
          </w:p>
        </w:tc>
        <w:tc>
          <w:tcPr>
            <w:tcW w:w="9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Grant date</w:t>
            </w:r>
          </w:p>
        </w:tc>
        <w:tc>
          <w:tcPr>
            <w:tcW w:w="16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 of shares under award</w:t>
            </w:r>
          </w:p>
        </w:tc>
        <w:tc>
          <w:tcPr>
            <w:tcW w:w="12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Face value ($000)</w:t>
            </w:r>
          </w:p>
        </w:tc>
        <w:tc>
          <w:tcPr>
            <w:tcW w:w="27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Threshold performance (% shares delivered)</w:t>
            </w:r>
          </w:p>
        </w:tc>
        <w:tc>
          <w:tcPr>
            <w:tcW w:w="19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End of performance period</w:t>
            </w:r>
          </w:p>
        </w:tc>
      </w:tr>
      <w:tr>
        <w:trPr/>
        <w:tc>
          <w:tcPr>
            <w:tcW w:w="7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Rene Haas</w:t>
            </w:r>
          </w:p>
        </w:tc>
        <w:tc>
          <w:tcPr>
            <w:tcW w:w="9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PSU</w:t>
            </w:r>
          </w:p>
        </w:tc>
        <w:tc>
          <w:tcPr>
            <w:tcW w:w="91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1, 2025</w:t>
            </w:r>
          </w:p>
        </w:tc>
        <w:tc>
          <w:tcPr>
            <w:tcW w:w="165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183,906</w:t>
            </w:r>
          </w:p>
        </w:tc>
        <w:tc>
          <w:tcPr>
            <w:tcW w:w="125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$18,900</w:t>
            </w:r>
          </w:p>
        </w:tc>
        <w:tc>
          <w:tcPr>
            <w:tcW w:w="274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194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2028</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The Chief Executive Officer received an annual award during the fiscal year ended March 31, 2026 of PSUs pursuant to the Omnibus Incentive Plan. This was an award amounting to 14x the Chief Executive Officer’s salary ($18.9 million), which will vest between 0%-125% over a three-year period subject to achievement of performance conditions. </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The face value presented in the table has been calculated using a share price of $102.77, which reflects the 20-day average closing price immediately preceding the grant date of May 1,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sets out the awards granted to the Non-Executive Directors:</w:t>
      </w:r>
    </w:p>
    <w:tbl>
      <w:tblPr>
        <w:tblW w:w="10205" w:type="dxa"/>
        <w:jc w:val="left"/>
        <w:tblInd w:w="0" w:type="dxa"/>
        <w:tblLayout w:type="fixed"/>
        <w:tblCellMar>
          <w:top w:w="28" w:type="dxa"/>
          <w:left w:w="28" w:type="dxa"/>
          <w:bottom w:w="28" w:type="dxa"/>
          <w:right w:w="28" w:type="dxa"/>
        </w:tblCellMar>
      </w:tblPr>
      <w:tblGrid>
        <w:gridCol w:w="495"/>
        <w:gridCol w:w="435"/>
        <w:gridCol w:w="437"/>
        <w:gridCol w:w="294"/>
        <w:gridCol w:w="294"/>
        <w:gridCol w:w="295"/>
        <w:gridCol w:w="294"/>
        <w:gridCol w:w="294"/>
        <w:gridCol w:w="296"/>
        <w:gridCol w:w="500"/>
        <w:gridCol w:w="500"/>
        <w:gridCol w:w="502"/>
        <w:gridCol w:w="369"/>
        <w:gridCol w:w="369"/>
        <w:gridCol w:w="371"/>
        <w:gridCol w:w="862"/>
        <w:gridCol w:w="862"/>
        <w:gridCol w:w="864"/>
        <w:gridCol w:w="545"/>
        <w:gridCol w:w="545"/>
        <w:gridCol w:w="782"/>
      </w:tblGrid>
      <w:tr>
        <w:trPr/>
        <w:tc>
          <w:tcPr>
            <w:tcW w:w="49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Award type</w:t>
            </w:r>
          </w:p>
        </w:tc>
        <w:tc>
          <w:tcPr>
            <w:tcW w:w="8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Grant date</w:t>
            </w:r>
          </w:p>
        </w:tc>
        <w:tc>
          <w:tcPr>
            <w:tcW w:w="15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 of shares under award</w:t>
            </w:r>
          </w:p>
        </w:tc>
        <w:tc>
          <w:tcPr>
            <w:tcW w:w="1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Face value ($000)</w:t>
            </w:r>
          </w:p>
        </w:tc>
        <w:tc>
          <w:tcPr>
            <w:tcW w:w="25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Threshold performance (% shares delivered)</w:t>
            </w:r>
          </w:p>
        </w:tc>
        <w:tc>
          <w:tcPr>
            <w:tcW w:w="18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End of performance period</w:t>
            </w:r>
          </w:p>
        </w:tc>
      </w:tr>
      <w:tr>
        <w:trPr/>
        <w:tc>
          <w:tcPr>
            <w:tcW w:w="13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Masayoshi Son</w:t>
            </w:r>
          </w:p>
        </w:tc>
        <w:tc>
          <w:tcPr>
            <w:tcW w:w="8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5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5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8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3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Karen E. Dykstra</w:t>
            </w:r>
          </w:p>
        </w:tc>
        <w:tc>
          <w:tcPr>
            <w:tcW w:w="8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RSU</w:t>
            </w:r>
          </w:p>
        </w:tc>
        <w:tc>
          <w:tcPr>
            <w:tcW w:w="8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1, 2025</w:t>
            </w:r>
          </w:p>
        </w:tc>
        <w:tc>
          <w:tcPr>
            <w:tcW w:w="15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2,141</w:t>
            </w:r>
          </w:p>
        </w:tc>
        <w:tc>
          <w:tcPr>
            <w:tcW w:w="1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w:t>
            </w:r>
          </w:p>
        </w:tc>
        <w:tc>
          <w:tcPr>
            <w:tcW w:w="25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8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2026</w:t>
            </w:r>
          </w:p>
        </w:tc>
      </w:tr>
      <w:tr>
        <w:trPr/>
        <w:tc>
          <w:tcPr>
            <w:tcW w:w="13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Jeffrey A. Sine</w:t>
            </w:r>
          </w:p>
        </w:tc>
        <w:tc>
          <w:tcPr>
            <w:tcW w:w="8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RSU</w:t>
            </w:r>
          </w:p>
        </w:tc>
        <w:tc>
          <w:tcPr>
            <w:tcW w:w="8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1, 2025</w:t>
            </w:r>
          </w:p>
        </w:tc>
        <w:tc>
          <w:tcPr>
            <w:tcW w:w="15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2,141</w:t>
            </w:r>
          </w:p>
        </w:tc>
        <w:tc>
          <w:tcPr>
            <w:tcW w:w="1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w:t>
            </w:r>
          </w:p>
        </w:tc>
        <w:tc>
          <w:tcPr>
            <w:tcW w:w="25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8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2026</w:t>
            </w:r>
          </w:p>
        </w:tc>
      </w:tr>
      <w:tr>
        <w:trPr/>
        <w:tc>
          <w:tcPr>
            <w:tcW w:w="13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Paul E. Jacobs, PhD</w:t>
            </w:r>
          </w:p>
        </w:tc>
        <w:tc>
          <w:tcPr>
            <w:tcW w:w="8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RSU</w:t>
            </w:r>
          </w:p>
        </w:tc>
        <w:tc>
          <w:tcPr>
            <w:tcW w:w="8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1, 2025</w:t>
            </w:r>
          </w:p>
        </w:tc>
        <w:tc>
          <w:tcPr>
            <w:tcW w:w="15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2,141</w:t>
            </w:r>
          </w:p>
        </w:tc>
        <w:tc>
          <w:tcPr>
            <w:tcW w:w="1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w:t>
            </w:r>
          </w:p>
        </w:tc>
        <w:tc>
          <w:tcPr>
            <w:tcW w:w="25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8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2026</w:t>
            </w:r>
          </w:p>
        </w:tc>
      </w:tr>
      <w:tr>
        <w:trPr/>
        <w:tc>
          <w:tcPr>
            <w:tcW w:w="13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Rosemary Schooler</w:t>
            </w:r>
          </w:p>
        </w:tc>
        <w:tc>
          <w:tcPr>
            <w:tcW w:w="8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RSU</w:t>
            </w:r>
          </w:p>
        </w:tc>
        <w:tc>
          <w:tcPr>
            <w:tcW w:w="8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1, 2025</w:t>
            </w:r>
          </w:p>
        </w:tc>
        <w:tc>
          <w:tcPr>
            <w:tcW w:w="15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2,141</w:t>
            </w:r>
          </w:p>
        </w:tc>
        <w:tc>
          <w:tcPr>
            <w:tcW w:w="1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w:t>
            </w:r>
          </w:p>
        </w:tc>
        <w:tc>
          <w:tcPr>
            <w:tcW w:w="25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8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2026</w:t>
            </w:r>
          </w:p>
        </w:tc>
      </w:tr>
      <w:tr>
        <w:trPr/>
        <w:tc>
          <w:tcPr>
            <w:tcW w:w="13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Ronald D. Fisher</w:t>
            </w:r>
          </w:p>
        </w:tc>
        <w:tc>
          <w:tcPr>
            <w:tcW w:w="8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RSU</w:t>
            </w:r>
          </w:p>
        </w:tc>
        <w:tc>
          <w:tcPr>
            <w:tcW w:w="8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1, 2025</w:t>
            </w:r>
          </w:p>
        </w:tc>
        <w:tc>
          <w:tcPr>
            <w:tcW w:w="15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2,141</w:t>
            </w:r>
          </w:p>
        </w:tc>
        <w:tc>
          <w:tcPr>
            <w:tcW w:w="1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w:t>
            </w:r>
          </w:p>
        </w:tc>
        <w:tc>
          <w:tcPr>
            <w:tcW w:w="25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8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2026</w:t>
            </w:r>
          </w:p>
        </w:tc>
      </w:tr>
      <w:tr>
        <w:trPr/>
        <w:tc>
          <w:tcPr>
            <w:tcW w:w="136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Young Sohn</w:t>
            </w:r>
          </w:p>
        </w:tc>
        <w:tc>
          <w:tcPr>
            <w:tcW w:w="88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RSU</w:t>
            </w:r>
          </w:p>
        </w:tc>
        <w:tc>
          <w:tcPr>
            <w:tcW w:w="8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1, 2025</w:t>
            </w:r>
          </w:p>
        </w:tc>
        <w:tc>
          <w:tcPr>
            <w:tcW w:w="150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2,141</w:t>
            </w:r>
          </w:p>
        </w:tc>
        <w:tc>
          <w:tcPr>
            <w:tcW w:w="110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$220</w:t>
            </w:r>
          </w:p>
        </w:tc>
        <w:tc>
          <w:tcPr>
            <w:tcW w:w="258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87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2026</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The Non-Executive Directors received an annual award of RSUs in the fiscal year ended March 31, 2026 pursuant to the Omnibus Incentive Plan. In line with the Directors' Remuneration Policy, each Non-Executive Director received an award of RSUs with a grant date fair value of $220,000, which vested in May 2026. </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color w:val="000000"/>
          <w:sz w:val="20"/>
        </w:rPr>
        <w:t>Mr. Son has waived his eligibility and does not receive any remuneration from the Company.</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Payments for loss of office and payments to past directors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payments for loss of office or to past directors were made during the year.</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Performance graph</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ADSs began trading on Nasdaq on September 14, 2023. The Total Shareholder Return ("TSR") graph represents the value at March 31, 2026 of $100 invested in our ADSs on September 14, 2023, compared with the value of $100 invested in the S&amp;P 500 IT Sector Index. This index is considered the most relevant and appropriate comparator index for the Company, incorporating organizations our shareholders would be likely to consider for their investments. It is also the index used in the Performance Share Plan.</w:t>
      </w:r>
    </w:p>
    <w:p>
      <w:pPr>
        <w:pStyle w:val="TextBody"/>
        <w:bidi w:val="0"/>
        <w:spacing w:before="120" w:after="240"/>
        <w:jc w:val="both"/>
        <w:rPr/>
      </w:pPr>
      <w:r>
        <w:rPr/>
        <w:drawing>
          <wp:inline distT="0" distB="0" distL="0" distR="0">
            <wp:extent cx="6286500" cy="3095625"/>
            <wp:effectExtent l="0" t="0" r="0" b="0"/>
            <wp:docPr id="10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 descr=""/>
                    <pic:cNvPicPr>
                      <a:picLocks noChangeAspect="1" noChangeArrowheads="1"/>
                    </pic:cNvPicPr>
                  </pic:nvPicPr>
                  <pic:blipFill>
                    <a:blip r:embed="rId2"/>
                    <a:stretch>
                      <a:fillRect/>
                    </a:stretch>
                  </pic:blipFill>
                  <pic:spPr bwMode="auto">
                    <a:xfrm>
                      <a:off x="0" y="0"/>
                      <a:ext cx="6286500" cy="3095625"/>
                    </a:xfrm>
                    <a:prstGeom prst="rect">
                      <a:avLst/>
                    </a:prstGeom>
                  </pic:spPr>
                </pic:pic>
              </a:graphicData>
            </a:graphic>
          </wp:inline>
        </w:drawing>
      </w:r>
      <w:bookmarkStart w:id="0" w:name="i-1"/>
      <w:bookmarkEnd w:id="0"/>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CEO remuneration</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shows the total remuneration received by the CEO for each of the fiscal years ended March 31, 2026, 2025, and 2024. The Company has not disclosed remuneration received by the CEO for years prior to Arm’s listing on the Nasdaq Global Select Market.</w:t>
      </w:r>
    </w:p>
    <w:tbl>
      <w:tblPr>
        <w:tblW w:w="4897" w:type="dxa"/>
        <w:jc w:val="left"/>
        <w:tblInd w:w="0" w:type="dxa"/>
        <w:tblLayout w:type="fixed"/>
        <w:tblCellMar>
          <w:top w:w="28" w:type="dxa"/>
          <w:left w:w="28" w:type="dxa"/>
          <w:bottom w:w="28" w:type="dxa"/>
          <w:right w:w="28" w:type="dxa"/>
        </w:tblCellMar>
      </w:tblPr>
      <w:tblGrid>
        <w:gridCol w:w="825"/>
        <w:gridCol w:w="725"/>
        <w:gridCol w:w="729"/>
        <w:gridCol w:w="278"/>
        <w:gridCol w:w="278"/>
        <w:gridCol w:w="278"/>
        <w:gridCol w:w="278"/>
        <w:gridCol w:w="278"/>
        <w:gridCol w:w="278"/>
        <w:gridCol w:w="278"/>
        <w:gridCol w:w="278"/>
        <w:gridCol w:w="394"/>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2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CEO single figure ($000)</w:t>
            </w:r>
          </w:p>
        </w:tc>
        <w:tc>
          <w:tcPr>
            <w:tcW w:w="8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$60,633</w:t>
            </w:r>
          </w:p>
        </w:tc>
        <w:tc>
          <w:tcPr>
            <w:tcW w:w="8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$24,538</w:t>
            </w:r>
          </w:p>
        </w:tc>
        <w:tc>
          <w:tcPr>
            <w:tcW w:w="9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$70,133</w:t>
            </w:r>
          </w:p>
        </w:tc>
      </w:tr>
      <w:tr>
        <w:trPr/>
        <w:tc>
          <w:tcPr>
            <w:tcW w:w="22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Annual bonus as % of max</w:t>
            </w:r>
          </w:p>
        </w:tc>
        <w:tc>
          <w:tcPr>
            <w:tcW w:w="8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c>
          <w:tcPr>
            <w:tcW w:w="8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74% </w:t>
            </w:r>
            <w:r>
              <w:rPr>
                <w:rFonts w:ascii="Times New Roman;serif" w:hAnsi="Times New Roman;serif"/>
                <w:b w:val="false"/>
                <w:color w:val="000000"/>
                <w:sz w:val="13"/>
              </w:rPr>
              <w:t>(1)</w:t>
            </w:r>
          </w:p>
        </w:tc>
        <w:tc>
          <w:tcPr>
            <w:tcW w:w="9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59% </w:t>
            </w:r>
            <w:r>
              <w:rPr>
                <w:rFonts w:ascii="Times New Roman;serif" w:hAnsi="Times New Roman;serif"/>
                <w:b w:val="false"/>
                <w:color w:val="000000"/>
                <w:sz w:val="13"/>
              </w:rPr>
              <w:t>(2)</w:t>
            </w:r>
          </w:p>
        </w:tc>
      </w:tr>
      <w:tr>
        <w:trPr/>
        <w:tc>
          <w:tcPr>
            <w:tcW w:w="22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PSUs as % of max</w:t>
            </w:r>
          </w:p>
        </w:tc>
        <w:tc>
          <w:tcPr>
            <w:tcW w:w="8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90% </w:t>
            </w:r>
            <w:r>
              <w:rPr>
                <w:rFonts w:ascii="Times New Roman;serif" w:hAnsi="Times New Roman;serif"/>
                <w:b w:val="false"/>
                <w:color w:val="000000"/>
                <w:sz w:val="13"/>
              </w:rPr>
              <w:t>(3)</w:t>
            </w:r>
          </w:p>
        </w:tc>
        <w:tc>
          <w:tcPr>
            <w:tcW w:w="8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86% </w:t>
            </w:r>
            <w:r>
              <w:rPr>
                <w:rFonts w:ascii="Times New Roman;serif" w:hAnsi="Times New Roman;serif"/>
                <w:b w:val="false"/>
                <w:color w:val="000000"/>
                <w:sz w:val="13"/>
              </w:rPr>
              <w:t>(4)</w:t>
            </w:r>
          </w:p>
        </w:tc>
        <w:tc>
          <w:tcPr>
            <w:tcW w:w="95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r>
    </w:tbl>
    <w:p>
      <w:pPr>
        <w:pStyle w:val="TextBody"/>
        <w:bidi w:val="0"/>
        <w:spacing w:lineRule="auto" w:line="288" w:before="60" w:after="120"/>
        <w:ind w:left="0" w:right="0" w:hanging="36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CEO's annual bonus as % of max has been updated to 74% as the previously reported value had not been adjusted for the CEO's individual performance multiplier. There was no change in actual bonus awarded.</w:t>
      </w:r>
    </w:p>
    <w:p>
      <w:pPr>
        <w:pStyle w:val="TextBody"/>
        <w:bidi w:val="0"/>
        <w:spacing w:lineRule="auto" w:line="288" w:before="60" w:after="120"/>
        <w:ind w:left="0" w:right="0" w:hanging="360"/>
        <w:jc w:val="both"/>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The annual bonus as % of max for the fiscal year ended March 31, 2024 of 59% was calculated pursuant to the Annual Bonus Plan. The Annual Bonus Plan provides that the maximum bonus award that can be earned is two hundred percent (200%) of the target bonus award (based on the Target Bonus Percentage of the Participant’s Salary (each as defined in the Annual Bonus Plan)) plus any individual performance multiplier. The annual bonus as % of max for the fiscal year ended March 31, 2024 would have been 78% based on the fiscal year ended March 31, 2024 plan maximum of 150% for corporate performance.</w:t>
      </w:r>
    </w:p>
    <w:p>
      <w:pPr>
        <w:pStyle w:val="TextBody"/>
        <w:bidi w:val="0"/>
        <w:spacing w:lineRule="auto" w:line="288" w:before="60" w:after="120"/>
        <w:ind w:left="0" w:right="0" w:hanging="360"/>
        <w:jc w:val="left"/>
        <w:rPr/>
      </w:pPr>
      <w:r>
        <w:rPr>
          <w:rFonts w:ascii="Times New Roman;serif" w:hAnsi="Times New Roman;serif"/>
          <w:b w:val="false"/>
          <w:color w:val="000000"/>
          <w:sz w:val="13"/>
        </w:rPr>
        <w:t>(3)</w:t>
      </w:r>
      <w:r>
        <w:rPr>
          <w:color w:val="000000"/>
        </w:rPr>
        <w:t>    </w:t>
      </w:r>
      <w:r>
        <w:rPr>
          <w:rFonts w:ascii="Times New Roman;serif" w:hAnsi="Times New Roman;serif"/>
          <w:b w:val="false"/>
          <w:color w:val="000000"/>
          <w:sz w:val="20"/>
        </w:rPr>
        <w:t>Equity Plans for the fiscal year ended March 31, 2026: The PSUs as % of max in the table above reflects the award for the fiscal year ended March 31, 2025 and award for the fiscal year ended March 31, 2026 under which the CEO award is capped at 125% of target and achievement was 113% (90% of maximum).</w:t>
      </w:r>
    </w:p>
    <w:p>
      <w:pPr>
        <w:pStyle w:val="TextBody"/>
        <w:bidi w:val="0"/>
        <w:spacing w:lineRule="auto" w:line="288" w:before="60" w:after="240"/>
        <w:ind w:left="0" w:right="0" w:hanging="360"/>
        <w:jc w:val="both"/>
        <w:rPr/>
      </w:pPr>
      <w:r>
        <w:rPr>
          <w:rFonts w:ascii="Times New Roman;serif" w:hAnsi="Times New Roman;serif"/>
          <w:b w:val="false"/>
          <w:color w:val="000000"/>
          <w:sz w:val="13"/>
        </w:rPr>
        <w:t>(4)</w:t>
      </w:r>
      <w:r>
        <w:rPr>
          <w:color w:val="000000"/>
        </w:rPr>
        <w:t>    </w:t>
      </w:r>
      <w:r>
        <w:rPr>
          <w:rFonts w:ascii="Times New Roman;serif" w:hAnsi="Times New Roman;serif"/>
          <w:b w:val="false"/>
          <w:color w:val="000000"/>
          <w:sz w:val="20"/>
        </w:rPr>
        <w:t>Equity Plans for the fiscal year ended March 31, 2025: The PSUs as % of max in the table above reflects the award for the fiscal year ended March 31, 2025, under which the CEO award is capped at 125% of target and achievement was 108% (86% of maximum).</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CEO equity awards</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The CEO will be granted a PSU award as described in </w:t>
      </w:r>
      <w:r>
        <w:rPr>
          <w:color w:val="000000"/>
        </w:rPr>
        <w:t>“</w:t>
      </w:r>
      <w:r>
        <w:rPr>
          <w:rFonts w:ascii="Times New Roman;serif" w:hAnsi="Times New Roman;serif"/>
          <w:b w:val="false"/>
          <w:i/>
          <w:color w:val="000000"/>
          <w:sz w:val="20"/>
        </w:rPr>
        <w:t>Directors’ Remuneration Policy–Implementation of remuneration policy for the fiscal year ending March 31, 2027.”</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Non-Executive Director fees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 increases are proposed to the remuneration of the Non-Executive Directors and, as such, fees remain unchanged as summarized in the table below: </w:t>
      </w:r>
    </w:p>
    <w:tbl>
      <w:tblPr>
        <w:tblW w:w="5054" w:type="dxa"/>
        <w:jc w:val="center"/>
        <w:tblInd w:w="0" w:type="dxa"/>
        <w:tblLayout w:type="fixed"/>
        <w:tblCellMar>
          <w:top w:w="28" w:type="dxa"/>
          <w:left w:w="28" w:type="dxa"/>
          <w:bottom w:w="28" w:type="dxa"/>
          <w:right w:w="28" w:type="dxa"/>
        </w:tblCellMar>
      </w:tblPr>
      <w:tblGrid>
        <w:gridCol w:w="1428"/>
        <w:gridCol w:w="1255"/>
        <w:gridCol w:w="1261"/>
        <w:gridCol w:w="324"/>
        <w:gridCol w:w="324"/>
        <w:gridCol w:w="462"/>
      </w:tblGrid>
      <w:tr>
        <w:trPr/>
        <w:tc>
          <w:tcPr>
            <w:tcW w:w="1428"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Fees ($)</w:t>
            </w:r>
          </w:p>
        </w:tc>
      </w:tr>
      <w:tr>
        <w:trPr/>
        <w:tc>
          <w:tcPr>
            <w:tcW w:w="3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Non-Executive Director: Annual Cash Retainer</w:t>
            </w:r>
          </w:p>
        </w:tc>
        <w:tc>
          <w:tcPr>
            <w:tcW w:w="1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$80,000</w:t>
            </w:r>
          </w:p>
        </w:tc>
      </w:tr>
      <w:tr>
        <w:trPr/>
        <w:tc>
          <w:tcPr>
            <w:tcW w:w="3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Board of Directors Meeting Attendance</w:t>
            </w:r>
          </w:p>
        </w:tc>
        <w:tc>
          <w:tcPr>
            <w:tcW w:w="1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$5,000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per meeting</w:t>
            </w:r>
          </w:p>
        </w:tc>
      </w:tr>
      <w:tr>
        <w:trPr/>
        <w:tc>
          <w:tcPr>
            <w:tcW w:w="3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Audit Committee Chair</w:t>
            </w:r>
          </w:p>
        </w:tc>
        <w:tc>
          <w:tcPr>
            <w:tcW w:w="1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$30,000</w:t>
            </w:r>
          </w:p>
        </w:tc>
      </w:tr>
      <w:tr>
        <w:trPr/>
        <w:tc>
          <w:tcPr>
            <w:tcW w:w="3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Remuneration Committee Chair</w:t>
            </w:r>
          </w:p>
        </w:tc>
        <w:tc>
          <w:tcPr>
            <w:tcW w:w="1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$20,000</w:t>
            </w:r>
          </w:p>
        </w:tc>
      </w:tr>
      <w:tr>
        <w:trPr/>
        <w:tc>
          <w:tcPr>
            <w:tcW w:w="3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Audit Committee members</w:t>
            </w:r>
          </w:p>
        </w:tc>
        <w:tc>
          <w:tcPr>
            <w:tcW w:w="1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$15,000</w:t>
            </w:r>
          </w:p>
        </w:tc>
      </w:tr>
      <w:tr>
        <w:trPr/>
        <w:tc>
          <w:tcPr>
            <w:tcW w:w="394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Remuneration Committee members</w:t>
            </w:r>
          </w:p>
        </w:tc>
        <w:tc>
          <w:tcPr>
            <w:tcW w:w="111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$10,000</w:t>
            </w:r>
          </w:p>
        </w:tc>
      </w:tr>
    </w:tbl>
    <w:p>
      <w:pPr>
        <w:pStyle w:val="TextBody"/>
        <w:bidi w:val="0"/>
        <w:spacing w:lineRule="auto" w:line="288" w:before="6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Mr. Son does not receive any remuneration from the Company.</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Insurance and indemnification</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permitted by the Companies Act, we are empowered to indemnify our directors against any liability they incur by reason of their directorship. We maintain directors’ and officers’ insurance to insure such persons against certain liabilities and have entered into a deed of indemnity with each of our directors and executive officers. We have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advised that, in the opinion of the SEC, indemnification for liabilities arising under U.S. federal securities laws is against public policy as expressed in the Securities Act, and is, therefore, unenforceable.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erif" w:hAnsi="Times New Roman;serif"/>
          <w:b/>
          <w:color w:val="000000"/>
          <w:sz w:val="20"/>
        </w:rPr>
        <w:t>C.    </w:t>
      </w:r>
      <w:r>
        <w:rPr>
          <w:rFonts w:ascii="Times New Roman;serif" w:hAnsi="Times New Roman;serif"/>
          <w:b/>
          <w:i/>
          <w:color w:val="000000"/>
          <w:sz w:val="20"/>
        </w:rPr>
        <w:t>Board practices</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Composition of our Board of Directors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and affairs are managed under the direction of our Board of Directors. Our Board of Directors currently consists of eight members, all of whom will continue to serve on our Board of Directors until our next annual general meeting or their earlier resignation. Mr. Son serves as the Chair of our Board of Directors. Our Board of Directors has affirmatively determined that none of Ms. Dykstra, Mr. Sohn, Ms. Schooler and Dr. Jacobs have a relationship that would interfere with the exercise of independent judgment in carrying out the responsibilities of director and that each of these directors is “independent” as that term is defined under the listing standards of Nasdaq.</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Five of our eight current directors were appointed in 2022 in anticipation of becoming a public company, and one of our current directors was elected by our shareholders in 2024 in connection with the resignation of one of our directors that was appointed in 2022. Prior to the appointment of directors in 2022, we undertook a fulsome review of the composition of our Board of Directors and the skills and qualifications necessary to lead our company going forward. We believe that the diversity of viewpoints and collective experience of our directors makes our Board of Directors well positioned to lead Arm into the future.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At the end of each annual general meeting of shareholders, all the directors must retire from office except for any director appointed by our Board of Directors after notice of that annual general meeting has been given and before that annual general meeting has been held. Each director who retires at an annual general meeting may be re-elected.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than with respect to Mr. Haas and other than providing pro-rata vesting to non-executive directors if they are terminated other than for cause or in the event of a change in control of the Company, there are no arrangements or understandings between us, on the one hand, and any of our directors, on the other hand, providing for benefits upon termination of their service as directors of the Company.</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SoftBank Group’s Director Nomination Rights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does not have a standing nominating committee. Pursuant to the Shareholder Governance Agreement, SoftBank Group has the right to designate a certain number of candidates for election to our Board of Directors based on its and its controlled affiliates’ ownership of our outstanding ordinary shares, provided that a certain number of such candidates must be “independent” under law or stock exchange rules applicable to our directors at the time of such nomination. SoftBank Group’s designation rights are as follows:</w:t>
      </w:r>
    </w:p>
    <w:tbl>
      <w:tblPr>
        <w:tblW w:w="10205" w:type="dxa"/>
        <w:jc w:val="left"/>
        <w:tblInd w:w="0" w:type="dxa"/>
        <w:tblLayout w:type="fixed"/>
        <w:tblCellMar>
          <w:top w:w="28" w:type="dxa"/>
          <w:left w:w="28" w:type="dxa"/>
          <w:bottom w:w="28" w:type="dxa"/>
          <w:right w:w="28" w:type="dxa"/>
        </w:tblCellMar>
      </w:tblPr>
      <w:tblGrid>
        <w:gridCol w:w="918"/>
        <w:gridCol w:w="808"/>
        <w:gridCol w:w="811"/>
        <w:gridCol w:w="109"/>
        <w:gridCol w:w="109"/>
        <w:gridCol w:w="109"/>
        <w:gridCol w:w="1235"/>
        <w:gridCol w:w="1235"/>
        <w:gridCol w:w="1238"/>
        <w:gridCol w:w="109"/>
        <w:gridCol w:w="109"/>
        <w:gridCol w:w="109"/>
        <w:gridCol w:w="967"/>
        <w:gridCol w:w="967"/>
        <w:gridCol w:w="1372"/>
      </w:tblGrid>
      <w:tr>
        <w:trPr/>
        <w:tc>
          <w:tcPr>
            <w:tcW w:w="91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r>
      <w:tr>
        <w:trPr/>
        <w:tc>
          <w:tcPr>
            <w:tcW w:w="25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Ownership of our outstanding 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Number of SoftBank Group candidates for election to our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Number of SoftBank Group candidates that must be independent:</w:t>
            </w:r>
          </w:p>
        </w:tc>
      </w:tr>
      <w:tr>
        <w:trPr/>
        <w:tc>
          <w:tcPr>
            <w:tcW w:w="2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5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or equal to 70% and greater than 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5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or equal to 60% and greater than 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5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or equal to 50% and greater than 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5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or equal to 40% and greater than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5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or equal to 30% and greater than 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5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or equal to 20% and greater than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SoftBank Group’s rights to designate candidates for election to our Board of Directors are based on an eight-member board, including our CEO, and pursuant to the Shareholder Governance Agreement, will be modified ratably to reflect any change in the number of directors on our Board of Directors.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effective upon completion of the IPO and for so long as SoftBank Group and its controlled affiliates own more than 70% of our outstanding ordinary shares, SoftBank Group will have the right to increase the size of the Board of Directors to nine directors and appoint a director, who need not be independent, to the board to fill the newly created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vacancy. If such right is exercised, SoftBank Group will have the right to nominate up to eight candidates for election to our Board of Directors for as long as it and its controlled affiliates hold more than 70% of our outstanding ordinary shares.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will make determinations with respect to each director’s independence. To the extent SoftBank Group nominates a director as an independent director that our Board of Directors, upon advice of counsel, determines does not meet the applicable independence standards, SoftBank Group will be required to propose a new nominee.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Shareholder Governance Agreement also provides SoftBank Group with proportional rights to representation on the committees of our Board of Directors, subject to applicable restrictions.</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Committees of our Board of Directors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two standing committees: an Audit Committee and a Remuneration Committee.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Audit Committee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Audit Committee oversees our corporate accounting and financial reporting process and assists our Board of Directors in monitoring our financial systems. Our Audit Committee is responsible for, among other things: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selecting a qualified firm to serve as (i) the independent registered public accounting firm to audit our financial statements and (ii) the U.K. statutory auditors;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helping to ensure the independence and performance of the independent registered public accounting firm and the U.K. statutory auditors;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helping to maintain and foster an open avenue of communication between management and the independent registered public accounting firm;</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discussing the scope and results of the audit with the independent registered public accounting firm and U.K. statutory auditors, and reviewing, with management, the independent registered public accounting firm and U.K. statutory auditors, our interim and year-end operating results;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developing procedures for employees to submit concerns anonymously about questionable accounting or audit matters;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reviewing and approving, if applicable, in accordance with our related party transactions policy, any proposed transactions with related persons;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reviewing our policies and practices on risk assessment and risk management, including in respect of cyber security, data privacy and technology and information security;</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color w:val="000000"/>
          <w:sz w:val="20"/>
        </w:rPr>
        <w:t>approving (or, as permitted, pre-approving) all audit and all permissible non-audit services to be performed by the independent registered public accounting firm and U.K. statutory auditors.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Audit Committee consists of Ms. Dykstra, Ms. Schooler and Mr. Sohn, with Ms. Dykstra serving as chair. Our Board of Directors has affirmatively determined that Mses. Dykstra and Schooler, and Mr. Sohn meet the requirements for independence under the listing standards of Nasdaq and the additional independence standards applicable to audit committee members established pursuant to Rule 10A-3 of the Exchange Act. In addition, our Board of Directors has determined that Ms. Dykstra qualifies as an “audit committee financial expert” as defined by applicable SEC rules. Each member of our Audit Committee is financially literate.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Remuneration Committee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Remuneration Committee oversees our remuneration policies, plans and benefits programs. The Remuneration Committee is responsible for, among other things: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reviewing and making recommendations to our Board of Directors related to our remuneration plans and equity-based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reviewing and making recommendations to our Board of Directors concerning the overall remuneration philosophy, policies and plans of the Company;</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reviewing and making recommendations to our Board of Directors regarding the performance goals and objectives relevant to the remuneration of our CEO;</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evaluating and making recommendations to our Board of Directors regarding the performance of our CEO under the previously established performance criteria, goals and objectives, and evaluating and making recommendations to our Board of Directors regarding total remuneration for our CEO;</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reviewing and making recommendations to our Board of Directors regarding the remuneration to be paid to our non-executive directors;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reviewing and recommending to our Board of Directors the approval of the directors’ remuneration report, which shall be subject to a shareholder advisory vote at the Company’s annual general meeting each year;</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selecting and retaining a remuneration consultant; and</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color w:val="000000"/>
          <w:sz w:val="20"/>
        </w:rPr>
        <w:t>such other matters that are specifically delegated to the Remuneration Committee by our Board of Directors from time to time.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Remuneration Committee consists of Mr. Son, Mr. Fisher, Mr. Sine and Ms. Schooler, with Mr. Son serving as chair.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erif" w:hAnsi="Times New Roman;serif"/>
          <w:b/>
          <w:color w:val="000000"/>
          <w:sz w:val="20"/>
        </w:rPr>
        <w:t>D.    </w:t>
      </w:r>
      <w:r>
        <w:rPr>
          <w:rFonts w:ascii="Times New Roman;serif" w:hAnsi="Times New Roman;serif"/>
          <w:b/>
          <w:i/>
          <w:color w:val="000000"/>
          <w:sz w:val="20"/>
        </w:rPr>
        <w:t>Employees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Employees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employ a global workforce that spans across 19 countries. As of March 31, 2026, approximately 84% of our 9,584 global employees were engaged in engineering activities delivering products for our partners to schedule and specification as well as driving innovations in our industry. During the fiscal year ended March 31, 2026, we engaged an average of 2,820 temporary employees.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number of our employees for each of the past three financial years:</w:t>
      </w:r>
    </w:p>
    <w:tbl>
      <w:tblPr>
        <w:tblW w:w="7743" w:type="dxa"/>
        <w:jc w:val="left"/>
        <w:tblInd w:w="0" w:type="dxa"/>
        <w:tblLayout w:type="fixed"/>
        <w:tblCellMar>
          <w:top w:w="28" w:type="dxa"/>
          <w:left w:w="28" w:type="dxa"/>
          <w:bottom w:w="28" w:type="dxa"/>
          <w:right w:w="28" w:type="dxa"/>
        </w:tblCellMar>
      </w:tblPr>
      <w:tblGrid>
        <w:gridCol w:w="791"/>
        <w:gridCol w:w="695"/>
        <w:gridCol w:w="704"/>
        <w:gridCol w:w="109"/>
        <w:gridCol w:w="109"/>
        <w:gridCol w:w="109"/>
        <w:gridCol w:w="479"/>
        <w:gridCol w:w="479"/>
        <w:gridCol w:w="481"/>
        <w:gridCol w:w="109"/>
        <w:gridCol w:w="109"/>
        <w:gridCol w:w="109"/>
        <w:gridCol w:w="479"/>
        <w:gridCol w:w="479"/>
        <w:gridCol w:w="481"/>
        <w:gridCol w:w="109"/>
        <w:gridCol w:w="109"/>
        <w:gridCol w:w="109"/>
        <w:gridCol w:w="496"/>
        <w:gridCol w:w="496"/>
        <w:gridCol w:w="702"/>
      </w:tblGrid>
      <w:tr>
        <w:trPr/>
        <w:tc>
          <w:tcPr>
            <w:tcW w:w="7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Function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 xml:space="preserve">March 31, 2024 </w:t>
            </w:r>
            <w:r>
              <w:rPr>
                <w:rFonts w:ascii="Times New Roman;serif" w:hAnsi="Times New Roman;serif"/>
                <w:b/>
                <w:color w:val="000000"/>
                <w:sz w:val="13"/>
              </w:rPr>
              <w:t>(1)</w:t>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8,058 </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6,943 </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5,887 </w:t>
            </w:r>
          </w:p>
        </w:tc>
        <w:tc>
          <w:tcPr>
            <w:tcW w:w="7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Non-Engineering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7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Geographic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3,943 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3,529 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3,183 </w:t>
            </w:r>
          </w:p>
        </w:tc>
        <w:tc>
          <w:tcPr>
            <w:tcW w:w="7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7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1,829 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7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1,559 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7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Employees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9,584 </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8,330 </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7,096 </w:t>
            </w:r>
          </w:p>
        </w:tc>
        <w:tc>
          <w:tcPr>
            <w:tcW w:w="7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180 application engineers were reclassified from Non-Engineering to Engineering.</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consider relations with our employees to be very positive and have never experienced a work stoppage. Our employees in France and Hungary are represented by works councils. We consider our relationship with these works councils to be productive and constructive, and there are currently no ongoing disputes.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erif" w:hAnsi="Times New Roman;serif"/>
          <w:b/>
          <w:color w:val="000000"/>
          <w:sz w:val="20"/>
        </w:rPr>
        <w:t>E.    </w:t>
      </w:r>
      <w:r>
        <w:rPr>
          <w:rFonts w:ascii="Times New Roman;serif" w:hAnsi="Times New Roman;serif"/>
          <w:b/>
          <w:i/>
          <w:color w:val="000000"/>
          <w:sz w:val="20"/>
        </w:rPr>
        <w:t>Share ownership</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For information regarding the share ownership of Directors and Senior Management, refer to </w:t>
      </w:r>
      <w:r>
        <w:rPr>
          <w:color w:val="000000"/>
        </w:rPr>
        <w:t>“</w:t>
      </w:r>
      <w:r>
        <w:rPr>
          <w:rFonts w:ascii="Times New Roman;serif" w:hAnsi="Times New Roman;serif"/>
          <w:b w:val="false"/>
          <w:i/>
          <w:color w:val="000000"/>
          <w:sz w:val="20"/>
        </w:rPr>
        <w:t>Item 7. Major Shareholders and Related Party Transactions–A. Major Shareholders.”</w:t>
      </w:r>
      <w:r>
        <w:rPr>
          <w:color w:val="000000"/>
        </w:rPr>
        <w:t xml:space="preserve"> </w:t>
      </w:r>
      <w:r>
        <w:rPr>
          <w:rFonts w:ascii="Times New Roman;serif" w:hAnsi="Times New Roman;serif"/>
          <w:b w:val="false"/>
          <w:color w:val="000000"/>
          <w:sz w:val="20"/>
        </w:rPr>
        <w:t xml:space="preserve">For information regarding our equity incentive plans specific to arrangements involving Directors and Senior Management in the capital of the company, refer to </w:t>
      </w:r>
      <w:r>
        <w:rPr>
          <w:color w:val="000000"/>
        </w:rPr>
        <w:t>“</w:t>
      </w:r>
      <w:r>
        <w:rPr>
          <w:rFonts w:ascii="Times New Roman;serif" w:hAnsi="Times New Roman;serif"/>
          <w:b w:val="false"/>
          <w:i/>
          <w:color w:val="000000"/>
          <w:sz w:val="20"/>
        </w:rPr>
        <w:t>Item 6. Directors, Senior Management and Employees–B.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pPr>
      <w:r>
        <w:rPr>
          <w:rFonts w:ascii="Times New Roman;serif" w:hAnsi="Times New Roman;serif"/>
          <w:b/>
          <w:color w:val="000000"/>
          <w:sz w:val="20"/>
        </w:rPr>
        <w:t>F.     </w:t>
      </w:r>
      <w:r>
        <w:rPr>
          <w:rFonts w:ascii="Times New Roman;serif" w:hAnsi="Times New Roman;serif"/>
          <w:b/>
          <w:i/>
          <w:color w:val="000000"/>
          <w:sz w:val="20"/>
        </w:rPr>
        <w:t>Disclosure of a registrant’s action to recover erroneously awarded compensation</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copy of our Clawback Policy is filed as Exhibit 97.1 hereto.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fiscal year ended March 31, 2026, the Company was not required to recoup any compensation awarded under the Clawback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Item 7.    Major Shareholders and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erif" w:hAnsi="Times New Roman;serif"/>
          <w:b/>
          <w:color w:val="000000"/>
          <w:sz w:val="20"/>
        </w:rPr>
        <w:t>A.    </w:t>
      </w:r>
      <w:r>
        <w:rPr>
          <w:rFonts w:ascii="Times New Roman;serif" w:hAnsi="Times New Roman;serif"/>
          <w:b/>
          <w:i/>
          <w:color w:val="000000"/>
          <w:sz w:val="20"/>
        </w:rPr>
        <w:t>Major shareholders</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Register of members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required by the Companies Act to keep a register of our shareholders. Under English law, the ordinary shares are deemed to be issued when the name of the shareholder is entered in the register of members. The register of members therefore is prima facie evidence of the identity of our shareholders, and the shares that they hold. The register of members generally provides limited, or no, information regarding the ultimate beneficial owners of our ordinary shares. Our register of members is maintained by our registrar, Computershare Investor Services Plc.</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Holders of the ADSs will not be treated as our shareholders and their names will therefore not be entered in our register of members. The depositary, the custodian or their nominees will be the holder of the ordinary shares underlying the ADSs. Pursuant to the terms of the deposit agreement, holders of the ADSs have a right to receive the ordinary shares underlying their ADSs. For discussion on the ADSs and ADS holder rights, see Description of Securities in Exhibit 2.3 to this Annual Report.</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Principal Shareholders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and related footnotes set forth information with respect to the beneficial ownership of our ordinary shares, as of May 21, 2026, by:</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each beneficial owner of 5% or more of our outstanding ordinary shares;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each of our Directors and Senior Management; and</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color w:val="000000"/>
          <w:sz w:val="20"/>
        </w:rPr>
        <w:t>all of our Directors and Senior Management as a group.</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Beneficial ownership is determined in accordance with the rules of the SEC. These rules generally attribute beneficial ownership of securities to persons who possess sole or shared voting power or investment power with respect to those securities and include ordinary shares.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percentage of ordinary shares beneficially owned as of May 21, 2026 is based on 1,068,078,760 ordinary shares outstanding.</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Except as otherwise indicated, all of the shares reflected in the table are ordinary shares and all persons listed below have sole voting and investment power with respect to the shares beneficially owned by them, subject to applicable community property laws. Amounts presented in this section include ordinary shares held in the form of ADSs. The information is not necessarily indicative of beneficial ownership for any other purpose.</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A description of any material relationship that our principal shareholders have had with us or any of our affiliates within the past three years is included under </w:t>
      </w:r>
      <w:r>
        <w:rPr>
          <w:color w:val="000000"/>
        </w:rPr>
        <w:t>“</w:t>
      </w:r>
      <w:r>
        <w:rPr>
          <w:rFonts w:ascii="Times New Roman;serif" w:hAnsi="Times New Roman;serif"/>
          <w:b w:val="false"/>
          <w:i/>
          <w:color w:val="000000"/>
          <w:sz w:val="20"/>
        </w:rPr>
        <w:t>Item 7. Major Shareholders and Related Party Transactions</w:t>
      </w:r>
      <w:r>
        <w:rPr>
          <w:color w:val="000000"/>
        </w:rPr>
        <w:t>—</w:t>
      </w:r>
      <w:r>
        <w:rPr>
          <w:rFonts w:ascii="Times New Roman;serif" w:hAnsi="Times New Roman;serif"/>
          <w:b w:val="false"/>
          <w:i/>
          <w:color w:val="000000"/>
          <w:sz w:val="20"/>
        </w:rPr>
        <w:t>Related Party Transactions.”</w:t>
      </w:r>
      <w:r>
        <w:rPr>
          <w:color w:val="000000"/>
        </w:rPr>
        <w:t xml:space="preserve"> </w:t>
      </w:r>
      <w:r>
        <w:rPr>
          <w:rFonts w:ascii="Times New Roman;serif" w:hAnsi="Times New Roman;serif"/>
          <w:b w:val="false"/>
          <w:color w:val="000000"/>
          <w:sz w:val="20"/>
        </w:rPr>
        <w:t>The principal shareholders listed below do not have voting rights with respect to their ordinary shares that are different from the voting rights of other holders of our ordinary shares.</w:t>
      </w:r>
    </w:p>
    <w:p>
      <w:pPr>
        <w:pStyle w:val="TextBody"/>
        <w:bidi w:val="0"/>
        <w:spacing w:lineRule="auto" w:line="288" w:before="120" w:after="240"/>
        <w:ind w:left="0" w:right="0" w:firstLine="400"/>
        <w:jc w:val="both"/>
        <w:rPr>
          <w:rFonts w:ascii="Times New Roman;serif" w:hAnsi="Times New Roman;serif"/>
          <w:b w:val="false"/>
          <w:color w:val="231F20"/>
          <w:sz w:val="20"/>
        </w:rPr>
      </w:pPr>
      <w:r>
        <w:rPr>
          <w:rFonts w:ascii="Times New Roman;serif" w:hAnsi="Times New Roman;serif"/>
          <w:b w:val="false"/>
          <w:color w:val="231F20"/>
          <w:sz w:val="20"/>
        </w:rPr>
        <w:t>Except as otherwise indicated in the table below, addresses of the Directors, Senior Management and named beneficial owners are care of Arm Holdings plc, 110 Fulbourn Road, Cambridge CB1 9NJ, United Kingdom. As of May 21, 2026, to our knowledge, there are no U.S. record holders of our issued and outstanding ordinary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before="0" w:after="0"/>
        <w:jc w:val="both"/>
        <w:rPr/>
      </w:pPr>
      <w:r>
        <w:rPr/>
      </w:r>
    </w:p>
    <w:tbl>
      <w:tblPr>
        <w:tblW w:w="8518" w:type="dxa"/>
        <w:jc w:val="left"/>
        <w:tblInd w:w="0" w:type="dxa"/>
        <w:tblLayout w:type="fixed"/>
        <w:tblCellMar>
          <w:top w:w="28" w:type="dxa"/>
          <w:left w:w="28" w:type="dxa"/>
          <w:bottom w:w="28" w:type="dxa"/>
          <w:right w:w="28" w:type="dxa"/>
        </w:tblCellMar>
      </w:tblPr>
      <w:tblGrid>
        <w:gridCol w:w="1956"/>
        <w:gridCol w:w="1720"/>
        <w:gridCol w:w="1723"/>
        <w:gridCol w:w="109"/>
        <w:gridCol w:w="109"/>
        <w:gridCol w:w="109"/>
        <w:gridCol w:w="379"/>
        <w:gridCol w:w="379"/>
        <w:gridCol w:w="383"/>
        <w:gridCol w:w="167"/>
        <w:gridCol w:w="167"/>
        <w:gridCol w:w="167"/>
        <w:gridCol w:w="180"/>
        <w:gridCol w:w="181"/>
        <w:gridCol w:w="417"/>
        <w:gridCol w:w="109"/>
        <w:gridCol w:w="109"/>
        <w:gridCol w:w="154"/>
      </w:tblGrid>
      <w:tr>
        <w:trPr/>
        <w:tc>
          <w:tcPr>
            <w:tcW w:w="1956"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Ordinary Shares </w:t>
              <w:br/>
              <w:t>Beneficially Owned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 of Beneficial Shareholder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Percent</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5%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SoftBank Group Corp.</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922,733,999</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41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Senior Management and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Masayoshi Son</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Ronald D. Fisher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35,615</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right"/>
              <w:rPr>
                <w:rFonts w:ascii="Times New Roman;serif" w:hAnsi="Times New Roman;serif"/>
                <w:b w:val="false"/>
                <w:color w:val="000000"/>
                <w:sz w:val="13"/>
              </w:rPr>
            </w:pPr>
            <w:r>
              <w:rPr>
                <w:rFonts w:ascii="Times New Roman;serif" w:hAnsi="Times New Roman;serif"/>
                <w:b w:val="false"/>
                <w:color w:val="000000"/>
                <w:sz w:val="13"/>
              </w:rPr>
              <w:t>(3)</w:t>
            </w:r>
          </w:p>
        </w:tc>
      </w:tr>
      <w:tr>
        <w:trPr/>
        <w:tc>
          <w:tcPr>
            <w:tcW w:w="5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Jeffrey A. Sine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9,572</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Karen E. Dykstra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13,002</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right"/>
              <w:rPr>
                <w:rFonts w:ascii="Times New Roman;serif" w:hAnsi="Times New Roman;serif"/>
                <w:b w:val="false"/>
                <w:color w:val="000000"/>
                <w:sz w:val="13"/>
              </w:rPr>
            </w:pPr>
            <w:r>
              <w:rPr>
                <w:rFonts w:ascii="Times New Roman;serif" w:hAnsi="Times New Roman;serif"/>
                <w:b w:val="false"/>
                <w:color w:val="000000"/>
                <w:sz w:val="13"/>
              </w:rPr>
              <w:t>(4)</w:t>
            </w:r>
          </w:p>
        </w:tc>
      </w:tr>
      <w:tr>
        <w:trPr/>
        <w:tc>
          <w:tcPr>
            <w:tcW w:w="5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Rosemary Schooler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9,572</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Paul E. Jacobs,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9,572</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Young Sohn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2,396</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Rene Haas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396,007</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Jason Child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174,232</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Charlotte Eaton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Spencer Collins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Richard Grisenthwaite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Will Abbey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33,629</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Senior Management and Directors as a group (13 individuals)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683,597</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both"/>
        <w:rPr/>
      </w:pPr>
      <w:r>
        <w:rPr>
          <w:rFonts w:ascii="Times New Roman;serif" w:hAnsi="Times New Roman;serif"/>
          <w:b w:val="false"/>
          <w:color w:val="000000"/>
          <w:sz w:val="20"/>
        </w:rPr>
        <w:t xml:space="preserve">**    Represents </w:t>
      </w:r>
      <w:r>
        <w:rPr>
          <w:rFonts w:ascii="Times New Roman;serif" w:hAnsi="Times New Roman;serif"/>
          <w:b w:val="false"/>
          <w:color w:val="231F20"/>
          <w:sz w:val="20"/>
        </w:rPr>
        <w:t>beneficial ownership of less than 1% of the outstanding ordinary shares.</w:t>
      </w:r>
    </w:p>
    <w:p>
      <w:pPr>
        <w:pStyle w:val="TextBody"/>
        <w:bidi w:val="0"/>
        <w:spacing w:lineRule="auto" w:line="288" w:before="60" w:after="120"/>
        <w:ind w:left="0" w:right="0" w:hanging="403"/>
        <w:jc w:val="both"/>
        <w:rPr/>
      </w:pPr>
      <w:r>
        <w:rPr>
          <w:rFonts w:ascii="Times New Roman;serif" w:hAnsi="Times New Roman;serif"/>
          <w:b w:val="false"/>
          <w:color w:val="231F20"/>
          <w:sz w:val="20"/>
        </w:rPr>
        <w:t xml:space="preserve">(1)Represents shares held of record by Kronos II LLC, an indirect wholly-owned subsidiary of SoftBank Group. </w:t>
      </w:r>
      <w:r>
        <w:rPr>
          <w:rFonts w:ascii="Times New Roman;serif" w:hAnsi="Times New Roman;serif"/>
          <w:b w:val="false"/>
          <w:color w:val="000000"/>
          <w:sz w:val="20"/>
        </w:rPr>
        <w:t>769,029,000</w:t>
      </w:r>
      <w:r>
        <w:rPr>
          <w:color w:val="231F20"/>
        </w:rPr>
        <w:t xml:space="preserve"> </w:t>
      </w:r>
      <w:r>
        <w:rPr>
          <w:rFonts w:ascii="Times New Roman;serif" w:hAnsi="Times New Roman;serif"/>
          <w:b w:val="false"/>
          <w:color w:val="231F20"/>
          <w:sz w:val="20"/>
        </w:rPr>
        <w:t xml:space="preserve">of our ordinary shares that are beneficially owned by SoftBank Group, representing a </w:t>
      </w:r>
      <w:r>
        <w:rPr>
          <w:rFonts w:ascii="Times New Roman;serif" w:hAnsi="Times New Roman;serif"/>
          <w:b w:val="false"/>
          <w:color w:val="000000"/>
          <w:sz w:val="20"/>
        </w:rPr>
        <w:t>72.0%</w:t>
      </w:r>
      <w:r>
        <w:rPr>
          <w:color w:val="231F20"/>
        </w:rPr>
        <w:t xml:space="preserve"> </w:t>
      </w:r>
      <w:r>
        <w:rPr>
          <w:rFonts w:ascii="Times New Roman;serif" w:hAnsi="Times New Roman;serif"/>
          <w:b w:val="false"/>
          <w:color w:val="231F20"/>
          <w:sz w:val="20"/>
        </w:rPr>
        <w:t>equity interest in us, were pledged as security under the SoftBank Group Facility. Masayoshi Son, who is a Director and the Chairman of our Board of Directors, is Representative Director, Corporate Officer, Chairman and CEO of SoftBank Group. Mr. Son disclaims beneficial ownership of these shares. The address for SoftBank Group is 1-7-1 Kaigan, Minato-ku, Tokyo 105-7537, Japan.</w:t>
      </w:r>
    </w:p>
    <w:p>
      <w:pPr>
        <w:pStyle w:val="TextBody"/>
        <w:bidi w:val="0"/>
        <w:spacing w:lineRule="auto" w:line="288" w:before="60" w:after="120"/>
        <w:ind w:left="0" w:right="0" w:hanging="403"/>
        <w:jc w:val="both"/>
        <w:rPr>
          <w:rFonts w:ascii="Times New Roman;serif" w:hAnsi="Times New Roman;serif"/>
          <w:b w:val="false"/>
          <w:color w:val="000000"/>
          <w:sz w:val="20"/>
        </w:rPr>
      </w:pPr>
      <w:r>
        <w:rPr>
          <w:rFonts w:ascii="Times New Roman;serif" w:hAnsi="Times New Roman;serif"/>
          <w:b w:val="false"/>
          <w:color w:val="000000"/>
          <w:sz w:val="20"/>
        </w:rPr>
        <w:t>(2)Excludes one ordinary share beneficially owned by SoftBank Vision Fund, a subsidiary of SoftBank Group. SoftBank Group may be deemed to have beneficial ownership of such ordinary share. SoftBank Group disclaims any such beneficial ownership.</w:t>
      </w:r>
    </w:p>
    <w:p>
      <w:pPr>
        <w:pStyle w:val="TextBody"/>
        <w:bidi w:val="0"/>
        <w:spacing w:lineRule="auto" w:line="288" w:before="60" w:after="120"/>
        <w:ind w:left="0" w:right="0" w:hanging="403"/>
        <w:jc w:val="both"/>
        <w:rPr>
          <w:rFonts w:ascii="Times New Roman;serif" w:hAnsi="Times New Roman;serif"/>
          <w:b w:val="false"/>
          <w:color w:val="000000"/>
          <w:sz w:val="20"/>
        </w:rPr>
      </w:pPr>
      <w:r>
        <w:rPr>
          <w:rFonts w:ascii="Times New Roman;serif" w:hAnsi="Times New Roman;serif"/>
          <w:b w:val="false"/>
          <w:color w:val="000000"/>
          <w:sz w:val="20"/>
        </w:rPr>
        <w:t>(3)Excludes 2,130 and 2,141 ordinary shares underlying restricted stock units granted to Mr. Fisher in May 2024 and May 2025, respectively, each of which vested in full on May 15, 2025 and May 15, 2026, respectively, but have not been delivered pursuant to Mr. Fisher’s election to defer delivery of the ordinary shares until the date of termination of his service on our Board of Directors.</w:t>
      </w:r>
    </w:p>
    <w:p>
      <w:pPr>
        <w:pStyle w:val="TextBody"/>
        <w:bidi w:val="0"/>
        <w:spacing w:lineRule="auto" w:line="288" w:before="60" w:after="240"/>
        <w:ind w:left="0" w:right="0" w:hanging="403"/>
        <w:jc w:val="both"/>
        <w:rPr>
          <w:rFonts w:ascii="Times New Roman;serif" w:hAnsi="Times New Roman;serif"/>
          <w:b w:val="false"/>
          <w:color w:val="000000"/>
          <w:sz w:val="20"/>
        </w:rPr>
      </w:pPr>
      <w:r>
        <w:rPr>
          <w:rFonts w:ascii="Times New Roman;serif" w:hAnsi="Times New Roman;serif"/>
          <w:b w:val="false"/>
          <w:color w:val="000000"/>
          <w:sz w:val="20"/>
        </w:rPr>
        <w:t>(4)Excludes 2,130 and 2,141 ordinary shares underlying restricted stock units granted to Ms. Dykstra in May 2024 and May 2025, respectively, each of which vested in full on May 15, 2025 and May 15, 2026, respectively, but have not been delivered pursuant to Ms. Dykstra’s election to defer delivery of the ordinary shares until the date of termination of her service on our Board of Directors.</w:t>
      </w:r>
    </w:p>
    <w:p>
      <w:pPr>
        <w:pStyle w:val="TextBody"/>
        <w:bidi w:val="0"/>
        <w:spacing w:lineRule="auto" w:line="288" w:before="120" w:after="240"/>
        <w:jc w:val="left"/>
        <w:rPr>
          <w:rFonts w:ascii="Times New Roman;serif" w:hAnsi="Times New Roman;serif"/>
          <w:b/>
          <w:color w:val="231F20"/>
          <w:sz w:val="20"/>
        </w:rPr>
      </w:pPr>
      <w:r>
        <w:rPr>
          <w:rFonts w:ascii="Times New Roman;serif" w:hAnsi="Times New Roman;serif"/>
          <w:b/>
          <w:color w:val="231F20"/>
          <w:sz w:val="20"/>
        </w:rPr>
        <w:t>Controlled Company</w:t>
      </w:r>
    </w:p>
    <w:p>
      <w:pPr>
        <w:pStyle w:val="TextBody"/>
        <w:bidi w:val="0"/>
        <w:spacing w:lineRule="auto" w:line="288" w:before="120" w:after="240"/>
        <w:ind w:left="0" w:right="0" w:firstLine="360"/>
        <w:jc w:val="both"/>
        <w:rPr/>
      </w:pPr>
      <w:r>
        <w:rPr>
          <w:rFonts w:ascii="Times New Roman;serif" w:hAnsi="Times New Roman;serif"/>
          <w:b w:val="false"/>
          <w:color w:val="231F20"/>
          <w:sz w:val="20"/>
        </w:rPr>
        <w:t>We are currently controlled by SoftBank Group. As of May 21, 2026, SoftBank Group beneficially owns approximately</w:t>
      </w:r>
      <w:r>
        <w:rPr>
          <w:color w:val="000000"/>
        </w:rPr>
        <w:t xml:space="preserve"> </w:t>
      </w:r>
      <w:r>
        <w:rPr>
          <w:rFonts w:ascii="Times New Roman;serif" w:hAnsi="Times New Roman;serif"/>
          <w:b w:val="false"/>
          <w:color w:val="000000"/>
          <w:sz w:val="20"/>
        </w:rPr>
        <w:t>922,733,999 or 86.4% of our total issued and outstanding share capital and thus a majority of the total voting power of our ordinary shares. As such, our publicly traded ADSs, representing ordinary shares, is 145,344,760. See</w:t>
      </w:r>
      <w:r>
        <w:rPr>
          <w:color w:val="000000"/>
        </w:rPr>
        <w:t xml:space="preserve"> “</w:t>
      </w:r>
      <w:r>
        <w:rPr>
          <w:rFonts w:ascii="Times New Roman;serif" w:hAnsi="Times New Roman;serif"/>
          <w:b w:val="false"/>
          <w:i/>
          <w:color w:val="000000"/>
          <w:sz w:val="20"/>
        </w:rPr>
        <w:t>Item 3. Key Information—D. Risk Factors</w:t>
      </w:r>
      <w:r>
        <w:rPr>
          <w:color w:val="000000"/>
        </w:rPr>
        <w:t>—</w:t>
      </w:r>
      <w:r>
        <w:rPr>
          <w:rFonts w:ascii="Times New Roman;serif" w:hAnsi="Times New Roman;serif"/>
          <w:b w:val="false"/>
          <w:i/>
          <w:color w:val="000000"/>
          <w:sz w:val="20"/>
        </w:rPr>
        <w:t xml:space="preserve">Risks Relating to Our Status as a Controlled Company and Foreign Private Issuer” </w:t>
      </w:r>
      <w:r>
        <w:rPr>
          <w:rFonts w:ascii="Times New Roman;serif" w:hAnsi="Times New Roman;serif"/>
          <w:b w:val="false"/>
          <w:color w:val="000000"/>
          <w:sz w:val="20"/>
        </w:rPr>
        <w:t xml:space="preserve">and </w:t>
      </w:r>
      <w:r>
        <w:rPr>
          <w:color w:val="000000"/>
        </w:rPr>
        <w:t>“</w:t>
      </w:r>
      <w:r>
        <w:rPr>
          <w:rFonts w:ascii="Times New Roman;serif" w:hAnsi="Times New Roman;serif"/>
          <w:b w:val="false"/>
          <w:i/>
          <w:color w:val="000000"/>
          <w:sz w:val="20"/>
        </w:rPr>
        <w:t xml:space="preserve">Item 8. Financial Information—Note 15 - Share-based Compensation” </w:t>
      </w:r>
      <w:r>
        <w:rPr>
          <w:rFonts w:ascii="Times New Roman;serif" w:hAnsi="Times New Roman;serif"/>
          <w:b w:val="false"/>
          <w:color w:val="000000"/>
          <w:sz w:val="20"/>
        </w:rPr>
        <w:t xml:space="preserve">for share-based compensation awards outstanding and expected to vest.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certain subsidiaries of SoftBank Group have entered into a margin loan facility secured by our ordinary shares, which we refer to as the SoftBank Group Facility. The SoftBank Group Facility is initially secured by a pledge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pPr>
      <w:r>
        <w:rPr>
          <w:rFonts w:ascii="Times New Roman;serif" w:hAnsi="Times New Roman;serif"/>
          <w:b w:val="false"/>
          <w:color w:val="000000"/>
          <w:sz w:val="20"/>
        </w:rPr>
        <w:t>769,029,000 of our ordinary shares representing a 72.0% equity interest in us. In the case of non-payment at maturity or another event of default, the providers of the SoftBank Group Facility may, in addition to other remedies, exercise their rights to foreclose on and sell or cause the sale of our shares that may be pledged as collateral. The foreclosure on our shares that are initially pledged as collateral for the SoftBank Group Facility could cause a change of control of us. See</w:t>
      </w:r>
      <w:r>
        <w:rPr>
          <w:color w:val="000000"/>
        </w:rPr>
        <w:t xml:space="preserve"> “</w:t>
      </w:r>
      <w:r>
        <w:rPr>
          <w:rFonts w:ascii="Times New Roman;serif" w:hAnsi="Times New Roman;serif"/>
          <w:b w:val="false"/>
          <w:i/>
          <w:color w:val="000000"/>
          <w:sz w:val="20"/>
        </w:rPr>
        <w:t>Item 3. Key Information—D. Risk Factors</w:t>
      </w:r>
      <w:r>
        <w:rPr>
          <w:color w:val="000000"/>
        </w:rPr>
        <w:t>—</w:t>
      </w:r>
      <w:r>
        <w:rPr>
          <w:rFonts w:ascii="Times New Roman;serif" w:hAnsi="Times New Roman;serif"/>
          <w:b w:val="false"/>
          <w:i/>
          <w:color w:val="000000"/>
          <w:sz w:val="20"/>
        </w:rPr>
        <w:t>Risks Relating to Our Status as a Controlled Company and Foreign Private Issuer—SoftBank Group has engaged, and may in the future engage, in financing transactions whereby our shares are pledged as security.”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pPr>
      <w:r>
        <w:rPr>
          <w:rFonts w:ascii="Times New Roman;serif" w:hAnsi="Times New Roman;serif"/>
          <w:b/>
          <w:color w:val="000000"/>
          <w:sz w:val="20"/>
        </w:rPr>
        <w:t>B.    </w:t>
      </w:r>
      <w:r>
        <w:rPr>
          <w:rFonts w:ascii="Times New Roman;serif" w:hAnsi="Times New Roman;serif"/>
          <w:b/>
          <w:i/>
          <w:color w:val="000000"/>
          <w:sz w:val="20"/>
        </w:rPr>
        <w:t>Related Party Transactions</w:t>
      </w:r>
    </w:p>
    <w:p>
      <w:pPr>
        <w:pStyle w:val="TextBody"/>
        <w:bidi w:val="0"/>
        <w:spacing w:lineRule="auto" w:line="288" w:before="120" w:after="240"/>
        <w:ind w:left="0" w:right="0" w:firstLine="403"/>
        <w:jc w:val="both"/>
        <w:rPr/>
      </w:pPr>
      <w:r>
        <w:rPr>
          <w:rFonts w:ascii="Times New Roman;serif" w:hAnsi="Times New Roman;serif"/>
          <w:b w:val="false"/>
          <w:color w:val="231F20"/>
          <w:sz w:val="20"/>
        </w:rPr>
        <w:t xml:space="preserve">In addition to the Director and Senior Management remuneration and indemnification arrangements discussed in </w:t>
      </w:r>
      <w:r>
        <w:rPr>
          <w:color w:val="000000"/>
        </w:rPr>
        <w:t>“</w:t>
      </w:r>
      <w:r>
        <w:rPr>
          <w:rFonts w:ascii="Times New Roman;serif" w:hAnsi="Times New Roman;serif"/>
          <w:b w:val="false"/>
          <w:i/>
          <w:color w:val="000000"/>
          <w:sz w:val="20"/>
        </w:rPr>
        <w:t>Item 6. Directors, Senior Management and Employees</w:t>
      </w:r>
      <w:r>
        <w:rPr>
          <w:color w:val="000000"/>
        </w:rPr>
        <w:t>—</w:t>
      </w:r>
      <w:r>
        <w:rPr>
          <w:rFonts w:ascii="Times New Roman;serif" w:hAnsi="Times New Roman;serif"/>
          <w:b w:val="false"/>
          <w:i/>
          <w:color w:val="000000"/>
          <w:sz w:val="20"/>
        </w:rPr>
        <w:t>B. Compensation,”</w:t>
      </w:r>
      <w:r>
        <w:rPr>
          <w:color w:val="231F20"/>
        </w:rPr>
        <w:t xml:space="preserve"> </w:t>
      </w:r>
      <w:r>
        <w:rPr>
          <w:rFonts w:ascii="Times New Roman;serif" w:hAnsi="Times New Roman;serif"/>
          <w:b w:val="false"/>
          <w:color w:val="231F20"/>
          <w:sz w:val="20"/>
        </w:rPr>
        <w:t>this section describes transactions or loans, since April 1, 2023, between us and (a) enterprises that directly or indirectly through one or more intermediaries, control or are controlled by, or are under common control with, our company; (b) associates; (c) individuals owning, directly or indirectly, an interest in the voting power of our company that gives them significant influence over our company, and close members of any such individual’s family; (d) key management personnel, that is, those persons having authority and responsibility for planning, directing and controlling our activities, including directors and senior management and close members of such individuals’ families; and (e) enterprises in which a substantial interest in the voting power is owned, directly or indirectly, by any person described in (c) or (d) or over which such a person is able to exercise significant influence. We refer to the entities and persons described in (a) through (e) above as “related parties.”</w:t>
      </w:r>
    </w:p>
    <w:p>
      <w:pPr>
        <w:pStyle w:val="TextBody"/>
        <w:bidi w:val="0"/>
        <w:spacing w:lineRule="auto" w:line="288" w:before="120" w:after="240"/>
        <w:jc w:val="left"/>
        <w:rPr>
          <w:rFonts w:ascii="Times New Roman;serif" w:hAnsi="Times New Roman;serif"/>
          <w:b/>
          <w:color w:val="231F20"/>
          <w:sz w:val="20"/>
        </w:rPr>
      </w:pPr>
      <w:r>
        <w:rPr>
          <w:rFonts w:ascii="Times New Roman;serif" w:hAnsi="Times New Roman;serif"/>
          <w:b/>
          <w:color w:val="231F20"/>
          <w:sz w:val="20"/>
        </w:rPr>
        <w:t>Transactions with SoftBank</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Shareholder Governance Agreement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IPO, we entered into the Shareholder Governance Agreement with SoftBank Group, which governs certain aspects of the relationship between us and SoftBank Group, including matters related to pre-emptive rights, rights related to the composition of our Board of Directors and its committees, registration rights, rights related to related party transactions, information and other rights, consultation rights and a consent right, among other matters, including during periods in which SoftBank Group beneficially owns less than a majority of our outstanding ordinary shares. The Shareholder Governance Agreement is attached as an exhibit to this Annual Report.</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Pre-emptive Rights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Shareholder Governance Agreement, if we propose to allot or issue any ordinary or preferred shares or options, warrants or other securities convertible into or exercisable for ordinary or preferred shares (including ADSs) (other than (i) pursuant to an offer made to all ordinary shareholders on the same terms; or (ii) in connection with any incentive plan or share scheme otherwise approved by SoftBank Group to the extent such approval is required under the Shareholder Governance Agreement), SoftBank Group and its controlled affiliates shall be entitled (but not obligated) to subscribe for a number of the securities we propose to allot or issue that will enable SoftBank Group and its controlled affiliates to maintain their proportional legal and economic interests in our share capital prior to such allotment or issuance.</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Rights Related to Our Board of Directors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Shareholder Governance Agreement, SoftBank Group has the right to designate a certain number of candidates for election to our Board of Directors based on the level of its and its affiliates’ ownership of our outstanding ordinary shares, provided that a certain number of such candidates must be “independent” under law or stock exchange rules applicable to our directors at the time of such nomination. SoftBank Group’s designation rights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18"/>
        <w:gridCol w:w="808"/>
        <w:gridCol w:w="811"/>
        <w:gridCol w:w="109"/>
        <w:gridCol w:w="109"/>
        <w:gridCol w:w="109"/>
        <w:gridCol w:w="1235"/>
        <w:gridCol w:w="1235"/>
        <w:gridCol w:w="1238"/>
        <w:gridCol w:w="109"/>
        <w:gridCol w:w="109"/>
        <w:gridCol w:w="109"/>
        <w:gridCol w:w="967"/>
        <w:gridCol w:w="967"/>
        <w:gridCol w:w="1372"/>
      </w:tblGrid>
      <w:tr>
        <w:trPr/>
        <w:tc>
          <w:tcPr>
            <w:tcW w:w="91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r>
      <w:tr>
        <w:trPr/>
        <w:tc>
          <w:tcPr>
            <w:tcW w:w="25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Ownership of our outstanding 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Number of SoftBank Group candidates for election to our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Number of SoftBank Group candidates that must be independent:</w:t>
            </w:r>
          </w:p>
        </w:tc>
      </w:tr>
      <w:tr>
        <w:trPr/>
        <w:tc>
          <w:tcPr>
            <w:tcW w:w="2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5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or equal to 70% and greater than 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5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or equal to 60% and greater than 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5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or equal to 50% and greater than 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5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or equal to 40% and greater than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5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or equal to 30% and greater than 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5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or equal to 20% and greater than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SoftBank Group’s rights to designate candidates for election to our Board of Directors are based on an eight-member board, including our CEO and, pursuant to the Shareholder Governance Agreement, will be modified ratably to reflect any change in the number of directors on our Board of Directors.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for so long as SoftBank Group and its controlled affiliates own more than 70% of our outstanding ordinary shares, SoftBank Group will have the right to increase the size of our Board of Directors to nine directors and appoint a director, who need not be independent, to the board to fill the newly created vacancy. If such right is exercised, SoftBank Group will have the right to nominate up to eight candidates for election to our Board of Directors for as long as it and its controlled affiliates hold more than 70% of our outstanding ordinary shares.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will make determinations with respect to each director’s independence. To the extent SoftBank Group nominates a director as an independent director that our Board of Directors, upon advice of counsel, determines does not meet the applicable independence standards, SoftBank Group will be required to propose a new nominee.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Shareholder Governance Agreement also provides SoftBank Group with proportional rights to representation on the committees of our Board of Directors, subject to applicable restrictions.</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Registration Rights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Shareholder Governance Agreement, SoftBank Group has certain registration rights for the resale of Registrable Securities owned by SoftBank Group after the completion of the IPO, provided that we will not be obligated to effect a registration, offer or sale when restricted from doing so under an applicable lock-up entered into in connection with a registered offering of our ordinary shares or securities convertible into or exchangeable for ordinary shares (including ADSs) (provided further that such restriction will not exceed 180 days after the date of pricing of the IPO or 60 days after any other public offering). At the request of SoftBank Group, we will use our best efforts to register the resale of Registrable Securities owned by SoftBank Group or certain of its affiliates, or subsequently acquired, for public sale under the Securities Act on a registration statement on Form F-1, or a short-form registration statement on Form F-3 if we are then eligible to use such form to register the resale of Registrable Securities on SoftBank Group’s behalf. There are no limitations on the total number of times that SoftBank Group may request such registration, but SoftBank Group will not be permitted to request such registration more than three times in any rolling 12-month period.</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SoftBank Group or its relevant affiliates may require us to file and maintain the effectiveness of a short-form registration statement on Form F-3 after we are eligible to use that form to register the resale of Registrable Securities on SoftBank Group’s or the relevant affiliates’ behalf. In the event that SoftBank Group requests registration in connection with registered underwritten offerings, SoftBank Group will retain the right to designate the underwriters for such offerings.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Shareholder Governance Agreement also provides SoftBank Group with “piggyback” registration rights that entitle SoftBank Group or its relevant affiliates to include its Registrable Securities in future registrations effected by us of our securities under the Securities Act. There is no limit on the number of these “piggyback” registrations that SoftBank Group may request. SoftBank Group’s “piggyback” rights are subject to cutbacks on the number of Registrable Securities that SoftBank Group may include in registrations effected by us in connection with underwritten offerings, subject to the good faith determination by the managing underwriters for such offerings that the number of Registrable Securities to be offered by us and SoftBank Group exceeds the number of Registrable Securities that can reasonably be sold in the offering.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have agreed to cooperate in these registrations and certain other financing transactions. All expenses payable in connection with such registrations will be paid by us, except that SoftBank Group will pay all of its own internal administrative and similar costs, the fees and disbursements of its counsel and underwriting discounts and commissions applicable to the sale of its Registrable Securities.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Shareholder Governance Agreement contains customary indemnification and contribution provisions by us for the benefit of SoftBank Group and, in limited situations, by SoftBank Group for the benefit of us with respect to the information provided by SoftBank Group for inclusion in any registration statement, prospectus or related document.</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Rights Related to Related Party Transactions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our related party transactions policy, material related party transactions must be reviewed and approved or ratified by the audit committee of our Board of Directors. The Shareholder Governance Agreement further provides, however, that, so long as SoftBank Group is considered a “related party” under our related party transactions policy, all transactions with SoftBank Group and its affiliates that would otherwise be subject to the related party transactions policy will be presented to the audit committee of our Board of Directors, and the following process will apply to transactions with SoftBank Group and its affiliates: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transactions or arrangements existing as of the date of the Shareholder Governance Agreement and disclosed in the IPO Prospectus will be exempt from the review and approval or ratification requirements of our related party transactions policy; provided that extensions and material amendments thereof will require review and/or approval or ratification to the same extent as other related party transactions;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if the audit committee of our Board of Directors determines that a particular transaction will be conducted in the ordinary course of our business upon terms generally available to third parties, such transaction will be exempt from the approval and ratification requirements of our related party transactions policy unless such transaction, or series of related transactions, has a value of over $20 million, in which case such transaction will be presented to the Board of Directors for review and approval or ratification; and</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if the audit committee of our Board of Directors determines that a particular proposed transaction is to be conducted on an arm’s-length basis or upon terms generally available to third parties, such transaction will be exempt from the approval and ratification requirements of our related party transactions policy, provided that such transaction will be presented to our full Board of Directors for review and approval or ratification.</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color w:val="000000"/>
          <w:sz w:val="20"/>
        </w:rPr>
        <w:t>if the audit committee of our Board of Directors determines that a particular transaction does not meet the criteria in the preceding bullets, such transaction will require review and/or approval or ratification to the same extent as other related party transactions.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one or more directors on the audit committee of our Board of Directors do not qualify as independent, determinations required to be made by the audit committee in accordance with the foregoing will be made by those directors on the audit committee which qualify as independent.</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Information and Other Rights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Shareholder Governance Agreement also provides, among other things, that, for so long as SoftBank Group consolidates us for the purposes of its consolidated financial statements or accounts for its investment in us under the equity method:</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to the extent permitted by applicable law, we will in a timely manner provide SoftBank Group with information and data relating to our business and financial results so as to enable SoftBank Group and its controlled affiliates to satisfy their respective ongoing financial reporting, audit and other legal and regulatory requirements;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to the extent permitted by applicable law, we will in a timely manner provide SoftBank Group with access to our auditors, personnel, data, information and systems, in each case in the same manner as we do immediately prior to the date of our listing on Nasdaq and on or prior to any reasonable deadline set by SoftBank Group for receipt of such information, data or access;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to the extent permitted by applicable law, we will consult with SoftBank Group in a timely manner (i) prior to the disclosure and filing of our annual and quarterly earnings information and related periodic reports and (ii) prior to the disclosure of any information that may reasonably be considered material to SoftBank Group or in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SoftBank Group is named, in each case taking into account all of SoftBank Group’s reasonable comments or advice prior to the filing thereof;</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we will inform SoftBank Group promptly of any events or developments that might reasonably be expected to materially affect our financial results; and</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color w:val="000000"/>
          <w:sz w:val="20"/>
        </w:rPr>
        <w:t>certain of our executive officers and employees will provide quarterly certifications regarding our disclosure controls and procedures and internal control over financial reporting, as reasonably requested by SoftBank Group in a timely manner.</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also agreed to provide SoftBank Group with such information as SoftBank Group may reasonably require to facilitate the compliance by SoftBank Group and its controlled affiliates with their respective global legal, regulatory and tax obligations in a timely manner.</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SoftBank Group Consultation Rights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so long as we are a consolidated subsidiary of SoftBank Group, if we propose to (i) change our independent auditor to a firm outside of the professional services networks commonly referred to as the “Big Four accounting firms” or (ii) make any material changes in our accounting policies applicable to our financial statements prepared under International Financial Reporting Standards, the Shareholder Governance Agreement requires us to provide SoftBank Group with prior written notice of such proposed changes, consult with SoftBank Group in good faith regarding the rationale for such proposed changes, and use our reasonable endeavors to resolve any disagreement and obtain SoftBank Group’s consent to such proposed changes.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event SoftBank Group has not responded within 30 calendar days of being notified of such proposed changes after good faith consultation by us, then we may adopt such changes upon a determination by our Board of Directors that such changes are in the best interests of us and our shareholders.</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SoftBank Group Consent Right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statutory rights under English law, until the later of (i) the time at which SoftBank Group and its controlled affiliates cease to own at least a majority of our ordinary shares and (ii) the time at which we cease to be a consolidated subsidiary of SoftBank Group, the Shareholder Governance Agreement provides that SoftBank Group shall have a consent right with respect to any decision by us to adopt any incentive plan or share scheme or expansion of an existing plan or scheme (including our Omnibus Incentive Plan), in each case, unless the maximum number of ordinary shares over which rights may be issued does not exceed 5% of our issued share capital at the time of adoption or expansion of such plan or scheme. Such consent right does not apply to any incentive plan or share scheme in place at the time of completion of the IPO.</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Consulting Agreement</w:t>
      </w:r>
    </w:p>
    <w:p>
      <w:pPr>
        <w:pStyle w:val="TextBody"/>
        <w:bidi w:val="0"/>
        <w:spacing w:lineRule="auto" w:line="288" w:before="120" w:after="240"/>
        <w:ind w:left="0" w:right="0" w:firstLine="360"/>
        <w:jc w:val="both"/>
        <w:rPr/>
      </w:pPr>
      <w:r>
        <w:rPr>
          <w:rFonts w:ascii="Times New Roman;serif" w:hAnsi="Times New Roman;serif"/>
          <w:b w:val="false"/>
          <w:color w:val="000000"/>
          <w:sz w:val="20"/>
        </w:rPr>
        <w:t>We are party to a consulting agreement with SoftBank Group pursuant to which we provide to SoftBank Group and its affiliates certain technical consultancy and advisory services relating to potential transactions, strategic partnerships, licensing agreements, commercial arrangements or other arrangements involving SoftBank Group or its affiliates (the “Consulting Agreement”). Pursuant to statements of work under the Consulting Agreement entered into and amended during the</w:t>
      </w:r>
      <w:r>
        <w:rPr>
          <w:color w:val="231F20"/>
        </w:rPr>
        <w:t xml:space="preserve"> </w:t>
      </w:r>
      <w:r>
        <w:rPr>
          <w:rFonts w:ascii="Times New Roman;serif" w:hAnsi="Times New Roman;serif"/>
          <w:b w:val="false"/>
          <w:color w:val="000000"/>
          <w:sz w:val="20"/>
        </w:rPr>
        <w:t xml:space="preserve">fiscal years ended March 31, 2026, 2025, and 2024 and through the date of this Annual Report, we may earn fees for services provided pursuant to the Consulting Agreement. </w:t>
      </w:r>
      <w:r>
        <w:rPr>
          <w:rFonts w:ascii="Times New Roman;serif" w:hAnsi="Times New Roman;serif"/>
          <w:b w:val="false"/>
          <w:color w:val="212121"/>
          <w:sz w:val="20"/>
        </w:rPr>
        <w:t xml:space="preserve">For the </w:t>
      </w:r>
      <w:r>
        <w:rPr>
          <w:rFonts w:ascii="Times New Roman;serif" w:hAnsi="Times New Roman;serif"/>
          <w:b w:val="false"/>
          <w:color w:val="000000"/>
          <w:sz w:val="20"/>
        </w:rPr>
        <w:t>fiscal years ended March 31, 2026 and 2025</w:t>
      </w:r>
      <w:r>
        <w:rPr>
          <w:rFonts w:ascii="Times New Roman;serif" w:hAnsi="Times New Roman;serif"/>
          <w:b w:val="false"/>
          <w:color w:val="212121"/>
          <w:sz w:val="20"/>
        </w:rPr>
        <w:t xml:space="preserve">, revenue from </w:t>
      </w:r>
      <w:r>
        <w:rPr>
          <w:rFonts w:ascii="Times New Roman;serif" w:hAnsi="Times New Roman;serif"/>
          <w:b w:val="false"/>
          <w:color w:val="000000"/>
          <w:sz w:val="20"/>
        </w:rPr>
        <w:t xml:space="preserve">the licensing and servicing arrangements </w:t>
      </w:r>
      <w:r>
        <w:rPr>
          <w:rFonts w:ascii="Times New Roman;serif" w:hAnsi="Times New Roman;serif"/>
          <w:b w:val="false"/>
          <w:color w:val="212121"/>
          <w:sz w:val="20"/>
        </w:rPr>
        <w:t>was</w:t>
      </w:r>
      <w:r>
        <w:rPr>
          <w:color w:val="000000"/>
        </w:rPr>
        <w:t xml:space="preserve"> </w:t>
      </w:r>
      <w:r>
        <w:rPr>
          <w:rFonts w:ascii="Times New Roman;serif" w:hAnsi="Times New Roman;serif"/>
          <w:b w:val="false"/>
          <w:color w:val="000000"/>
          <w:sz w:val="20"/>
        </w:rPr>
        <w:t>$704.4 million and $145.5 million, respectively, and as of March 31, 2026 and 2025,</w:t>
      </w:r>
      <w:r>
        <w:rPr>
          <w:color w:val="212121"/>
        </w:rPr>
        <w:t xml:space="preserve"> </w:t>
      </w:r>
      <w:r>
        <w:rPr>
          <w:rFonts w:ascii="Times New Roman;serif" w:hAnsi="Times New Roman;serif"/>
          <w:b w:val="false"/>
          <w:color w:val="212121"/>
          <w:sz w:val="20"/>
        </w:rPr>
        <w:t xml:space="preserve">the Company had current contract assets of </w:t>
      </w:r>
      <w:r>
        <w:rPr>
          <w:rFonts w:ascii="Times New Roman;serif" w:hAnsi="Times New Roman;serif"/>
          <w:b w:val="false"/>
          <w:color w:val="000000"/>
          <w:sz w:val="20"/>
        </w:rPr>
        <w:t xml:space="preserve">$645.8 million </w:t>
      </w:r>
      <w:r>
        <w:rPr>
          <w:rFonts w:ascii="Times New Roman;serif" w:hAnsi="Times New Roman;serif"/>
          <w:b w:val="false"/>
          <w:color w:val="212121"/>
          <w:sz w:val="20"/>
        </w:rPr>
        <w:t>and</w:t>
      </w:r>
      <w:r>
        <w:rPr>
          <w:color w:val="000000"/>
        </w:rPr>
        <w:t xml:space="preserve"> </w:t>
      </w:r>
      <w:r>
        <w:rPr>
          <w:rFonts w:ascii="Times New Roman;serif" w:hAnsi="Times New Roman;serif"/>
          <w:b w:val="false"/>
          <w:color w:val="000000"/>
          <w:sz w:val="20"/>
        </w:rPr>
        <w:t xml:space="preserve">$145.5 million from an affiliate of SoftBank Group. In addition, we may be entitled to a royalty fees under certain statements of work, the terms of which will be negotiated at a later date. During the fiscal year ended March 31, 2026, we also agreed to modify the structure of one of the statements of work under the Consulting Agreement resulting in a fixed payment amount of $300 million, which will be paid during the fiscal year ending March 31, 2027. Further, we are entitled to the reimbursement of certain expenses incurred in connection with providing services under the Consulting Agreement. In connection with the performance of services under the Consulting Agreement or otherwise, we may enter into strategic partnerships, licensing agreements or other commercial arrangements involving businesses or other assets owned by SoftBank Group or its affiliates, business or assets in which SoftBank Group or its affiliates have a controlling interest, or businesses with which SoftBank Group or its affiliates have a commercial arrangement or partnership. For additional financial information relating to our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pPr>
      <w:r>
        <w:rPr>
          <w:rFonts w:ascii="Times New Roman;serif" w:hAnsi="Times New Roman;serif"/>
          <w:b w:val="false"/>
          <w:color w:val="000000"/>
          <w:sz w:val="20"/>
        </w:rPr>
        <w:t xml:space="preserve">with SoftBank Group and its affiliates, see </w:t>
      </w:r>
      <w:r>
        <w:rPr>
          <w:color w:val="000000"/>
        </w:rPr>
        <w:t>“</w:t>
      </w:r>
      <w:r>
        <w:rPr>
          <w:rFonts w:ascii="Times New Roman;serif" w:hAnsi="Times New Roman;serif"/>
          <w:b w:val="false"/>
          <w:i/>
          <w:color w:val="000000"/>
          <w:sz w:val="20"/>
        </w:rPr>
        <w:t>Item 8. Financial Information—Note 20—Related Party Transactions”</w:t>
      </w:r>
      <w:r>
        <w:rPr>
          <w:color w:val="000000"/>
        </w:rPr>
        <w:t xml:space="preserve"> </w:t>
      </w:r>
      <w:r>
        <w:rPr>
          <w:rFonts w:ascii="Times New Roman;serif" w:hAnsi="Times New Roman;serif"/>
          <w:b w:val="false"/>
          <w:color w:val="000000"/>
          <w:sz w:val="20"/>
        </w:rPr>
        <w:t>in the Notes to the Consolidated Financial Statements included in this Annual Report.</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 xml:space="preserve">SoftBank Group Facility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19, 2023, certain subsidiaries of SoftBank Group entered into the SoftBank Group Facility, pursuant to which a subsidiary of SoftBank Group borrowed $8.5 billion either following, or substantially concurrently with, the closing of the IPO, at which time the Prior SoftBank Group Facility was repaid in full.</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The SoftBank Group Facility is secured by a pledge of 769,029,000 of our ordinary shares held by SoftBank Group, representing a 72.0% equity interest in us as of </w:t>
      </w:r>
      <w:r>
        <w:rPr>
          <w:rFonts w:ascii="Times New Roman;serif" w:hAnsi="Times New Roman;serif"/>
          <w:b w:val="false"/>
          <w:color w:val="231F20"/>
          <w:sz w:val="20"/>
        </w:rPr>
        <w:t>May 21, 2026</w:t>
      </w:r>
      <w:r>
        <w:rPr>
          <w:rFonts w:ascii="Times New Roman;serif" w:hAnsi="Times New Roman;serif"/>
          <w:b w:val="false"/>
          <w:color w:val="000000"/>
          <w:sz w:val="20"/>
        </w:rPr>
        <w: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SoftBank Group Facility, we entered into certain customary undertakings for the benefit of the lenders to facilitate the pledge of the ordinary shares securing the SoftBank Group Facility and we have agreed to facilitate the foreclosure upon the pledge following an event of default thereunder.</w:t>
      </w:r>
    </w:p>
    <w:p>
      <w:pPr>
        <w:pStyle w:val="TextBody"/>
        <w:bidi w:val="0"/>
        <w:spacing w:lineRule="auto" w:line="288" w:before="120" w:after="240"/>
        <w:ind w:left="0" w:right="0" w:firstLine="360"/>
        <w:jc w:val="both"/>
        <w:rPr/>
      </w:pPr>
      <w:r>
        <w:rPr>
          <w:rFonts w:ascii="Times New Roman;serif" w:hAnsi="Times New Roman;serif"/>
          <w:b w:val="false"/>
          <w:color w:val="000000"/>
          <w:sz w:val="20"/>
        </w:rPr>
        <w:t>See “</w:t>
      </w:r>
      <w:r>
        <w:rPr>
          <w:rFonts w:ascii="Times New Roman;serif" w:hAnsi="Times New Roman;serif"/>
          <w:b w:val="false"/>
          <w:i/>
          <w:color w:val="000000"/>
          <w:sz w:val="20"/>
        </w:rPr>
        <w:t>Item 3. Key Information—D. Risk Factors—Risks Relating to Our Status as a Controlled Company and Foreign Private Issuer—SoftBank Group’s interests may conflict with our own interests and those of holders of our ADSs”</w:t>
      </w:r>
      <w:r>
        <w:rPr>
          <w:color w:val="000000"/>
        </w:rPr>
        <w:t xml:space="preserve"> </w:t>
      </w:r>
      <w:r>
        <w:rPr>
          <w:rFonts w:ascii="Times New Roman;serif" w:hAnsi="Times New Roman;serif"/>
          <w:b w:val="false"/>
          <w:color w:val="000000"/>
          <w:sz w:val="20"/>
        </w:rPr>
        <w:t>in this Annual Report.</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Other Transactions with SoftBank Group</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2023, we entered into a subscription letter with a subsidiary of SoftBank Vision Fund and Kigen (UK) Limited (“Kigen”), an entity of which SoftBank Vision Fund indirectly owned 85% of the share capital on a fully diluted basis with the remainder comprising management incentives. Pursuant to the subscription letter, we and the subsidiary of SoftBank Vision Fund each invested $10 million in exchange for preference shares of Kigen. In September 2024 and April 2025, the Company invested another $5.0 million and $1.4 million in cash, respectively, in exchange for preference shares of Kigen. The preference shares are convertible into common shares of Kigen and are entitled to full dividend, distribution and voting rights. The preference shares have 1x non-participating liquidation preference. The preference shares are freely transferable other than to competitors of Kigen. Following the consummation of the subscription, we and the subsidiary of SoftBank Vision Fund owned approximately 15.2% and 73.5% of the fully diluted shares outstanding, respectively. Kigen is engaged in the business of physical sim, eSim and iSim authentication. We executed this investment due to the potential of Kigen’s product lines to complement our IoT strategy.</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On March 19, 2025, SoftBank Group announced that it entered into an agreement to acquire all of the outstanding equity interests of Ampere. The transaction closed in November 2025. In December 2025, the Company, as a minority shareholder of Ampere, received $143.4 million in gross proceeds for its equity interest in Ampere and $39.3 million from the settlement of the convertible promissory note with Ampere. In March 2026, the Company entered into a development agreement with Ampere (the “Ampere Development Agreement”), enabling Ampere to provide consulting services to the Company under one or more statements of work. For additional financial information relating to our agreements with Ampere, see </w:t>
      </w:r>
      <w:r>
        <w:rPr>
          <w:color w:val="000000"/>
        </w:rPr>
        <w:t>“</w:t>
      </w:r>
      <w:r>
        <w:rPr>
          <w:rFonts w:ascii="Times New Roman;serif" w:hAnsi="Times New Roman;serif"/>
          <w:b w:val="false"/>
          <w:i/>
          <w:color w:val="000000"/>
          <w:sz w:val="20"/>
        </w:rPr>
        <w:t>Item 8. Financial Information—Note 20—Related Party Transactions”</w:t>
      </w:r>
      <w:r>
        <w:rPr>
          <w:color w:val="000000"/>
        </w:rPr>
        <w:t xml:space="preserve"> </w:t>
      </w:r>
      <w:r>
        <w:rPr>
          <w:rFonts w:ascii="Times New Roman;serif" w:hAnsi="Times New Roman;serif"/>
          <w:b w:val="false"/>
          <w:color w:val="000000"/>
          <w:sz w:val="20"/>
        </w:rPr>
        <w:t xml:space="preserve">in the Notes to the Consolidated Financial Statements included in this Annual Report.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2025, we entered into a Tax Sharing Agreement with SoftBank Group (the “Tax Sharing Agreement”). The Tax Sharing Agreement provides for the reimbursement to the Company for any SoftBank Group costs the Company incurs under the U.K. legislation implementing the OECD framework for Pillar Two minimum taxes and for the reimbursement to SoftBank Group for the Company’s share of Pillar Two minimum taxes under this U.K. legislation. </w:t>
      </w:r>
    </w:p>
    <w:p>
      <w:pPr>
        <w:pStyle w:val="TextBody"/>
        <w:bidi w:val="0"/>
        <w:spacing w:lineRule="auto" w:line="288" w:before="120" w:after="240"/>
        <w:jc w:val="both"/>
        <w:rPr>
          <w:rFonts w:ascii="Times New Roman;serif" w:hAnsi="Times New Roman;serif"/>
          <w:b/>
          <w:color w:val="231F20"/>
          <w:sz w:val="20"/>
        </w:rPr>
      </w:pPr>
      <w:r>
        <w:rPr>
          <w:rFonts w:ascii="Times New Roman;serif" w:hAnsi="Times New Roman;serif"/>
          <w:b/>
          <w:color w:val="231F20"/>
          <w:sz w:val="20"/>
        </w:rPr>
        <w:t>Transactions with Directors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Jeffrey A. Sine</w:t>
      </w:r>
    </w:p>
    <w:p>
      <w:pPr>
        <w:pStyle w:val="TextBody"/>
        <w:bidi w:val="0"/>
        <w:spacing w:lineRule="auto" w:line="288" w:before="120" w:after="240"/>
        <w:ind w:left="0" w:right="0" w:firstLine="403"/>
        <w:jc w:val="both"/>
        <w:rPr>
          <w:rFonts w:ascii="Times New Roman;serif" w:hAnsi="Times New Roman;serif"/>
          <w:b w:val="false"/>
          <w:color w:val="231F20"/>
          <w:sz w:val="20"/>
        </w:rPr>
      </w:pPr>
      <w:r>
        <w:rPr>
          <w:rFonts w:ascii="Times New Roman;serif" w:hAnsi="Times New Roman;serif"/>
          <w:b w:val="false"/>
          <w:color w:val="231F20"/>
          <w:sz w:val="20"/>
        </w:rPr>
        <w:t>Mr. Sine is a Co-Founder and Partner of The Raine Group LLC. Mr. Sine, The Raine Group LLC and its affiliated entities engage in transactions with SoftBank Group, SoftBank Vision Fund, and their respective management and affiliates. Certain of these transactions have involved SoftBank Group’s investment in us. Other such transactions include a broad range of advisory services performed on behalf of SoftBank Group and its affiliates. In addition, SoftBank Group retains an indirect minority ownership stake in The Raine Group LLC and is an investor in certain investment funds managed by Raine Capital LLC, a subsidiary of The Raine Group LLC.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Young Sohn</w:t>
      </w:r>
    </w:p>
    <w:p>
      <w:pPr>
        <w:pStyle w:val="TextBody"/>
        <w:bidi w:val="0"/>
        <w:spacing w:lineRule="auto" w:line="288" w:before="120" w:after="240"/>
        <w:ind w:left="0" w:right="0" w:firstLine="360"/>
        <w:jc w:val="both"/>
        <w:rPr/>
      </w:pPr>
      <w:r>
        <w:rPr>
          <w:rFonts w:ascii="Times New Roman;serif" w:hAnsi="Times New Roman;serif"/>
          <w:b w:val="false"/>
          <w:color w:val="000000"/>
          <w:sz w:val="20"/>
        </w:rPr>
        <w:t>Mr. Sohn is a member of the board of directors of Cadence Design Systems, Inc. (“Cadence”). On August 26, 2025, the Company completed the sale of its Artisan foundation IP business, consisting of standard cell libraries, memory compilers, and general-purpose I/Os to Cadence pursuant to the terms of the definitive agreement entered into in April 2025. In connection with the sale, the Company entered into a transition services agreement pursuant to which the Company and Cadence are providing certain transition support services to each other for a period of up to 18 months following completion of the sale. For additional financial information relating to the sale, see “</w:t>
      </w:r>
      <w:r>
        <w:rPr>
          <w:rFonts w:ascii="Times New Roman;serif" w:hAnsi="Times New Roman;serif"/>
          <w:b w:val="false"/>
          <w:i/>
          <w:color w:val="000000"/>
          <w:sz w:val="20"/>
        </w:rPr>
        <w:t>Item 8. Financial Information —Note 5 – Acquisitions and Divestitures</w:t>
      </w:r>
      <w:r>
        <w:rPr>
          <w:color w:val="000000"/>
        </w:rPr>
        <w:t xml:space="preserve">” </w:t>
      </w:r>
      <w:r>
        <w:rPr>
          <w:rFonts w:ascii="Times New Roman;serif" w:hAnsi="Times New Roman;serif"/>
          <w:b w:val="false"/>
          <w:color w:val="000000"/>
          <w:sz w:val="20"/>
        </w:rPr>
        <w:t>in the Notes to the Consolidated Financial Statements included in this Annual Report.</w:t>
      </w:r>
    </w:p>
    <w:p>
      <w:pPr>
        <w:pStyle w:val="TextBody"/>
        <w:bidi w:val="0"/>
        <w:spacing w:lineRule="auto" w:line="288" w:before="12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and may in the future, enter into agreements with Cadence in the ordinary course of business.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Anthony Michael Fadell</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Mr. Fadell served as a member of our Board of Directors until September 2024, after which we entered into an advisory services agreement with Mr. Fadell, pursuant to which Mr. Fadell will provide us with advisory and consulting services, as reasonably requested by us. Pursuant to the agreement, Mr. Fadell’s RSUs granted in May 2024 did not terminate and vested on May 15, 2025. For each year of advisory services beginning from May 16, 2025, we have agreed to grant RSUs having a grant date fair value of $220,000 to Mr. Fadell, which will vest on May 15th of the following year, subject to certain conditions.</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Transactions with Associates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Arm China</w:t>
      </w:r>
    </w:p>
    <w:p>
      <w:pPr>
        <w:pStyle w:val="TextBody"/>
        <w:bidi w:val="0"/>
        <w:spacing w:lineRule="auto" w:line="288" w:before="120" w:after="240"/>
        <w:ind w:left="0" w:right="0" w:firstLine="403"/>
        <w:jc w:val="both"/>
        <w:rPr>
          <w:rFonts w:ascii="Times New Roman;serif" w:hAnsi="Times New Roman;serif"/>
          <w:b w:val="false"/>
          <w:color w:val="000000"/>
          <w:sz w:val="20"/>
        </w:rPr>
      </w:pPr>
      <w:r>
        <w:rPr>
          <w:rFonts w:ascii="Times New Roman;serif" w:hAnsi="Times New Roman;serif"/>
          <w:b w:val="false"/>
          <w:color w:val="000000"/>
          <w:sz w:val="20"/>
        </w:rPr>
        <w:t>As of the date of this Annual Report, approximately 48% of the equity interest in Arm China is owned by Acetone Limited, which is controlled by SoftBank Group and in which we own a 10% non-voting interest, approximately 35% is indirectly owned by HOPU Investment Management Company, and approximately 17% is directly and indirectly owned by other Chinese parties. Our 10% non-voting interest in Acetone Limited represents an approximate 4.8% indirect ownership interest in Arm China.</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party to the IPLA with Arm China, under which Arm China licenses certain of our IP from us that Arm China in turn sublicenses to its PRC customers. Under the IPLA with Arm China, Arm China’s payments due to us are determined based on the financial information that Arm China provides to us. </w:t>
      </w:r>
    </w:p>
    <w:p>
      <w:pPr>
        <w:pStyle w:val="TextBody"/>
        <w:bidi w:val="0"/>
        <w:spacing w:lineRule="auto" w:line="288" w:before="120" w:after="240"/>
        <w:ind w:left="0" w:right="0" w:firstLine="360"/>
        <w:jc w:val="both"/>
        <w:rPr/>
      </w:pPr>
      <w:r>
        <w:rPr>
          <w:rFonts w:ascii="Times New Roman;serif" w:hAnsi="Times New Roman;serif"/>
          <w:b w:val="false"/>
          <w:color w:val="231F20"/>
          <w:sz w:val="20"/>
        </w:rPr>
        <w:t xml:space="preserve">For the </w:t>
      </w:r>
      <w:r>
        <w:rPr>
          <w:rFonts w:ascii="Times New Roman;serif" w:hAnsi="Times New Roman;serif"/>
          <w:b w:val="false"/>
          <w:color w:val="000000"/>
          <w:sz w:val="20"/>
        </w:rPr>
        <w:t>fiscal years ended March 31, 2026, 2025 and 2024</w:t>
      </w:r>
      <w:r>
        <w:rPr>
          <w:rFonts w:ascii="Times New Roman;serif" w:hAnsi="Times New Roman;serif"/>
          <w:b w:val="false"/>
          <w:color w:val="231F20"/>
          <w:sz w:val="20"/>
        </w:rPr>
        <w:t xml:space="preserve">, revenues attributable to our relationship with Arm China were approximately </w:t>
      </w:r>
      <w:r>
        <w:rPr>
          <w:rFonts w:ascii="Times New Roman;serif" w:hAnsi="Times New Roman;serif"/>
          <w:b w:val="false"/>
          <w:color w:val="000000"/>
          <w:sz w:val="20"/>
        </w:rPr>
        <w:t>16%, 17% and 21%</w:t>
      </w:r>
      <w:r>
        <w:rPr>
          <w:color w:val="231F20"/>
        </w:rPr>
        <w:t xml:space="preserve"> </w:t>
      </w:r>
      <w:r>
        <w:rPr>
          <w:rFonts w:ascii="Times New Roman;serif" w:hAnsi="Times New Roman;serif"/>
          <w:b w:val="false"/>
          <w:color w:val="231F20"/>
          <w:sz w:val="20"/>
        </w:rPr>
        <w:t xml:space="preserve">of our total revenue, respectively. </w:t>
      </w:r>
      <w:r>
        <w:rPr>
          <w:rFonts w:ascii="Times New Roman;serif" w:hAnsi="Times New Roman;serif"/>
          <w:b w:val="false"/>
          <w:color w:val="000000"/>
          <w:sz w:val="20"/>
        </w:rPr>
        <w:t xml:space="preserve">For additional financial information relating to Arm China, see </w:t>
      </w:r>
      <w:r>
        <w:rPr>
          <w:color w:val="000000"/>
        </w:rPr>
        <w:t>“</w:t>
      </w:r>
      <w:r>
        <w:rPr>
          <w:rFonts w:ascii="Times New Roman;serif" w:hAnsi="Times New Roman;serif"/>
          <w:b w:val="false"/>
          <w:i/>
          <w:color w:val="000000"/>
          <w:sz w:val="20"/>
        </w:rPr>
        <w:t>Item 8. Financial Information—Note 20—Related Party Transactions”</w:t>
      </w:r>
      <w:r>
        <w:rPr>
          <w:color w:val="000000"/>
        </w:rPr>
        <w:t xml:space="preserve"> </w:t>
      </w:r>
      <w:r>
        <w:rPr>
          <w:rFonts w:ascii="Times New Roman;serif" w:hAnsi="Times New Roman;serif"/>
          <w:b w:val="false"/>
          <w:color w:val="000000"/>
          <w:sz w:val="20"/>
        </w:rPr>
        <w:t xml:space="preserve">in the Notes to the Consolidated Financial Statements included in this Annual Report.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under the IPLA with Arm China, we are contractually obligated to indemnify both Arm China and its PRC customers that sublicense our IP in the event either Arm China or such customers incur damages or costs in lawsuits, administrative proceedings or similar actions based upon a claim that our IP infringes the IP of a third party.</w:t>
      </w:r>
    </w:p>
    <w:p>
      <w:pPr>
        <w:pStyle w:val="TextBody"/>
        <w:bidi w:val="0"/>
        <w:spacing w:lineRule="auto" w:line="288" w:before="120" w:after="240"/>
        <w:ind w:left="0" w:right="0" w:firstLine="360"/>
        <w:jc w:val="both"/>
        <w:rPr/>
      </w:pPr>
      <w:r>
        <w:rPr>
          <w:rFonts w:ascii="Times New Roman;serif" w:hAnsi="Times New Roman;serif"/>
          <w:b w:val="false"/>
          <w:color w:val="000000"/>
          <w:sz w:val="20"/>
        </w:rPr>
        <w:t xml:space="preserve">See </w:t>
      </w:r>
      <w:r>
        <w:rPr>
          <w:color w:val="000000"/>
        </w:rPr>
        <w:t>“</w:t>
      </w:r>
      <w:r>
        <w:rPr>
          <w:rFonts w:ascii="Times New Roman;serif" w:hAnsi="Times New Roman;serif"/>
          <w:b w:val="false"/>
          <w:i/>
          <w:color w:val="000000"/>
          <w:sz w:val="20"/>
        </w:rPr>
        <w:t>Item 3. Key Information—D. Risk Factors—Risks Relating to Our Business and Industry—We utilize our commercial relationship with Arm China to access the PRC market. If that commercial relationship no longer existed or deteriorates, our ability to compete in the PRC market could be materially and adversely affected”</w:t>
      </w:r>
      <w:r>
        <w:rPr>
          <w:color w:val="000000"/>
        </w:rPr>
        <w:t xml:space="preserve"> </w:t>
      </w:r>
      <w:r>
        <w:rPr>
          <w:rFonts w:ascii="Times New Roman;serif" w:hAnsi="Times New Roman;serif"/>
          <w:b w:val="false"/>
          <w:color w:val="000000"/>
          <w:sz w:val="20"/>
        </w:rPr>
        <w:t xml:space="preserve">and </w:t>
      </w:r>
      <w:r>
        <w:rPr>
          <w:color w:val="000000"/>
        </w:rPr>
        <w:t>“</w:t>
      </w:r>
      <w:r>
        <w:rPr>
          <w:rFonts w:ascii="Times New Roman;serif" w:hAnsi="Times New Roman;serif"/>
          <w:b w:val="false"/>
          <w:i/>
          <w:color w:val="000000"/>
          <w:sz w:val="20"/>
        </w:rPr>
        <w:t>Item 3. Key Information—D. Risk Factors—Risks Relating to Our Business and Industry—Neither we nor SoftBank Group control the operations of Arm China, which operates independently of us.”</w:t>
      </w:r>
    </w:p>
    <w:p>
      <w:pPr>
        <w:pStyle w:val="TextBody"/>
        <w:bidi w:val="0"/>
        <w:spacing w:lineRule="auto" w:line="288" w:before="120" w:after="240"/>
        <w:jc w:val="both"/>
        <w:rPr>
          <w:rFonts w:ascii="Times New Roman;serif" w:hAnsi="Times New Roman;serif"/>
          <w:b/>
          <w:color w:val="231F20"/>
          <w:sz w:val="20"/>
        </w:rPr>
      </w:pPr>
      <w:r>
        <w:rPr>
          <w:rFonts w:ascii="Times New Roman;serif" w:hAnsi="Times New Roman;serif"/>
          <w:b/>
          <w:color w:val="231F20"/>
          <w:sz w:val="20"/>
        </w:rPr>
        <w:t>Other Transactions</w:t>
      </w:r>
    </w:p>
    <w:p>
      <w:pPr>
        <w:pStyle w:val="TextBody"/>
        <w:bidi w:val="0"/>
        <w:spacing w:lineRule="auto" w:line="288" w:before="120" w:after="240"/>
        <w:ind w:left="0" w:right="0" w:firstLine="403"/>
        <w:jc w:val="both"/>
        <w:rPr>
          <w:rFonts w:ascii="Times New Roman;serif" w:hAnsi="Times New Roman;serif"/>
          <w:b w:val="false"/>
          <w:color w:val="231F20"/>
          <w:sz w:val="20"/>
        </w:rPr>
      </w:pPr>
      <w:r>
        <w:rPr>
          <w:rFonts w:ascii="Times New Roman;serif" w:hAnsi="Times New Roman;serif"/>
          <w:b w:val="false"/>
          <w:color w:val="231F20"/>
          <w:sz w:val="20"/>
        </w:rPr>
        <w:t>In the ordinary course, Arm entities enter into transactions with counterparties affiliated with the Company’s indirect shareholders on an arms’ length basis, including SoftBank Corp. and its affiliates.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left"/>
        <w:rPr>
          <w:rFonts w:ascii="Times New Roman;serif" w:hAnsi="Times New Roman;serif"/>
          <w:b/>
          <w:color w:val="231F20"/>
          <w:sz w:val="20"/>
        </w:rPr>
      </w:pPr>
      <w:r>
        <w:rPr>
          <w:rFonts w:ascii="Times New Roman;serif" w:hAnsi="Times New Roman;serif"/>
          <w:b/>
          <w:color w:val="231F20"/>
          <w:sz w:val="20"/>
        </w:rPr>
        <w:t>Related Party Transactions Policy</w:t>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Prior to the completion of the IPO in September 2023, we adopted a related party transaction policy, which we amended in August 2024. Our related party transaction policy sets forth our procedures for the identification, review, consideration and approval or ratification of related party transactions. For purposes of our related party transactions policy only, a related party transaction is any transaction, arrangement or relationship or series of similar transactions, arrangements or relationships (including any indebtedness or guarantee of indebtedness) between us or any of our subsidiaries and any related party. Transactions involving compensation for services provided to us as an employee or director are not covered by our related party transactions policy. </w:t>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Subject to the provisions of the Shareholder Governance Agreement and other exceptions applicable to transactions with SoftBank Group and its affiliates described below, under the related party transactions policy, if a transaction has been identified as a related party transaction, including any transaction that was not a related party transaction when originally consummated or any transaction that was not initially identified as a related party transaction prior to consummation, the related party transaction must be approved or ratified by the Audit Committee. In reviewing any such transaction, our audit committee will consider, among other things, the material facts, the interests, direct and indirect, of the related parties, the benefits to us of the transaction and whether the transaction is on terms that are comparable to the terms available to or from, as the case may be, an unrelated third party or to or from employees generally. Under the related party transactions policy, we will collect information that we deem reasonably necessary from each director, executive officer and, to the extent feasible, significant shareholder to enable us to identify any existing or potential related party transactions and to effectuate the terms of the related party transactions policy. In addition, under our Code of Conduct, our employees and directors have an affirmative responsibility to disclose any material transaction or relationship that may give rise to a conflict of interest. </w:t>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With respect to transactions with SoftBank Group and its affiliates, for so long as SoftBank Group is considered a related party under the related party transactions policy, the following review and approval or ratification requirements apply: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i/>
          <w:color w:val="000000"/>
          <w:sz w:val="20"/>
        </w:rPr>
        <w:t>Ordinary Course Transactions</w:t>
      </w:r>
      <w:r>
        <w:rPr>
          <w:rFonts w:ascii="Times New Roman;serif" w:hAnsi="Times New Roman;serif"/>
          <w:b w:val="false"/>
          <w:color w:val="000000"/>
          <w:sz w:val="20"/>
        </w:rPr>
        <w:t xml:space="preserve">: If our Chief Legal Officer determines that a transaction is in the ordinary course of our business upon terms generally available to third parties, then (i) if the value of the transaction is equal to or less than $20 million, no review or approval or ratification by the Board or the Audit Committee is required and (ii) if the value of the transaction is greater than $20 million, review and approval or ratification by the Board is required;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i/>
          <w:color w:val="000000"/>
          <w:sz w:val="20"/>
        </w:rPr>
        <w:t>Arm’s Length Transactions</w:t>
      </w:r>
      <w:r>
        <w:rPr>
          <w:rFonts w:ascii="Times New Roman;serif" w:hAnsi="Times New Roman;serif"/>
          <w:b w:val="false"/>
          <w:color w:val="000000"/>
          <w:sz w:val="20"/>
        </w:rPr>
        <w:t xml:space="preserve">: If our Chief Legal Officer determines that the transaction is on an arm’s-length basis or upon terms generally available to third parties, (i) if the value of the transaction is less than $1.5 million and our Chief Legal Officer determines that the transaction is immaterial, the Audit Committee must annually review, together with all other such transactions with SoftBank and its affiliates, at its last meeting of our fiscal year, (ii) if the value of the transaction is equal to or greater than $1.5 million but equal to or less than $20 million and our Chief Legal Officer determines that the transaction is immaterial, review and approval or ratification by the Audit Committee is required and (iii) if the value of the transaction is greater than $20 million or our Chief Legal Officer determines that the transaction is material, review and approval or ratification by the Board is required; and </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i/>
          <w:color w:val="000000"/>
          <w:sz w:val="20"/>
        </w:rPr>
        <w:t>Neither Ordinary Course nor Arm’s Length Transaction</w:t>
      </w:r>
      <w:r>
        <w:rPr>
          <w:rFonts w:ascii="Times New Roman;serif" w:hAnsi="Times New Roman;serif"/>
          <w:b w:val="false"/>
          <w:color w:val="000000"/>
          <w:sz w:val="20"/>
        </w:rPr>
        <w:t xml:space="preserve">: If our Chief Legal Officer determines that a transaction is neither in the ordinary course of our business upon terms generally available to third parties nor on arm’s-length terms or upon terms generally available to third parties, (i) if the value of the transaction is less than $1.5 million, review and approval or ratification by the Audit Committee is required and (ii) if the value of the transaction is equal to or greater than $1.5 million, review and approval or ratification by the Board is required. </w:t>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Board or Audit Committee review, approval or ratification is not required for transactions or arrangements with SoftBank Group or its affiliates existing as of the date of the Shareholder Governance Agreement and disclosed in the IPO Prospectus; provided that extensions and material amendments thereof will require review and/or approval or ratification to the same extent as other related party transactions. Other ongoing transactions with SoftBank Group or its affiliates are subject to the following review and approval or ratification requirements: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(i) If the value of the transaction is less than $1.5 million and our Chief Legal Officer determines that the transaction is immaterial or (ii) the transaction was previously reviewed and approved or ratified in accordance with the related party transactions policy and the transaction has a remaining term of six months or less, the Audit Committee must review such transaction, together with all other such transactions with SoftBank and its affiliates,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at its last meeting of our fiscal year, but there is no requirement for the Audit Committee to further approve or ratify such transaction; </w:t>
      </w:r>
    </w:p>
    <w:p>
      <w:pPr>
        <w:pStyle w:val="TextBody"/>
        <w:bidi w:val="0"/>
        <w:spacing w:lineRule="auto" w:line="288" w:before="60" w:after="240"/>
        <w:ind w:left="0" w:right="0" w:hanging="360"/>
        <w:jc w:val="left"/>
        <w:rPr/>
      </w:pPr>
      <w:r>
        <w:rPr>
          <w:color w:val="000000"/>
        </w:rPr>
        <w:t>•</w:t>
      </w:r>
      <w:r>
        <w:rPr>
          <w:rFonts w:ascii="Times New Roman;serif" w:hAnsi="Times New Roman;serif"/>
          <w:b w:val="false"/>
          <w:color w:val="000000"/>
          <w:sz w:val="20"/>
        </w:rPr>
        <w:t>(i) If the value of the transaction is equal to or greater than $1.5 million or (ii) our Chief Legal Officer determines that the transaction is material, the transaction will be subject to review and approval or ratification in accordance with the related party transactions policy and guidelines adopted by the Audit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erif" w:hAnsi="Times New Roman;serif"/>
          <w:b/>
          <w:color w:val="000000"/>
          <w:sz w:val="20"/>
        </w:rPr>
        <w:t>C.    </w:t>
      </w:r>
      <w:r>
        <w:rPr>
          <w:rFonts w:ascii="Times New Roman;serif" w:hAnsi="Times New Roman;serif"/>
          <w:b/>
          <w:i/>
          <w:color w:val="000000"/>
          <w:sz w:val="20"/>
        </w:rPr>
        <w:t>Interests of experts and counsel</w:t>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Item 8.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A.    Consolidated Statements and Other Financial Information</w:t>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lineRule="auto" w:line="288" w:before="120" w:after="240"/>
        <w:ind w:left="0" w:right="0" w:firstLine="360"/>
        <w:jc w:val="both"/>
        <w:rPr/>
      </w:pPr>
      <w:r>
        <w:rPr>
          <w:rFonts w:ascii="Times New Roman;serif" w:hAnsi="Times New Roman;serif"/>
          <w:b w:val="false"/>
          <w:color w:val="000000"/>
          <w:sz w:val="20"/>
        </w:rPr>
        <w:t>From time to time, we are involved in various legal, administrative, and regulatory proceedings, claims, demands and investigations relating to our business, which may include claims with respect to commercial, product liability, IP, cybersecurity, privacy, data protection, antitrust, breach of contract, labor and employment, whistleblower, mergers and acquisitions and other matters. In addition, under our customer agreements, we agree in some cases to indemnify our customers if a third party files a claim in court or another venue asserting that our products infringe such third party’s IP rights. Although we do not agree to indemnify our customers’ end customers, such end customers may be subject to infringement claims and may initiate claims against us as a result. We are currently involved in pending litigation, including, but not limited to, litigation proceedings with Qualcomm and Nuvia. See “</w:t>
      </w:r>
      <w:r>
        <w:rPr>
          <w:rFonts w:ascii="Times New Roman;serif" w:hAnsi="Times New Roman;serif"/>
          <w:b w:val="false"/>
          <w:i/>
          <w:color w:val="000000"/>
          <w:sz w:val="20"/>
        </w:rPr>
        <w:t>Item 3. Key Information—D. Risk Factors—Risks Relating to Our Business and Industry—We are currently involved in pending litigation, and may in the future become involved in litigation, government investigations or regulatory proceedings that may adversely affect us.</w:t>
      </w:r>
      <w:r>
        <w:rPr>
          <w:color w:val="000000"/>
        </w:rPr>
        <w:t xml:space="preserve">” </w:t>
      </w:r>
      <w:r>
        <w:rPr>
          <w:rFonts w:ascii="Times New Roman;serif" w:hAnsi="Times New Roman;serif"/>
          <w:b w:val="false"/>
          <w:color w:val="000000"/>
          <w:sz w:val="20"/>
        </w:rPr>
        <w:t>In addition, our products are involved in pending litigation to which we are not a party. We cannot provide you any assurances regarding how any such litigation will be resolved, what benefits we will obtain or what losses we might incur. The results of any current or future litigation cannot be predicted with certainty, and regardless of the outcome, litigation can have an adverse impact on us because of defense and settlement costs, diversion of management resources and other factors. See “</w:t>
      </w:r>
      <w:r>
        <w:rPr>
          <w:rFonts w:ascii="Times New Roman;serif" w:hAnsi="Times New Roman;serif"/>
          <w:b w:val="false"/>
          <w:i/>
          <w:color w:val="000000"/>
          <w:sz w:val="20"/>
        </w:rPr>
        <w:t xml:space="preserve">Item 3. Key Information—D. Risk Factors—Risks Relating to Our Business and Industry—We may be sued by third parties for alleged infringement, misappropriation or other violation of their </w:t>
      </w:r>
      <w:r>
        <w:rPr>
          <w:rFonts w:ascii="Times New Roman;serif" w:hAnsi="Times New Roman;serif"/>
          <w:b w:val="false"/>
          <w:i/>
          <w:color w:val="231F20"/>
          <w:sz w:val="20"/>
        </w:rPr>
        <w:t xml:space="preserve">IP </w:t>
      </w:r>
      <w:r>
        <w:rPr>
          <w:rFonts w:ascii="Times New Roman;serif" w:hAnsi="Times New Roman;serif"/>
          <w:b w:val="false"/>
          <w:i/>
          <w:color w:val="000000"/>
          <w:sz w:val="20"/>
        </w:rPr>
        <w:t>rights or proprietary rights and our defense against these claims can be costly.</w:t>
      </w:r>
      <w:r>
        <w:rPr>
          <w:color w:val="000000"/>
        </w:rPr>
        <w: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120" w:after="240"/>
        <w:ind w:left="0" w:right="0" w:firstLine="360"/>
        <w:jc w:val="both"/>
        <w:rPr/>
      </w:pPr>
      <w:r>
        <w:rPr>
          <w:rFonts w:ascii="Times New Roman;serif" w:hAnsi="Times New Roman;serif"/>
          <w:b w:val="false"/>
          <w:color w:val="000000"/>
          <w:sz w:val="20"/>
        </w:rPr>
        <w:t>We intend to retain any earnings for use in our business and do not currently intend to pay dividends on our ordinary shares or ADSs. The declaration and payment of any future dividends will be at the discretion of our Board of Directors and will depend upon our results of operations, cash requirements, financial condition, contractual restrictions, any future debt agreements or applicable laws and other factors that our Board of Directors may deem relevant. See “</w:t>
      </w:r>
      <w:r>
        <w:rPr>
          <w:rFonts w:ascii="Times New Roman;serif" w:hAnsi="Times New Roman;serif"/>
          <w:b w:val="false"/>
          <w:i/>
          <w:color w:val="000000"/>
          <w:sz w:val="20"/>
        </w:rPr>
        <w:t>Item 3. Key Information—D. Risk Factors—Risks Relating to Ownership of Our Securities—Because we do not anticipate paying any cash dividends on our ordinary shares in the foreseeable future, capital appreciation, if any, will be your sole source of gains and you may never receive a return on your investment.”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laws of England and Wales, among other things, we may only pay dividends if we have sufficient distributable reserves (as determined on a non-consolidated basis), which are our accumulated realized profits that have not been previously distributed or capitalized less our accumulated realized losses, so far as such losses have not been previously written off in a reduction or reorganization of capital. In addition, as a public limited company in England, we will only be able to make a distribution if the amount of our net assets is not less than the aggregate of our called-up share capital and undistributable reserves and if, and to the extent that, the distribution does not reduce the amount of those assets to less than that aggregate.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120" w:after="240"/>
        <w:jc w:val="center"/>
        <w:rPr>
          <w:rFonts w:ascii="Times New Roman;serif" w:hAnsi="Times New Roman;serif"/>
          <w:b/>
          <w:color w:val="231F20"/>
          <w:sz w:val="20"/>
        </w:rPr>
      </w:pPr>
      <w:r>
        <w:rPr>
          <w:rFonts w:ascii="Times New Roman;serif" w:hAnsi="Times New Roman;serif"/>
          <w:b/>
          <w:color w:val="231F20"/>
          <w:sz w:val="20"/>
        </w:rPr>
        <w:t>INDEX TO FINANCIAL STATEMENTS</w:t>
      </w:r>
    </w:p>
    <w:tbl>
      <w:tblPr>
        <w:tblW w:w="9601" w:type="dxa"/>
        <w:jc w:val="center"/>
        <w:tblInd w:w="0" w:type="dxa"/>
        <w:tblLayout w:type="fixed"/>
        <w:tblCellMar>
          <w:top w:w="28" w:type="dxa"/>
          <w:left w:w="28" w:type="dxa"/>
          <w:bottom w:w="28" w:type="dxa"/>
          <w:right w:w="28" w:type="dxa"/>
        </w:tblCellMar>
      </w:tblPr>
      <w:tblGrid>
        <w:gridCol w:w="3267"/>
        <w:gridCol w:w="2874"/>
        <w:gridCol w:w="2889"/>
        <w:gridCol w:w="167"/>
        <w:gridCol w:w="167"/>
        <w:gridCol w:w="237"/>
      </w:tblGrid>
      <w:tr>
        <w:trPr/>
        <w:tc>
          <w:tcPr>
            <w:tcW w:w="3267"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Page</w:t>
            </w:r>
          </w:p>
        </w:tc>
      </w:tr>
      <w:tr>
        <w:trPr/>
        <w:tc>
          <w:tcPr>
            <w:tcW w:w="90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Audited Consolidated Financial Statements</w:t>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130">
              <w:r>
                <w:rPr>
                  <w:rStyle w:val="InternetLink"/>
                  <w:rFonts w:ascii="Times New Roman;serif" w:hAnsi="Times New Roman;serif"/>
                  <w:b w:val="false"/>
                  <w:strike w:val="false"/>
                  <w:dstrike w:val="false"/>
                  <w:color w:val="000000"/>
                  <w:sz w:val="20"/>
                  <w:u w:val="none"/>
                  <w:effect w:val="none"/>
                </w:rPr>
                <w:t>Reports of Independent Registered Public Accounting Firm</w:t>
              </w:r>
            </w:hyperlink>
            <w:r>
              <w:rPr>
                <w:rFonts w:ascii="Times New Roman;serif" w:hAnsi="Times New Roman;serif"/>
                <w:b w:val="false"/>
                <w:color w:val="000000"/>
                <w:sz w:val="20"/>
              </w:rPr>
              <w:t xml:space="preserve"> (Firm ID: 34)</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130">
              <w:r>
                <w:rPr>
                  <w:rStyle w:val="InternetLink"/>
                  <w:rFonts w:ascii="Times New Roman;serif" w:hAnsi="Times New Roman;serif"/>
                  <w:b w:val="false"/>
                  <w:strike w:val="false"/>
                  <w:dstrike w:val="false"/>
                  <w:color w:val="000000"/>
                  <w:sz w:val="20"/>
                  <w:u w:val="none"/>
                  <w:effect w:val="none"/>
                </w:rPr>
                <w:t>124</w:t>
              </w:r>
            </w:hyperlink>
          </w:p>
        </w:tc>
      </w:tr>
      <w:tr>
        <w:trPr/>
        <w:tc>
          <w:tcPr>
            <w:tcW w:w="903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9af17d82a7d413cb442a95770d4890b_133">
              <w:r>
                <w:rPr>
                  <w:rStyle w:val="InternetLink"/>
                  <w:rFonts w:ascii="Times New Roman;serif" w:hAnsi="Times New Roman;serif"/>
                  <w:b w:val="false"/>
                  <w:strike w:val="false"/>
                  <w:dstrike w:val="false"/>
                  <w:color w:val="000000"/>
                  <w:sz w:val="20"/>
                  <w:u w:val="none"/>
                  <w:effect w:val="none"/>
                </w:rPr>
                <w:t>Consolidated Income Statements for t</w:t>
              </w:r>
            </w:hyperlink>
            <w:r>
              <w:rPr>
                <w:rFonts w:ascii="Times New Roman;serif" w:hAnsi="Times New Roman;serif"/>
                <w:b w:val="false"/>
                <w:color w:val="000000"/>
                <w:sz w:val="20"/>
              </w:rPr>
              <w:t>he fiscal years ended March 31, 2026, 2025 and 2024</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133">
              <w:r>
                <w:rPr>
                  <w:rStyle w:val="InternetLink"/>
                  <w:rFonts w:ascii="Times New Roman;serif" w:hAnsi="Times New Roman;serif"/>
                  <w:b w:val="false"/>
                  <w:strike w:val="false"/>
                  <w:dstrike w:val="false"/>
                  <w:color w:val="000000"/>
                  <w:sz w:val="20"/>
                  <w:u w:val="none"/>
                  <w:effect w:val="none"/>
                </w:rPr>
                <w:t>127</w:t>
              </w:r>
            </w:hyperlink>
          </w:p>
        </w:tc>
      </w:tr>
      <w:tr>
        <w:trPr/>
        <w:tc>
          <w:tcPr>
            <w:tcW w:w="903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9af17d82a7d413cb442a95770d4890b_136">
              <w:r>
                <w:rPr>
                  <w:rStyle w:val="InternetLink"/>
                  <w:rFonts w:ascii="Times New Roman;serif" w:hAnsi="Times New Roman;serif"/>
                  <w:b w:val="false"/>
                  <w:strike w:val="false"/>
                  <w:dstrike w:val="false"/>
                  <w:color w:val="000080"/>
                  <w:sz w:val="20"/>
                  <w:u w:val="single"/>
                  <w:effect w:val="none"/>
                </w:rPr>
                <w:t xml:space="preserve">Consolidated Statements of Comprehensive Income </w:t>
              </w:r>
            </w:hyperlink>
            <w:hyperlink w:anchor="ib9af17d82a7d413cb442a95770d4890b_133">
              <w:r>
                <w:rPr>
                  <w:rStyle w:val="InternetLink"/>
                  <w:rFonts w:ascii="Times New Roman;serif" w:hAnsi="Times New Roman;serif"/>
                  <w:b w:val="false"/>
                  <w:strike w:val="false"/>
                  <w:dstrike w:val="false"/>
                  <w:color w:val="000080"/>
                  <w:sz w:val="20"/>
                  <w:u w:val="single"/>
                  <w:effect w:val="none"/>
                </w:rPr>
                <w:t>for t</w:t>
              </w:r>
            </w:hyperlink>
            <w:r>
              <w:rPr>
                <w:rFonts w:ascii="Times New Roman;serif" w:hAnsi="Times New Roman;serif"/>
                <w:b w:val="false"/>
                <w:color w:val="000000"/>
                <w:sz w:val="20"/>
              </w:rPr>
              <w:t>he fiscal years ended March 31, 2026, 2025 and 2024</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136">
              <w:r>
                <w:rPr>
                  <w:rStyle w:val="InternetLink"/>
                  <w:rFonts w:ascii="Times New Roman;serif" w:hAnsi="Times New Roman;serif"/>
                  <w:b w:val="false"/>
                  <w:strike w:val="false"/>
                  <w:dstrike w:val="false"/>
                  <w:color w:val="000000"/>
                  <w:sz w:val="20"/>
                  <w:u w:val="none"/>
                  <w:effect w:val="none"/>
                </w:rPr>
                <w:t>128</w:t>
              </w:r>
            </w:hyperlink>
          </w:p>
        </w:tc>
      </w:tr>
      <w:tr>
        <w:trPr/>
        <w:tc>
          <w:tcPr>
            <w:tcW w:w="90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139">
              <w:r>
                <w:rPr>
                  <w:rStyle w:val="InternetLink"/>
                  <w:rFonts w:ascii="Times New Roman;serif" w:hAnsi="Times New Roman;serif"/>
                  <w:b w:val="false"/>
                  <w:strike w:val="false"/>
                  <w:dstrike w:val="false"/>
                  <w:color w:val="000000"/>
                  <w:sz w:val="20"/>
                  <w:u w:val="none"/>
                  <w:effect w:val="none"/>
                </w:rPr>
                <w:t>Consolidated Balance Sheets</w:t>
              </w:r>
            </w:hyperlink>
            <w:r>
              <w:rPr>
                <w:rFonts w:ascii="Times New Roman;serif" w:hAnsi="Times New Roman;serif"/>
                <w:b w:val="false"/>
                <w:color w:val="000000"/>
                <w:sz w:val="20"/>
              </w:rPr>
              <w:t xml:space="preserve"> as of March 31, 2026 and 2025</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139">
              <w:r>
                <w:rPr>
                  <w:rStyle w:val="InternetLink"/>
                  <w:rFonts w:ascii="Times New Roman;serif" w:hAnsi="Times New Roman;serif"/>
                  <w:b w:val="false"/>
                  <w:strike w:val="false"/>
                  <w:dstrike w:val="false"/>
                  <w:color w:val="000000"/>
                  <w:sz w:val="20"/>
                  <w:u w:val="none"/>
                  <w:effect w:val="none"/>
                </w:rPr>
                <w:t>129</w:t>
              </w:r>
            </w:hyperlink>
          </w:p>
        </w:tc>
      </w:tr>
      <w:tr>
        <w:trPr/>
        <w:tc>
          <w:tcPr>
            <w:tcW w:w="903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9af17d82a7d413cb442a95770d4890b_142">
              <w:r>
                <w:rPr>
                  <w:rStyle w:val="InternetLink"/>
                  <w:rFonts w:ascii="Times New Roman;serif" w:hAnsi="Times New Roman;serif"/>
                  <w:b w:val="false"/>
                  <w:strike w:val="false"/>
                  <w:dstrike w:val="false"/>
                  <w:color w:val="000000"/>
                  <w:sz w:val="20"/>
                  <w:u w:val="none"/>
                  <w:effect w:val="none"/>
                </w:rPr>
                <w:t>Consolidated Statements of Shareholders’ Equity for the</w:t>
              </w:r>
            </w:hyperlink>
            <w:r>
              <w:rPr>
                <w:rFonts w:ascii="Times New Roman;serif" w:hAnsi="Times New Roman;serif"/>
                <w:b w:val="false"/>
                <w:color w:val="000000"/>
                <w:sz w:val="20"/>
              </w:rPr>
              <w:t xml:space="preserve"> fiscal years ended March 31, 2026, 2025 and 2024</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142">
              <w:r>
                <w:rPr>
                  <w:rStyle w:val="InternetLink"/>
                  <w:rFonts w:ascii="Times New Roman;serif" w:hAnsi="Times New Roman;serif"/>
                  <w:b w:val="false"/>
                  <w:strike w:val="false"/>
                  <w:dstrike w:val="false"/>
                  <w:color w:val="000000"/>
                  <w:sz w:val="20"/>
                  <w:u w:val="none"/>
                  <w:effect w:val="none"/>
                </w:rPr>
                <w:t>131</w:t>
              </w:r>
            </w:hyperlink>
          </w:p>
        </w:tc>
      </w:tr>
      <w:tr>
        <w:trPr/>
        <w:tc>
          <w:tcPr>
            <w:tcW w:w="903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9af17d82a7d413cb442a95770d4890b_145">
              <w:r>
                <w:rPr>
                  <w:rStyle w:val="InternetLink"/>
                  <w:rFonts w:ascii="Times New Roman;serif" w:hAnsi="Times New Roman;serif"/>
                  <w:b w:val="false"/>
                  <w:strike w:val="false"/>
                  <w:dstrike w:val="false"/>
                  <w:color w:val="000000"/>
                  <w:sz w:val="20"/>
                  <w:u w:val="none"/>
                  <w:effect w:val="none"/>
                </w:rPr>
                <w:t>Consolidated Statements of Cash Flows for the</w:t>
              </w:r>
            </w:hyperlink>
            <w:r>
              <w:rPr>
                <w:rFonts w:ascii="Times New Roman;serif" w:hAnsi="Times New Roman;serif"/>
                <w:b w:val="false"/>
                <w:color w:val="000000"/>
                <w:sz w:val="20"/>
              </w:rPr>
              <w:t xml:space="preserve"> fiscal years ended March 31, 2026, 2025 and 2024</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145">
              <w:r>
                <w:rPr>
                  <w:rStyle w:val="InternetLink"/>
                  <w:rFonts w:ascii="Times New Roman;serif" w:hAnsi="Times New Roman;serif"/>
                  <w:b w:val="false"/>
                  <w:strike w:val="false"/>
                  <w:dstrike w:val="false"/>
                  <w:color w:val="000000"/>
                  <w:sz w:val="20"/>
                  <w:u w:val="none"/>
                  <w:effect w:val="none"/>
                </w:rPr>
                <w:t>132</w:t>
              </w:r>
            </w:hyperlink>
          </w:p>
        </w:tc>
      </w:tr>
      <w:tr>
        <w:trPr/>
        <w:tc>
          <w:tcPr>
            <w:tcW w:w="90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af17d82a7d413cb442a95770d4890b_148">
              <w:r>
                <w:rPr>
                  <w:rStyle w:val="InternetLink"/>
                  <w:rFonts w:ascii="Times New Roman;serif" w:hAnsi="Times New Roman;serif"/>
                  <w:b w:val="false"/>
                  <w:strike w:val="false"/>
                  <w:dstrike w:val="false"/>
                  <w:color w:val="000000"/>
                  <w:sz w:val="20"/>
                  <w:u w:val="none"/>
                  <w:effect w:val="none"/>
                </w:rPr>
                <w:t>Notes to the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9af17d82a7d413cb442a95770d4890b_148">
              <w:r>
                <w:rPr>
                  <w:rStyle w:val="InternetLink"/>
                  <w:rFonts w:ascii="Times New Roman;serif" w:hAnsi="Times New Roman;serif"/>
                  <w:b w:val="false"/>
                  <w:strike w:val="false"/>
                  <w:dstrike w:val="false"/>
                  <w:color w:val="000000"/>
                  <w:sz w:val="20"/>
                  <w:u w:val="none"/>
                  <w:effect w:val="none"/>
                </w:rPr>
                <w:t>134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center"/>
        <w:rPr>
          <w:rFonts w:ascii="Times New Roman;serif" w:hAnsi="Times New Roman;serif"/>
          <w:b/>
          <w:color w:val="231F20"/>
          <w:sz w:val="20"/>
        </w:rPr>
      </w:pPr>
      <w:r>
        <w:rPr>
          <w:rFonts w:ascii="Times New Roman;serif" w:hAnsi="Times New Roman;serif"/>
          <w:b/>
          <w:color w:val="231F20"/>
          <w:sz w:val="20"/>
        </w:rPr>
        <w:t>REPORT OF INDEPENDENT REGISTERED PUBLIC ACCOUNTING FIRM</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Arm Holdings plc</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Arm Holdings plc and subsidiaries (the "Company") as of March 31, 2026 and 2025, the related consolidated statements of income, comprehensive income, shareholders' equity, and cash flows, for each of the three years in the period ended March 31, 2026, and the related notes (collectively referred to as the "financial statements"). In our opinion, the financial statements present fairly, in all material respects, the financial position of the Company as of March 31, 2026 and 2025, and the results of its operations and its cash flows for each of the three years in the period ended March 31, 2026, in conformity with accounting principles generally accepted in the United States of America.</w:t>
      </w:r>
    </w:p>
    <w:p>
      <w:pPr>
        <w:pStyle w:val="TextBody"/>
        <w:bidi w:val="0"/>
        <w:spacing w:lineRule="auto" w:line="288" w:before="120" w:after="240"/>
        <w:jc w:val="both"/>
        <w:rPr/>
      </w:pPr>
      <w:r>
        <w:rPr>
          <w:rFonts w:ascii="Times New Roman;serif" w:hAnsi="Times New Roman;serif"/>
          <w:b w:val="false"/>
          <w:color w:val="000000"/>
          <w:sz w:val="20"/>
        </w:rPr>
        <w:t xml:space="preserve">We have also audited, in accordance with the standards of the Public Company Accounting Oversight Board (United States) (PCAOB), the Company's internal control over financial reporting as of March 31, 2026,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 and our report dated May 26, 2026, expressed an unqualified opinion on the Company’s internal control over financial reporting.</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especially challenging, subjective, or complex auditor judgments. The communication of the critical audit matter does not alter in any way our opinion on the financial statements, taken as a whole, and we are not, by communicating the critical audit matter below, providing separate opinions on the critical audit matter or on the accounts or disclosures to which it relates.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Revenue Recognition for Material Long-Term Revenue Contracts - Refer to Notes 1 and 4 to the Consolidated Financial Statements</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Company routinely enters into material long-term revenue contracts with customers, including related parties, that involve multiple performance obligations consisting of products and services such as intellectual property licenses, implicit rights to future products, early access rights, software licenses, support, training, professional and design services, and other non-standard performance obligations that may be contract or customer specific. Determining the appropriate revenue recognition for these material long-term revenue contracts may involve significant judgment by management, including the identification of performance obligations and the portion of the transaction price that should be allocated to those performance obligations, both of which impact the amount and timing of revenue recognition.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Specifically, judgments were required when identifying the performance obligations in a given contract. In material long-term revenue contracts with customers, this is due to the inclusion of complex terms and conditions that may entitle the customer to non-standard products and services, as well as products and services that may be available in future periods or are otherwise implied based on forward looking and historical information. Judgments were likewise required in determining the standalone selling price of certain performance obligations and allocating the transaction price thereto. This is due to a lack of observable standalone selling prices for many of the Company’s products and services as well as the inclusion of non-standard offerings for which the standalone selling price must be estimated. Accordingly, performing audit procedures related to material long-term revenue contracts with customers required a high degree of auditor judgment and an increased extent of effort, including the need to involve professionals in our firm having expertise in revenue recognition.</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 xml:space="preserve">How the Critical Audit Matter Was Addressed in the Audit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For those material long-term revenue contracts with customers, including related parties, our audit procedures related to management’s evaluation regarding identification of the performance obligations and the allocation of the transaction price included the following, among others: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We tested the effectiveness of controls the Company has in place to review customer revenue contracts to identify performance obligations and allocate the transaction price to performance obligations.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Obtained and read the contract, including master agreements, amendments, purchase and sales order agreements, and related contracts.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Obtained and evaluated the Company’s technical accounting position for each such contract.</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Evaluated management’s identification of performance obligations by performing the following:</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Comparing the products and services identified in the contract to the performance obligations identified by management.</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Obtaining an understanding of the Company’s products and services, including product roadmaps and other marketing materials.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For any purchase options, obtaining and evaluating management’s material rights analysis.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Inquiring of personnel outside of the accounting function with sufficient authority and knowledge of the contract to understand its nature, business purpose, and the Company’s performance obligations.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We assessed the allocation of the transaction price to performance obligations by performing the following:</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Evaluating the reasonableness of the Company’s methodologies and inputs used to establish estimated standalone selling prices by obtaining an understanding of the nature of the products and services and testing the underlying data.</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Comparing the transaction price determined by management to the transaction price in the customer contracts, including an evaluation of whether the transaction price and corresponding performance obligations were fairly presented for related party transactions.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Reperforming the allocation of the transaction price to each performance obligation to test the accuracy of management’s allocation of transaction price to performance obligations by:</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Tracing and agreeing observable standalone selling prices to the supporting analyses, and </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color w:val="000000"/>
          <w:sz w:val="20"/>
        </w:rPr>
        <w:t>Recalculating the allocation using a combination of methods when the residual approach is used.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San Jose, California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May 26, 2026</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center"/>
        <w:rPr>
          <w:rFonts w:ascii="Times New Roman;serif" w:hAnsi="Times New Roman;serif"/>
          <w:b/>
          <w:color w:val="231F20"/>
          <w:sz w:val="20"/>
        </w:rPr>
      </w:pPr>
      <w:r>
        <w:rPr>
          <w:rFonts w:ascii="Times New Roman;serif" w:hAnsi="Times New Roman;serif"/>
          <w:b/>
          <w:color w:val="231F20"/>
          <w:sz w:val="20"/>
        </w:rPr>
        <w:t>REPORT OF INDEPENDENT REGISTERED PUBLIC ACCOUNTING FIRM</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Arm Holdings plc</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We have audited the internal control over financial reporting of Arm Holdings plc and subsidiaries (the "Company") as of March 31, 2026,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March 31, 2026, based on criteria established in Internal Control — Integrated Framework (2013) issued by COSO.</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consolidated financial statements as of and for the year ended March 31, 2026 of the Company and our report dated May 26, 2026, expressed an unqualified opinion on those financial statements.</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 Deloitte &amp; Touche LLP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San Jose, California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May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Income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tbl>
      <w:tblPr>
        <w:tblW w:w="9428" w:type="dxa"/>
        <w:jc w:val="center"/>
        <w:tblInd w:w="0" w:type="dxa"/>
        <w:tblLayout w:type="fixed"/>
        <w:tblCellMar>
          <w:top w:w="28" w:type="dxa"/>
          <w:left w:w="28" w:type="dxa"/>
          <w:bottom w:w="28" w:type="dxa"/>
          <w:right w:w="28" w:type="dxa"/>
        </w:tblCellMar>
      </w:tblPr>
      <w:tblGrid>
        <w:gridCol w:w="2021"/>
        <w:gridCol w:w="1778"/>
        <w:gridCol w:w="1795"/>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2021"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Disposal, restructuring and other operating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Total operating expenses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(2,968)</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Income (loss) before income taxes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 per share attributable to ordinary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ordinary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1,027</w:t>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w:t>
            </w:r>
          </w:p>
        </w:tc>
      </w:tr>
    </w:tbl>
    <w:p>
      <w:pPr>
        <w:pStyle w:val="TextBody"/>
        <w:bidi w:val="0"/>
        <w:spacing w:lineRule="auto" w:line="288" w:before="160" w:after="283"/>
        <w:jc w:val="center"/>
        <w:rPr>
          <w:rFonts w:ascii="Times New Roman;serif" w:hAnsi="Times New Roman;serif"/>
          <w:b w:val="false"/>
          <w:color w:val="231F20"/>
          <w:sz w:val="20"/>
        </w:rPr>
      </w:pPr>
      <w:r>
        <w:rPr>
          <w:rFonts w:ascii="Times New Roman;serif" w:hAnsi="Times New Roman;serif"/>
          <w:b w:val="false"/>
          <w:color w:val="231F2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192" w:before="0" w:after="240"/>
        <w:jc w:val="left"/>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tbl>
      <w:tblPr>
        <w:tblW w:w="8888" w:type="dxa"/>
        <w:jc w:val="left"/>
        <w:tblInd w:w="0" w:type="dxa"/>
        <w:tblLayout w:type="fixed"/>
        <w:tblCellMar>
          <w:top w:w="28" w:type="dxa"/>
          <w:left w:w="28" w:type="dxa"/>
          <w:bottom w:w="28" w:type="dxa"/>
          <w:right w:w="28" w:type="dxa"/>
        </w:tblCellMar>
      </w:tblPr>
      <w:tblGrid>
        <w:gridCol w:w="1990"/>
        <w:gridCol w:w="1750"/>
        <w:gridCol w:w="1764"/>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99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of the effective portion of designated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00" w:after="283"/>
        <w:jc w:val="center"/>
        <w:rPr>
          <w:rFonts w:ascii="Times New Roman;serif" w:hAnsi="Times New Roman;serif"/>
          <w:b w:val="false"/>
          <w:color w:val="231F20"/>
          <w:sz w:val="20"/>
        </w:rPr>
      </w:pPr>
      <w:r>
        <w:rPr>
          <w:rFonts w:ascii="Times New Roman;serif" w:hAnsi="Times New Roman;serif"/>
          <w:b w:val="false"/>
          <w:color w:val="231F2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192" w:before="0" w:after="240"/>
        <w:jc w:val="left"/>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par value)</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03"/>
        <w:gridCol w:w="2312"/>
        <w:gridCol w:w="2313"/>
        <w:gridCol w:w="249"/>
        <w:gridCol w:w="851"/>
        <w:gridCol w:w="128"/>
        <w:gridCol w:w="109"/>
        <w:gridCol w:w="109"/>
        <w:gridCol w:w="109"/>
        <w:gridCol w:w="261"/>
        <w:gridCol w:w="765"/>
        <w:gridCol w:w="196"/>
      </w:tblGrid>
      <w:tr>
        <w:trPr/>
        <w:tc>
          <w:tcPr>
            <w:tcW w:w="2803"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7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(including receivables from related parties of $270 and $279 as of March 31, 2026 and 2025, respectively)</w:t>
            </w:r>
          </w:p>
        </w:tc>
        <w:tc>
          <w:tcPr>
            <w:tcW w:w="11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 assets (including contract assets from related parties of $646 and $152 as of March 31, 2026 and 2025, respectively)</w:t>
            </w:r>
          </w:p>
        </w:tc>
        <w:tc>
          <w:tcPr>
            <w:tcW w:w="11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1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6,236 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4,830 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Non-current assets:</w:t>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11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Equity investments (including investments held under fair value option of $148 and $300 as of March 31, 2026 and 2025, respectively)</w:t>
            </w:r>
          </w:p>
        </w:tc>
        <w:tc>
          <w:tcPr>
            <w:tcW w:w="11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1,623 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contract assets</w:t>
            </w:r>
          </w:p>
        </w:tc>
        <w:tc>
          <w:tcPr>
            <w:tcW w:w="11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non-current assets</w:t>
            </w:r>
          </w:p>
        </w:tc>
        <w:tc>
          <w:tcPr>
            <w:tcW w:w="11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4,467 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4,102 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10,703 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8,932 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2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24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liabilities</w:t>
            </w:r>
          </w:p>
        </w:tc>
        <w:tc>
          <w:tcPr>
            <w:tcW w:w="11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 liabilities (including contract liabilities from related parties of $36 and $81 as of March 31, 2026 and 2025, respectively)</w:t>
            </w:r>
          </w:p>
        </w:tc>
        <w:tc>
          <w:tcPr>
            <w:tcW w:w="11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 (including payables to related parties of $20 and $11 as of March 31, 2026 and 2025, respectively)</w:t>
            </w:r>
          </w:p>
        </w:tc>
        <w:tc>
          <w:tcPr>
            <w:tcW w:w="11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1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Non-current liabilities:</w:t>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accrued compensation</w:t>
            </w:r>
          </w:p>
        </w:tc>
        <w:tc>
          <w:tcPr>
            <w:tcW w:w="11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Non-current portion of contract liabilities (including non-current portion of contract liabilities from related parties of $23 and $24 as of March 31, 2026 and 2025, respectively)</w:t>
            </w:r>
          </w:p>
        </w:tc>
        <w:tc>
          <w:tcPr>
            <w:tcW w:w="11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operating lease liabilities</w:t>
            </w:r>
          </w:p>
        </w:tc>
        <w:tc>
          <w:tcPr>
            <w:tcW w:w="11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non-current liabilities</w:t>
            </w:r>
          </w:p>
        </w:tc>
        <w:tc>
          <w:tcPr>
            <w:tcW w:w="11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1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18)</w:t>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192" w:before="0" w:after="240"/>
        <w:jc w:val="left"/>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par value)</w:t>
      </w:r>
    </w:p>
    <w:p>
      <w:pPr>
        <w:pStyle w:val="TextBody"/>
        <w:bidi w:val="0"/>
        <w:spacing w:before="240" w:after="283"/>
        <w:jc w:val="center"/>
        <w:rPr/>
      </w:pPr>
      <w:r>
        <w:rPr/>
      </w:r>
    </w:p>
    <w:tbl>
      <w:tblPr>
        <w:tblW w:w="10205" w:type="dxa"/>
        <w:jc w:val="center"/>
        <w:tblInd w:w="0" w:type="dxa"/>
        <w:tblLayout w:type="fixed"/>
        <w:tblCellMar>
          <w:top w:w="28" w:type="dxa"/>
          <w:left w:w="28" w:type="dxa"/>
          <w:bottom w:w="28" w:type="dxa"/>
          <w:right w:w="28" w:type="dxa"/>
        </w:tblCellMar>
      </w:tblPr>
      <w:tblGrid>
        <w:gridCol w:w="2862"/>
        <w:gridCol w:w="2492"/>
        <w:gridCol w:w="2500"/>
        <w:gridCol w:w="211"/>
        <w:gridCol w:w="721"/>
        <w:gridCol w:w="109"/>
        <w:gridCol w:w="109"/>
        <w:gridCol w:w="109"/>
        <w:gridCol w:w="109"/>
        <w:gridCol w:w="211"/>
        <w:gridCol w:w="616"/>
        <w:gridCol w:w="156"/>
      </w:tblGrid>
      <w:tr>
        <w:trPr/>
        <w:tc>
          <w:tcPr>
            <w:tcW w:w="2862"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March 31,</w:t>
            </w:r>
          </w:p>
        </w:tc>
      </w:tr>
      <w:tr>
        <w:trPr/>
        <w:tc>
          <w:tcPr>
            <w:tcW w:w="7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Ordinary shares, $0.001 par value; 1,097 shares authorized and 1,064 shares issued and outstanding as of March 31, 2026; and 1,088 shares authorized and 1,057 issued and outstanding as of March 31, 2025 </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8,932 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231F20"/>
          <w:sz w:val="20"/>
        </w:rPr>
      </w:pPr>
      <w:r>
        <w:rPr>
          <w:rFonts w:ascii="Times New Roman;serif" w:hAnsi="Times New Roman;serif"/>
          <w:b w:val="false"/>
          <w:color w:val="231F2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lineRule="auto" w:line="192" w:before="0" w:after="240"/>
        <w:jc w:val="left"/>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Consolidated Statements of Shareholders’ Equity</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millions)</w:t>
      </w:r>
    </w:p>
    <w:p>
      <w:pPr>
        <w:pStyle w:val="TextBody"/>
        <w:bidi w:val="0"/>
        <w:spacing w:before="360" w:after="283"/>
        <w:jc w:val="center"/>
        <w:rPr/>
      </w:pPr>
      <w:r>
        <w:rPr/>
      </w:r>
    </w:p>
    <w:tbl>
      <w:tblPr>
        <w:tblW w:w="10205" w:type="dxa"/>
        <w:jc w:val="center"/>
        <w:tblInd w:w="0" w:type="dxa"/>
        <w:tblLayout w:type="fixed"/>
        <w:tblCellMar>
          <w:top w:w="28" w:type="dxa"/>
          <w:left w:w="28" w:type="dxa"/>
          <w:bottom w:w="28" w:type="dxa"/>
          <w:right w:w="28" w:type="dxa"/>
        </w:tblCellMar>
      </w:tblPr>
      <w:tblGrid>
        <w:gridCol w:w="1149"/>
        <w:gridCol w:w="565"/>
        <w:gridCol w:w="567"/>
        <w:gridCol w:w="277"/>
        <w:gridCol w:w="277"/>
        <w:gridCol w:w="278"/>
        <w:gridCol w:w="113"/>
        <w:gridCol w:w="113"/>
        <w:gridCol w:w="113"/>
        <w:gridCol w:w="278"/>
        <w:gridCol w:w="358"/>
        <w:gridCol w:w="145"/>
        <w:gridCol w:w="109"/>
        <w:gridCol w:w="109"/>
        <w:gridCol w:w="109"/>
        <w:gridCol w:w="242"/>
        <w:gridCol w:w="725"/>
        <w:gridCol w:w="126"/>
        <w:gridCol w:w="109"/>
        <w:gridCol w:w="109"/>
        <w:gridCol w:w="109"/>
        <w:gridCol w:w="375"/>
        <w:gridCol w:w="856"/>
        <w:gridCol w:w="195"/>
        <w:gridCol w:w="109"/>
        <w:gridCol w:w="109"/>
        <w:gridCol w:w="109"/>
        <w:gridCol w:w="211"/>
        <w:gridCol w:w="631"/>
        <w:gridCol w:w="109"/>
        <w:gridCol w:w="109"/>
        <w:gridCol w:w="109"/>
        <w:gridCol w:w="109"/>
        <w:gridCol w:w="250"/>
        <w:gridCol w:w="752"/>
        <w:gridCol w:w="192"/>
      </w:tblGrid>
      <w:tr>
        <w:trPr/>
        <w:tc>
          <w:tcPr>
            <w:tcW w:w="114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Shares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 xml:space="preserve">Total </w:t>
              <w:br/>
              <w:t>Shareholders’</w:t>
              <w:br/>
              <w:t>Equity</w:t>
            </w:r>
          </w:p>
        </w:tc>
      </w:tr>
      <w:tr>
        <w:trPr/>
        <w:tc>
          <w:tcPr>
            <w:tcW w:w="2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March 31, 2023</w:t>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1,025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w:t>
            </w:r>
            <w:r>
              <w:rPr>
                <w:color w:val="000000"/>
              </w:rPr>
              <w:t>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1,216</w:t>
            </w:r>
            <w:r>
              <w:rPr>
                <w:color w:val="000000"/>
              </w:rPr>
              <w:t>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376</w:t>
            </w:r>
            <w:r>
              <w:rPr>
                <w:color w:val="000000"/>
              </w:rPr>
              <w:t>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2,457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4,051</w:t>
            </w:r>
            <w:r>
              <w:rPr>
                <w:color w:val="000000"/>
              </w:rPr>
              <w:t>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9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9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cost</w:t>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9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vested shares from share-based payment arrangements</w:t>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on vested shares from share-based payment arrangements</w:t>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 xml:space="preserve">Reclassification of RSU awards previously liability-classified </w:t>
            </w:r>
            <w:r>
              <w:rPr>
                <w:rFonts w:ascii="Times New Roman;serif" w:hAnsi="Times New Roman;serif"/>
                <w:b w:val="false"/>
                <w:color w:val="000000"/>
                <w:sz w:val="13"/>
              </w:rPr>
              <w:t>(1)</w:t>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9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to majority ordinary shareholder related to Pelion IOT Limited</w:t>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9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March 31, 2024</w:t>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1,040</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w:t>
            </w:r>
            <w:r>
              <w:rPr>
                <w:color w:val="000000"/>
              </w:rPr>
              <w:t>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2,171</w:t>
            </w:r>
            <w:r>
              <w:rPr>
                <w:color w:val="000000"/>
              </w:rPr>
              <w:t>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371</w:t>
            </w:r>
            <w:r>
              <w:rPr>
                <w:color w:val="000000"/>
              </w:rPr>
              <w:t>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2,751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5,295</w:t>
            </w:r>
            <w:r>
              <w:rPr>
                <w:color w:val="000000"/>
              </w:rPr>
              <w:t>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9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cost</w:t>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9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vested shares from share-based payment arrangements</w:t>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on vested shares from share-based payment arrangements</w:t>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9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1,057</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w:t>
            </w:r>
            <w:r>
              <w:rPr>
                <w:color w:val="000000"/>
              </w:rPr>
              <w:t>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2,922</w:t>
            </w:r>
            <w:r>
              <w:rPr>
                <w:color w:val="000000"/>
              </w:rPr>
              <w:t>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372</w:t>
            </w:r>
            <w:r>
              <w:rPr>
                <w:color w:val="000000"/>
              </w:rPr>
              <w:t>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3,543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6,839</w:t>
            </w:r>
            <w:r>
              <w:rPr>
                <w:color w:val="000000"/>
              </w:rPr>
              <w:t>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9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55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9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cost</w:t>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9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vested shares from share-based payment arrangements</w:t>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ordinary shares under Employee Stock Purchase Plan</w:t>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9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on vested shares from share-based payment arrangements</w:t>
            </w:r>
          </w:p>
        </w:tc>
        <w:tc>
          <w:tcPr>
            <w:tcW w:w="8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19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832"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1,064</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w:t>
            </w:r>
            <w:r>
              <w:rPr>
                <w:color w:val="000000"/>
              </w:rPr>
              <w:t>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3,467</w:t>
            </w:r>
            <w:r>
              <w:rPr>
                <w:color w:val="000000"/>
              </w:rPr>
              <w:t> </w:t>
            </w:r>
          </w:p>
        </w:tc>
        <w:tc>
          <w:tcPr>
            <w:tcW w:w="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370</w:t>
            </w:r>
            <w:r>
              <w:rPr>
                <w:color w:val="000000"/>
              </w:rPr>
              <w:t> </w:t>
            </w:r>
          </w:p>
        </w:tc>
        <w:tc>
          <w:tcPr>
            <w:tcW w:w="1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4,447</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8,286</w:t>
            </w:r>
            <w:r>
              <w:rPr>
                <w:color w:val="000000"/>
              </w:rPr>
              <w:t> </w:t>
            </w:r>
          </w:p>
        </w:tc>
        <w:tc>
          <w:tcPr>
            <w:tcW w:w="1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Includes $212 million of share-based compensation cost recognized in the fiscal year ended March 31, 2024 for RSU awards previously liability-classified.</w:t>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192" w:before="0" w:after="240"/>
        <w:jc w:val="left"/>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2457"/>
        <w:gridCol w:w="2116"/>
        <w:gridCol w:w="2123"/>
        <w:gridCol w:w="211"/>
        <w:gridCol w:w="616"/>
        <w:gridCol w:w="109"/>
        <w:gridCol w:w="109"/>
        <w:gridCol w:w="109"/>
        <w:gridCol w:w="109"/>
        <w:gridCol w:w="211"/>
        <w:gridCol w:w="616"/>
        <w:gridCol w:w="109"/>
        <w:gridCol w:w="109"/>
        <w:gridCol w:w="109"/>
        <w:gridCol w:w="109"/>
        <w:gridCol w:w="211"/>
        <w:gridCol w:w="616"/>
        <w:gridCol w:w="156"/>
      </w:tblGrid>
      <w:tr>
        <w:trPr/>
        <w:tc>
          <w:tcPr>
            <w:tcW w:w="2457"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provided by (used for) operating activities: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(used for) operating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loss from equity investments, net</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Share-based compensation cost</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business divestiture</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non-cash operating activities, net</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receivable, net (including receivables from related parties)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Contract assets, net (including contract assets from related parties)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Contract liabilities (including contract liabilities from related parties)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Tax liabilities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liabilities (including payables to related parties)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Net cash provided by (used for) operating activities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Cash flows provided by (used for) investing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short-term investments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maturity of short-term investments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equity investments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intangible assets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business divestiture</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settlement of loans, including convertible loans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or liquidation of equity investments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investing activities, net, including investments in convertible loans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cash provided by (used for) investing activities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provided by (used for) financing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intangible asset obligations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financing activities, net</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withholding tax on vested shares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 xml:space="preserve">Net cash provided by (used for) financing activities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changes on cash and cash equivalents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beginning of the period</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Cash and cash equivalents at the end of the period</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1,923 </w:t>
            </w:r>
          </w:p>
        </w:tc>
        <w:tc>
          <w:tcPr>
            <w:tcW w:w="1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192" w:before="0" w:after="240"/>
        <w:jc w:val="left"/>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9912" w:type="dxa"/>
        <w:jc w:val="center"/>
        <w:tblInd w:w="0" w:type="dxa"/>
        <w:tblLayout w:type="fixed"/>
        <w:tblCellMar>
          <w:top w:w="28" w:type="dxa"/>
          <w:left w:w="28" w:type="dxa"/>
          <w:bottom w:w="28" w:type="dxa"/>
          <w:right w:w="28" w:type="dxa"/>
        </w:tblCellMar>
      </w:tblPr>
      <w:tblGrid>
        <w:gridCol w:w="2400"/>
        <w:gridCol w:w="2110"/>
        <w:gridCol w:w="2120"/>
        <w:gridCol w:w="211"/>
        <w:gridCol w:w="541"/>
        <w:gridCol w:w="109"/>
        <w:gridCol w:w="109"/>
        <w:gridCol w:w="109"/>
        <w:gridCol w:w="109"/>
        <w:gridCol w:w="211"/>
        <w:gridCol w:w="541"/>
        <w:gridCol w:w="109"/>
        <w:gridCol w:w="109"/>
        <w:gridCol w:w="109"/>
        <w:gridCol w:w="109"/>
        <w:gridCol w:w="211"/>
        <w:gridCol w:w="541"/>
        <w:gridCol w:w="154"/>
      </w:tblGrid>
      <w:tr>
        <w:trPr/>
        <w:tc>
          <w:tcPr>
            <w:tcW w:w="2400"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Non-cash additions in property and equipment </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additions in finance lease right-of-use assets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additions in intangible assets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additions in operating lease right-of-use assets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Non-cash additions in operating lease liabilities </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additions to equity investments from conversion of certain receivables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distributions to shareholders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withholding tax on vested shares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reclassification of share-based compensation costs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1 - Description of Business and Summary of Significant Accounting Policies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120" w:after="240"/>
        <w:jc w:val="both"/>
        <w:rPr/>
      </w:pPr>
      <w:r>
        <w:rPr>
          <w:rFonts w:ascii="Times New Roman;serif" w:hAnsi="Times New Roman;serif"/>
          <w:b w:val="false"/>
          <w:color w:val="000000"/>
          <w:sz w:val="20"/>
        </w:rPr>
        <w:t>Arm Holdings plc and its wholly owned subsidiaries (the “Company” and also referred to as “we,” “our” or “us”)</w:t>
      </w:r>
      <w:r>
        <w:rPr>
          <w:color w:val="231F20"/>
        </w:rPr>
        <w:t xml:space="preserve"> </w:t>
      </w:r>
      <w:r>
        <w:rPr>
          <w:rFonts w:ascii="Times New Roman;serif" w:hAnsi="Times New Roman;serif"/>
          <w:b w:val="false"/>
          <w:color w:val="231F20"/>
          <w:sz w:val="20"/>
        </w:rPr>
        <w:t xml:space="preserve">are a global leader in the semiconductor industry. </w:t>
      </w:r>
      <w:r>
        <w:rPr>
          <w:rFonts w:ascii="Times New Roman;serif" w:hAnsi="Times New Roman;serif"/>
          <w:b w:val="false"/>
          <w:color w:val="000000"/>
          <w:sz w:val="20"/>
        </w:rPr>
        <w:t xml:space="preserve">The Company’s principal operations and activities are the licensing, marketing, research and development of central processing unit (“CPU”) intellectual property (“IP”), graphics processing unit IP, systems IP, compute subsystems (“CSS”), and associated software, tools and other related services. </w:t>
      </w:r>
      <w:r>
        <w:rPr>
          <w:rFonts w:ascii="Times New Roman;serif" w:hAnsi="Times New Roman;serif"/>
          <w:b w:val="false"/>
          <w:color w:val="231F20"/>
          <w:sz w:val="20"/>
        </w:rPr>
        <w:t>In March 2026, we announced the expansion of our compute platform into production silicon products with the Arm AGI CPU.</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Corporate Reorganization </w:t>
      </w:r>
    </w:p>
    <w:p>
      <w:pPr>
        <w:pStyle w:val="TextBody"/>
        <w:bidi w:val="0"/>
        <w:spacing w:lineRule="auto" w:line="288" w:before="120" w:after="240"/>
        <w:jc w:val="both"/>
        <w:rPr/>
      </w:pPr>
      <w:r>
        <w:rPr>
          <w:rFonts w:ascii="Times New Roman;serif" w:hAnsi="Times New Roman;serif"/>
          <w:b w:val="false"/>
          <w:color w:val="231F20"/>
          <w:sz w:val="20"/>
        </w:rPr>
        <w:t xml:space="preserve">In September 2023, the Company completed a board approved corporate reorganization which involved (1) </w:t>
      </w:r>
      <w:r>
        <w:rPr>
          <w:rFonts w:ascii="Times New Roman;serif" w:hAnsi="Times New Roman;serif"/>
          <w:b w:val="false"/>
          <w:color w:val="000000"/>
          <w:sz w:val="20"/>
        </w:rPr>
        <w:t>the shareholders of Arm Limited exchanging each of the ordinary shares held by them in Arm Limited for newly issued ordinary shares of Arm Holdings Limited; and (2) the re-registration of Arm Holdings Limited as a public limited company under the laws of England and Wales at which time its name was changed to Arm Holdings plc. This corporate reorganization was solely for the purpose of reorganizing the Company’s corporate structure, in which Arm Limited became a wholly owned subsidiary of the holding company, Arm Holdings plc. This transfer of equity resulted in the issuance of ordinary shares of Arm Holdings plc to shareholders in the same class and the same number of ordinary shares as their previous shareholding in Arm Limited. As a result of the corporate reorganization between entities under common control, the historical consolidated financial statements of the Company were retrospectively adjusted for the change in reporting entity. Therefore, the historical consolidated financial statements of Arm Limited became the historical consolidated financial statements of Arm Holdings plc as of the date of the corporate reorganization.</w:t>
      </w:r>
    </w:p>
    <w:p>
      <w:pPr>
        <w:pStyle w:val="TextBody"/>
        <w:bidi w:val="0"/>
        <w:spacing w:lineRule="auto" w:line="288" w:before="120" w:after="240"/>
        <w:jc w:val="both"/>
        <w:rPr>
          <w:rFonts w:ascii="Times New Roman;serif" w:hAnsi="Times New Roman;serif"/>
          <w:b/>
          <w:i/>
          <w:color w:val="231F20"/>
          <w:sz w:val="20"/>
        </w:rPr>
      </w:pPr>
      <w:r>
        <w:rPr>
          <w:rFonts w:ascii="Times New Roman;serif" w:hAnsi="Times New Roman;serif"/>
          <w:b/>
          <w:i/>
          <w:color w:val="231F20"/>
          <w:sz w:val="20"/>
        </w:rPr>
        <w:t>Initial Public Offering</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registration statement on Form F-1 relating to the Company’s initial public offering (the “IPO”) was declared effective on September 13, 2023 and the Company’s American depository shares (“ADSs”), each representing one ordinary share of the Company, began trading on the Nasdaq Global Select Market under the ticker symbol “ARM” on September 14, 2023. On September 18, 2023, the Company completed the closing of the IPO. The Company’s controlling shareholder sold an aggregate of 102,500,000 ADSs in the IPO at a price of $51 per ADS, including the underwriters’ full exercise of their option to purchase up to an additional 7,000,000 ADSs to cover over-allotments. The Company did not receive any proceeds from the sale of the ADSs in the IPO.</w:t>
      </w:r>
    </w:p>
    <w:p>
      <w:pPr>
        <w:pStyle w:val="TextBody"/>
        <w:bidi w:val="0"/>
        <w:spacing w:lineRule="auto" w:line="288" w:before="120" w:after="240"/>
        <w:jc w:val="both"/>
        <w:rPr/>
      </w:pPr>
      <w:r>
        <w:rPr>
          <w:rFonts w:ascii="Times New Roman;serif" w:hAnsi="Times New Roman;serif"/>
          <w:b w:val="false"/>
          <w:color w:val="000000"/>
          <w:sz w:val="20"/>
        </w:rPr>
        <w:t xml:space="preserve">Upon completion of the IPO, the Company recognized incremental and accelerated share-based compensation expense for which service-based vesting conditions were satisfied or partially satisfied as of September 13, 2023. See </w:t>
      </w:r>
      <w:r>
        <w:rPr>
          <w:rFonts w:ascii="Times New Roman;serif" w:hAnsi="Times New Roman;serif"/>
          <w:b w:val="false"/>
          <w:i/>
          <w:color w:val="000000"/>
          <w:sz w:val="20"/>
        </w:rPr>
        <w:t>Note 15 - Share-based Compensation</w:t>
      </w:r>
      <w:r>
        <w:rPr>
          <w:color w:val="000000"/>
        </w:rPr>
        <w:t xml:space="preserve"> </w:t>
      </w:r>
      <w:r>
        <w:rPr>
          <w:rFonts w:ascii="Times New Roman;serif" w:hAnsi="Times New Roman;serif"/>
          <w:b w:val="false"/>
          <w:color w:val="000000"/>
          <w:sz w:val="20"/>
        </w:rPr>
        <w:t>for further details.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have been prepared in conformity with accounting principles generally accepted in the U.S. (“GAAP”) and pursuant to the rules and regulations of the Securities and Exchange Commission (“SEC”). The Company’s fiscal year ends on March 31st of each year.</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Reclassification of Presentation in Consolidated Balance Sheets</w:t>
      </w:r>
    </w:p>
    <w:p>
      <w:pPr>
        <w:pStyle w:val="TextBody"/>
        <w:bidi w:val="0"/>
        <w:spacing w:lineRule="auto" w:line="288" w:before="120" w:after="240"/>
        <w:jc w:val="both"/>
        <w:rPr/>
      </w:pPr>
      <w:r>
        <w:rPr>
          <w:rFonts w:ascii="Times New Roman;serif" w:hAnsi="Times New Roman;serif"/>
          <w:b w:val="false"/>
          <w:color w:val="000000"/>
          <w:sz w:val="20"/>
        </w:rPr>
        <w:t xml:space="preserve">Finance lease right-of-use assets that were previously included in property and equipment, net have been reclassified to finance lease right-of-use assets on the Consolidated Balance Sheets to conform to current period presentation. See </w:t>
      </w:r>
      <w:r>
        <w:rPr>
          <w:rFonts w:ascii="Times New Roman;serif" w:hAnsi="Times New Roman;serif"/>
          <w:b w:val="false"/>
          <w:i/>
          <w:color w:val="000000"/>
          <w:sz w:val="20"/>
        </w:rPr>
        <w:t xml:space="preserve">Notes 8 - Property and Equipment, Net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9 - Leases</w:t>
      </w:r>
      <w:r>
        <w:rPr>
          <w:color w:val="000000"/>
        </w:rPr>
        <w:t xml:space="preserve"> </w:t>
      </w:r>
      <w:r>
        <w:rPr>
          <w:rFonts w:ascii="Times New Roman;serif" w:hAnsi="Times New Roman;serif"/>
          <w:b w:val="false"/>
          <w:color w:val="000000"/>
          <w:sz w:val="20"/>
        </w:rPr>
        <w:t>for further details. Finance lease liabilities continue to be included in other current liabilities and other non-current liabilities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accompanying financial statements include the accounts of the Company, its wholly owned subsidiaries and the Arm Employee Benefit Trust (the “EBT”). All intercompany balances and transactions have been eliminated in consolidation.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financial statements consolidate all of the Company’s affiliates, and the entities where the Company holds a controlling financial interest, because the Company holds a majority voting interest. The Company reevaluates whether there is a controlling financial interest in all entities when rights and interests change.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Foreign Currency</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The accompanying consolidated financial statements are presented in U.S. dollar (“USD”), which is the Company’s functional and reporting currency. For most of the Company’s international operations, the local currency has been determined to be the functional currency of the respective entity.</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For transactions entered into in a currency other than its functional currency, monetary assets and liabilities are remeasured into the functional currency at end-of-period exchange rates. Non-monetary assets and liabilities, along with equity are remeasured at historical exchange rates. Income and expenses are remeasured at exchange rates in effect during each period, except for those expenses related to non-monetary balance sheet amounts, which are remeasured at historical exchange rates. Gains or losses from foreign currency remeasurement are included in other non-operating income (loss), net in the Consolidated Income Statements.</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The Company translates functional currency assets and liabilities to their USD equivalents at exchange rates in effect as of the balance sheet date and income and expense amounts at average exchange rates for the period. The USD effects that arise from changing translation rates are recorded in foreign currency translation adjustments in the Consolidated Statements of Comprehensive Income.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The preparation of financial statements in conformity with GAAP requires management to make estimates and assumptions that affect reported amounts of assets and liabilities and disclosures of contingent assets and liabilities at the date of the consolidated financial statements and the reported amounts of revenue and expenses during the reporting periods. Significant items subject to such estimates include, but are not limited to, revenue recognition, allowance for expected credit losses, income taxes, share-based compensation, impairment considerations for long-lived assets, fair value estimates and impairment for investments. The Company evaluates these estimates on an ongoing basis and revises estimates as circumstances change. The Company bases its estimates on historical experience, anticipated results, trends, and other various assumptions that it believes are reasonable. Actual results could differ materially from the Company’s estimates.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Credit risk is the risk of an unexpected loss if a customer or third-party to a financial instrument fails to meet its contractual obligations. Financial instruments that potentially subject the Company to concentrations of credit risk consist principally of cash and cash equivalents, bank deposits, short-term investments, derivative financial instruments and accounts receivable. The Company’s maximum exposure to credit risk is limited to the carrying amount of these assets. The credit risk on liquid funds and derivative financial instruments is limited because the counterparties are banks with high credit ratings assigned by international credit rating agencies. The Company further manages its credit risk on liquid funds and derivative financial instruments through diversification of investment type and credit exposures. For accounts receivable, the credit risk is managed through the use of mitigating controls, including the use of credit checks and credit limits on customers. For financial assets (other than accounts receivable), the Company holds positions with an approved list of investment-grade rated counterparties and monitors the exposures and counterparty credit risk on a regular basis. The Company establishes reserves for potential credit losses and such losses have been within Management’s expectations. Credit losses are monitored on a regular basis and have not been material in any year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Cash and cash equivalents include cash on hand, short-term deposits and money market funds with original maturities of three months or less that are readily convertible into known amounts of cash and are subject to insignificant risk of changes in value. Cash and cash equivalents are stated at cost, which approximates fair value because the short-term maturity of those instruments.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Short-term Investments</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Short-term investments represent term deposits with banks with a maturity between three and 12 months. These investments are classified as held-to-maturity as the Company has the intent and ability to hold the investments to maturity. These investments are recorded at amortized cost, net of expected credit losses. Amortization of premiums or accretion of discounts are included in interest income, net in the Consolidated Income Statements. Accrued interest receivable is included in prepaid and other current assets on the Consolidated Balance Sheets.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Equity Investments</w:t>
      </w:r>
    </w:p>
    <w:p>
      <w:pPr>
        <w:pStyle w:val="TextBody"/>
        <w:bidi w:val="0"/>
        <w:spacing w:lineRule="auto" w:line="288" w:before="120" w:after="240"/>
        <w:jc w:val="left"/>
        <w:rPr>
          <w:rFonts w:ascii="Times New Roman;serif" w:hAnsi="Times New Roman;serif"/>
          <w:b w:val="false"/>
          <w:color w:val="231F20"/>
          <w:sz w:val="20"/>
        </w:rPr>
      </w:pPr>
      <w:r>
        <w:rPr>
          <w:rFonts w:ascii="Times New Roman;serif" w:hAnsi="Times New Roman;serif"/>
          <w:b w:val="false"/>
          <w:color w:val="231F20"/>
          <w:sz w:val="20"/>
        </w:rPr>
        <w:t>The Company regularly invests in equity securities of public and private companies to promote business and strategic objectives. Equity investments are measured and recorded as follows: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Non-marketable equity securities are equity securities without readily determinable fair values and for which the Company does not have the ability to exercise significant influence. Non-marketable equity securities are recorded on the income statement either at fair value on a recurring basis with changes in fair value, whether realized or unrealized; or by election, measured and recorded using a measurement alternative that measures the securities at cost minus impairment, if any, plus or minus changes resulting from qualifying observable price changes.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Equity method investments are equity securities in investees in which the Company does not control but has the ability to exercise significant influence. Investments in limited partnerships or certain limited liability companies that maintain a specific ownership account for each investor are also accounted for using the equity method when the Company has more than virtually no influence (i.e., at least 3% to 5% ownership). The Company has elected to account for certain equity method investments under the fair value option. These investments are recorded at fair value with changes in fair value recorded on the income statement. Where the Company has not elected the fair value option, equity method investments are recorded at cost minus impairment, if any, plus or minus the Company’s share of the equity method investees’ income or loss recorded in the income statement.</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color w:val="000000"/>
          <w:sz w:val="20"/>
        </w:rPr>
        <w:t>Equity investments in publicly listed companies is classified as an equity security with a readily determinable fair value. It is measured and recorded at fair value on a recurring basis, with both realized and unrealized changes in fair value recognized in the Consolidated Income Statements. Fair value is determined based on quoted market prices.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For certain non-marketable equity securities and equity method investments, the Company has elected to apply the net asset value (“NAV”) practical expedient, where NAV is the estimated fair value of the investments. For these securities, estimated fair values are determined based on the indicated market values of the underlying assets or investment portfolios. Income statement activity for all equity investments is recorded in Income (loss) from equity investments, net, in the Consolidated Income Statements.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carrying values of non-marketable equity securities under the measurement alternative are adjusted for qualifying observable price changes resulting from the issuance of similar or identical securities in an orderly transaction by the same issuer. Determining whether an observed transaction is similar to a security within the Company’s portfolio requires judgment based on the rights and preferences of the securities. Recording upward and downward adjustments to the carrying values of equity securities as a result of observable price changes requires quantitative assessments of the fair values of the Company’s equity securities using various valuation methodologies and involves the use of estimates.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Non-marketable equity securities under the measurement alternative and equity method investments not measured under the fair value option (collectively referred to as “non-marketable equity securities”) are also subject to periodic impairment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analysis. The quarterly impairment analysis considers both qualitative and quantitative factors that may have a significant impact on the investee’s fair value. Qualitative factors considered include the investee’s financial condition and business outlook, industry and sector performance, market for technology, operational and financing cash flow activities, and other relevant events and factors affecting the investee. When indicators of impairment exist, the Company prepares quantitative assessments of the fair value of the non-marketable equity securities using both the market and income approaches, which require judgment and the use of estimates, including discount rates, investee revenue and costs, and comparable market data of private and public companies, among others.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Non-marketable equity securities under the measurement alternative are tested for impairment using a qualitative model similar to the model used to test goodwill and other long-lived assets for impairment. Upon determining an impairment may exist, the security’s fair value is calculated and compared to its carrying value and an impairment is recognized immediately if the carrying value exceeds fair value.</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Equity method investments not measured under the fair value option are subject to periodic impairment reviews using the other-than-temporary impairment model, which considers the severity and duration of a decline in fair value below cost and the Company’s ability and intent to hold the investment for a sufficient period of time to allow for recovery.</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Loans Receivable</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Loans receivable consist of term loans to a related party and other entities. The term loans are recorded at amortized cost, net of allowances for loan losses. The Company maintains an allowance for current expected credit losses to reserve for potentially uncollectible loans receivable. The Company measures interest income for all loans receivable using the interest method, which is based on the effective yield of the loans rather than the stated coupon rate. The Company classifies loans receivable in other non-currents assets on the Consolidated Balance Sheets.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Convertible Loans Receivable</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Convertible loans receivable consisted of convertible loans to certain entities. The Company elected to apply the fair value option to account for such convertible loans receivable. Under the fair value option, such convertible loans receivable were measured initially and subsequently at fair value with changes in fair value recorded in other non-operating income (loss), net in the Consolidated Income Statements. Convertible loans receivable were included in other non-current assets on the Consolidated Balance Sheets. As of March 31, 2026, the Company had no outstanding convertible loans receivable, as all such balances were settled in full during the fiscal year ended March 31, 2026.</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Available-For-Sale Debt Securities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Company holds investments in redeemable convertible preferred shares that are classified as available-for-sale and recorded at fair value within other non-current assets on the Consolidated Balance Sheets. These instruments are not publicly traded and are valued using Level 3 inputs, including discounted cash flow and option-pricing models that incorporate significant unobservable inputs. Unrealized gains and losses from changes in fair value are recognized in other comprehensive income on the Consolidated Balance Sheets. If the fair value of an investment declines below its cost basis and the decline is determined to be credit-related, a loss is recognized in earnings with a corresponding allowance, while non-credit-related losses remain in other comprehensive income. Realized gains and losses are recognized in earnings upon disposition.</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Fair Value Measurement</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Company measures certain assets and liabilities at fair value, either upon initial recognition or for subsequent accounting or reporting. Fair value is defined as the price that would be received to sell an asset or be paid to transfer a liability in an orderly transaction between market participants at the measurement date (exit price). When determining fair value, the Company considers the principal or most advantageous market in which the Company would transact, as well as assumptions that market participants would use when pricing the asset or liability. When estimating fair value, depending on the nature and complexity of the asset or liability, the Company may use one or all of the following techniques: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Income approach, which is based on the present value of a future stream of net cash flows.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Market approach, which is based on market prices and other information from market transactions involving identical or comparable assets or liabilities.</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color w:val="000000"/>
          <w:sz w:val="20"/>
        </w:rPr>
        <w:t>Cost approach, which is based on the cost to acquire or construct comparable assets, less an allowance for functional and/or economic obsolescence.</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Fair value disclosures are classified based on the fair value hierarchy, which prioritizes the inputs used in the valuation methodologies in measuring fair value: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Level 1 - Unadjusted quoted prices in active markets that are accessible at the measurement date for identical, unrestricted assets or liabilities.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Level 2 - Observable inputs other than quoted prices included within Level 1 that are observable for the asset or liability,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 by correlation or other means.</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color w:val="000000"/>
          <w:sz w:val="20"/>
        </w:rPr>
        <w:t>Level 3 - Prices or valuation techniques requiring inputs that are both significant to the fair value measurement and unobservable.</w:t>
      </w:r>
    </w:p>
    <w:p>
      <w:pPr>
        <w:pStyle w:val="TextBody"/>
        <w:bidi w:val="0"/>
        <w:spacing w:lineRule="auto" w:line="288" w:before="120" w:after="240"/>
        <w:jc w:val="left"/>
        <w:rPr/>
      </w:pPr>
      <w:r>
        <w:rPr>
          <w:rFonts w:ascii="Times New Roman;serif" w:hAnsi="Times New Roman;serif"/>
          <w:b w:val="false"/>
          <w:color w:val="000000"/>
          <w:sz w:val="20"/>
        </w:rPr>
        <w:t xml:space="preserve">Please refer to </w:t>
      </w:r>
      <w:r>
        <w:rPr>
          <w:rFonts w:ascii="Times New Roman;serif" w:hAnsi="Times New Roman;serif"/>
          <w:b w:val="false"/>
          <w:i/>
          <w:color w:val="000000"/>
          <w:sz w:val="20"/>
        </w:rPr>
        <w:t>Note 13 - Fair Value</w:t>
      </w:r>
      <w:r>
        <w:rPr>
          <w:rFonts w:ascii="Times New Roman;serif" w:hAnsi="Times New Roman;serif"/>
          <w:b w:val="false"/>
          <w:color w:val="000000"/>
          <w:sz w:val="20"/>
        </w:rPr>
        <w:t>, for further discussion on the Company’s fair value measurements.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Company uses the acquisition method of accounting for business combinations, which requires separate recognition of assets acquired and liabilities assumed from goodwill, based on their estimated fair values at the time of acquisition. Goodwill as of the acquisition date is measured as the excess of consideration transferred and the fair value of any non-controlling interests in the acquiree over the net of the estimated acquisition date fair values of the assets acquired and liabilities assumed. The estimates and assumptions used in valuing intangible assets include, but are not limited to, the amount and timing of projected future cash flows, discount rate used to determine the present value of these cash flows and the useful lives of the assets. Although the Company’s fair value estimates are based upon assumptions believed to be reasonable, these estimates and assumptions are inherently uncertain and subject to refinement.</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As a result, during the measurement period up to one year from the acquisition date, the Company may record adjustments to the assets acquired and liabilities assumed with the corresponding offset to goodwill. Upon conclusion of the measurement period or final determination of fair values of the purchase price of an acquisition, whichever comes first, any subsequent adjustments are recorded in earnings in the Consolidated Income Statements. Acquisition-related expenses are recognized separately from the business combination and expensed as incurred.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cost over the fair value of net assets acquired in a business combination. Goodwill is tested for impairment annually during the fourth fiscal quarter or during interim periods whenever events and circumstances indicate an impairment may have occurred. The identification and measurement of goodwill impairment involves the estimation of fair value at the Company’s reporting unit level, which is the same or one level below the operating segment level. The Company determined it has one reporting unit.</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Company has the option to assess qualitative factors first to determine whether it is necessary to perform the two-step test. If the Company believes, as a result of the qualitative assessment, that it is more-likely-than-not that the fair value of the reporting unit is less than its carrying amount, the two-step quantitative impairment test is required. Otherwise, no further testing is required. In the qualitative assessment, the Company considers primary factors such as industry and market considerations, overall financial performance of the reporting unit, and other specific information related to the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Company completed its annual goodwill impairment test in the fourth fiscal quarter of the fiscal year ended March 31, 2026. After conducting a qualitative review, the Company concluded that it was more likely than not that the fair value was more than the carrying value of the Company’s single reporting unit. Accordingly, there was no indication of impairment.</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Intangible assets primarily represent acquired intangible assets including those acquired separately, such as computer software and purchased patents and licenses to use technology, as well as those acquired through business combinations such as developed technology and customer relationship assets.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initially records intangible assets acquired in a business combination at their estimated fair value. Intangible assets are reported net of accumulated amortization and any accumulated impairment losses, and are amortized over their estimated useful lives at amortization rates that are proportionate to each asset’s estimated economic benefit. </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Amortization of intangible assets is recorded in either cost of sales, research &amp; development or selling, general and administrative expenses in the Consolidated Income Statements depending on the nature of the underlying asset and uses by the Company.</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cost of intangible assets is amortized and recorded on the income statement on a straight-line basis over the estimated useful lives of the underlying assets. Useful lives are reviewed each year and adjustments are made, where applicable, on a prospective basis. The estimated useful lives of the Company’s intangible assets are as follows:</w:t>
      </w:r>
    </w:p>
    <w:tbl>
      <w:tblPr>
        <w:tblW w:w="3120" w:type="dxa"/>
        <w:jc w:val="left"/>
        <w:tblInd w:w="0" w:type="dxa"/>
        <w:tblLayout w:type="fixed"/>
        <w:tblCellMar>
          <w:top w:w="28" w:type="dxa"/>
          <w:left w:w="28" w:type="dxa"/>
          <w:bottom w:w="28" w:type="dxa"/>
          <w:right w:w="28" w:type="dxa"/>
        </w:tblCellMar>
      </w:tblPr>
      <w:tblGrid>
        <w:gridCol w:w="722"/>
        <w:gridCol w:w="635"/>
        <w:gridCol w:w="638"/>
        <w:gridCol w:w="329"/>
        <w:gridCol w:w="329"/>
        <w:gridCol w:w="467"/>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licenses</w:t>
            </w:r>
          </w:p>
        </w:tc>
        <w:tc>
          <w:tcPr>
            <w:tcW w:w="11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 11 years</w:t>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tc>
        <w:tc>
          <w:tcPr>
            <w:tcW w:w="11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 5 years</w:t>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1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 8 years</w:t>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1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 6 years</w:t>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Software Development Costs and Acquired Intangible Software</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Company has not historically capitalized software development costs for software to be sold, leased or otherwise marketed as the time and cost incurred between technological feasibility and product release has been determined to be immaterial. As such, these development costs are generally recognized as incurred in research and development expenses in the Consolidated Income Statements.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Company capitalizes certain development costs related to software acquired, developed or modified for internal use, along with certain costs incurred in connection with the implementation of internal use software. Costs related to certain application development activities, such as personnel and related employee benefits expenses for employees who are directly associated with and who devote time to the project, are subject to capitalization. Internal-use software is capitalized when management has authorized and committed to funding the software project and it is probable that the project will be completed, and the software will be used to perform the function intended. Amortization begins once the software is ready for its intended use, and amortization expense is generally recognized on a straight-line basis over the software’s estimated useful life between three and five years.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Capitalized costs related to internal use software, net of accumulated amortization, are included in intangible assets, net on the Consolidated Balance Sheets and amortization expense is recognized in research and development and selling, general and administrative expenses in the Consolidated Income Statements.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Property and equipment are stated at cost net of accumulated depreciation and impairment losses. Cost comprises expenditures directly attributable to the purchase of the asset. Assets are depreciated to their estimated residual value, on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straight-line basis, over the estimated useful life of the underlying asset. Estimated useful lives and residual values are reviewed at each reporting date. Depreciation on property and equipment is recorded in cost of sales, research and development or selling, general and administrative expenses in the Consolidated Income Statements depending on the nature of the underlying asset and uses by the Company.</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Estimated useful lives of the Company’s property and equipment are as follows:</w:t>
      </w:r>
    </w:p>
    <w:tbl>
      <w:tblPr>
        <w:tblW w:w="6358" w:type="dxa"/>
        <w:jc w:val="left"/>
        <w:tblInd w:w="0" w:type="dxa"/>
        <w:tblLayout w:type="fixed"/>
        <w:tblCellMar>
          <w:top w:w="28" w:type="dxa"/>
          <w:left w:w="28" w:type="dxa"/>
          <w:bottom w:w="28" w:type="dxa"/>
          <w:right w:w="28" w:type="dxa"/>
        </w:tblCellMar>
      </w:tblPr>
      <w:tblGrid>
        <w:gridCol w:w="782"/>
        <w:gridCol w:w="687"/>
        <w:gridCol w:w="690"/>
        <w:gridCol w:w="1226"/>
        <w:gridCol w:w="1226"/>
        <w:gridCol w:w="1747"/>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4199"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41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Shorter of 5 – 10 years or the remaining lease term</w:t>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41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 7 years</w:t>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Fixtures and vehicles</w:t>
            </w:r>
          </w:p>
        </w:tc>
        <w:tc>
          <w:tcPr>
            <w:tcW w:w="41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 5 years</w:t>
            </w:r>
          </w:p>
        </w:tc>
      </w:tr>
    </w:tbl>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An item of property or equipment is written off either upon disposal or when there is no expected future economic benefit from its continued use. Gain or loss on derecognition of the asset (calculated as the difference between the net disposal proceeds and the carrying value of the asset) is included in the Consolidated Income Statements in the year the asset is derecognized.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Impairment of Long-lived Assets Other than Goodwill</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Company reviews long-lived assets other than goodwill for impairment when facts or circumstances indicate the carrying amount of an asset or asset group may not be recoverable. If impairment indicators are present and the estimated future undiscounted cash flows are less than the carrying value of the assets, the carrying values are reduced to the estimated fair value. Fair value is determined based on quoted market values, discounted cash flows, or external appraisals, as applicable. Impairment losses are recorded in impairment of long-lived assets in the Consolidated Income Statements.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determines if an arrangement is a lease, or contains a lease, at the inception or modification date of the arrangement and evaluates whether the lease is an operating lease or a finance lease. An arrangement is or contains a lease if there are identified assets and the right to control the use of an identified asset is conveyed for a period in exchange for consideration. Control over the use of the identified assets means the lessee has both the right to obtain substantially all of the economic benefits from the use of the asset and the right to direct the use of the asset. Right-of-use assets represent the right to use an underlying asset for the lease term and lease liabilities represent an obligation to make lease payments over the lease term.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lease right-of-use assets and lease liabilities are measured at the lease commencement date based on the present value of the remaining lease payments over the lease term, discounted using the Company’s incremental borrowing rate, which approximates the interest rate at which the Company could borrow on a collateralized basis with similar terms and payments and in similar economic environments. Operating lease right-of-use assets also include initial direct costs incurred and prepaid lease payments, minus any lease incentives. Lease terms include options to extend or terminate the lease when it is reasonably certain that the option will be exercised. All lease and non-lease components, principally common area maintenance costs, are combined in determining operating lease right-of-use assets and lease liabilities. Operating lease expense is recognized on a straight-line basis over the lease term. Operating leases are included in operating lease right-of-use assets, operating lease liabilities, and non-current portion of operating lease liabilities on the Company’s Consolidated Balance Sheets. The Company recognizes operating right-of-use assets and operating lease liabilities for lessee operating leases other than those with a term of 12 months or less as the Company has elected to apply the short-term lease recognition exemption.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a lease as a finance lease if it transfers substantially all the risks and rewards incidental to ownership at the inception of the lease. Finance lease right-of-use assets that were previously included in property and equipment, net have been reclassified to finance lease right-of-use assets on the Consolidated Balance Sheets. Finance lease liabilities continue to be included in other current liabilities and other non-current liabilities on the Consolidated Balance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Sheets. Finance lease assets are amortized on a straight-line basis over the lease term, with the interest component included in interest expense and recognized using the effective interest method over the lease term.</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Asset Retirement Obligations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An asset retirement obligation (“ARO”) is recorded as appropriate on assets for which the Company has a legal obligation to retire. The Company records a liability for an ARO and the associated asset retirement cost at the time the underlying asset is acquired and put into service. Subsequent to the initial measurement of the ARO, the obligation is adjusted at the end of each period to reflect the passage of time and changes in the estimated future cash flows underlying the obligation, if any. Over time, the liability is accreted to its present value and the capitalized cost is depreciated over the estimated useful life of the asset. The Company has recognized AROs for contractually mandated removal of leasehold improvements.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Derivative Financial Instruments and Hedge Activities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Company uses derivative financial instruments, specifically foreign currency forward contracts, to mitigate exposure from certain foreign currency risk arising from operating expenses within research and development and selling, general and administrative expenses that are denominated in foreign currency, predominantly British Pound Sterling (“GBP”). These contracts are designated as cash flow hedges for hedge accounting treatment. Gains or losses on the contracts are recorded in accumulated other comprehensive income (loss) and reclassified to operating expenses when the related operating expenses are recognized in net income (loss) or ineffectiveness should occur.</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All derivatives are recorded at fair value as either an asset or liability. For derivatives not designated as hedges, adjustments to reflect changes in the fair value of the derivatives are included in earnings in other non-operating income (loss), net in the Consolidated Income Statements.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All foreign currency forward contracts were designated as cash flow hedges in designated hedging relationships with the forecasted foreign denominated cash flows as the hedged transactions. The maximum length of time over which the Company is hedging its exposure to the variability in future foreign denominated cash flows is 12 months. For cash flow hedges that qualify and are designated for hedge accounting, the change in fair value of the derivative is recorded in the net change in fair value of the effective portion of designated cash flow hedges on the Consolidated Statements of Comprehensive Income, and subsequently recognized in research and development and selling, general and administrative expenses in the Consolidated Income Statements when the hedged transaction affects earnings.</w:t>
      </w:r>
    </w:p>
    <w:p>
      <w:pPr>
        <w:pStyle w:val="TextBody"/>
        <w:bidi w:val="0"/>
        <w:spacing w:lineRule="auto" w:line="288" w:before="120" w:after="240"/>
        <w:jc w:val="both"/>
        <w:rPr/>
      </w:pPr>
      <w:r>
        <w:rPr>
          <w:rFonts w:ascii="Times New Roman;serif" w:hAnsi="Times New Roman;serif"/>
          <w:b w:val="false"/>
          <w:color w:val="000000"/>
          <w:sz w:val="20"/>
        </w:rPr>
        <w:t xml:space="preserve">The Company classifies all derivative assets and liabilities for designated and non-designated derivatives in prepaid expenses and other current assets and other current liabilities on the Consolidated Balance Sheets. The Company classifies cash flows from the settlement of effective cash flow hedges for designated and non-designated derivatives in the same category as the cash flows from the related hedged items in operating activities on the Consolidated Statements of Cash Flows. The foreign currency forward contracts are classified under Level 2 of the fair value hierarchy. See </w:t>
      </w:r>
      <w:r>
        <w:rPr>
          <w:rFonts w:ascii="Times New Roman;serif" w:hAnsi="Times New Roman;serif"/>
          <w:b w:val="false"/>
          <w:i/>
          <w:color w:val="000000"/>
          <w:sz w:val="20"/>
        </w:rPr>
        <w:t>Note 13 - Fair Value.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revenues for the transfer of products or services to customers in an amount that reflects the consideration to which the Company expects to be entitled in exchange for those products or services. The principle is achieved through the following five-step approach:</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Identification of the contract with the customer</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Identification of the performance obligations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Determination of the transaction price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Allocation of the transaction price to the performance obligations in the contract</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color w:val="000000"/>
          <w:sz w:val="20"/>
        </w:rPr>
        <w:t>Recognition of revenue when, or as, the Company satisfies a performance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Revenue for the Company’s major product offerings consists of the following:</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License and Other Revenue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i/>
          <w:color w:val="000000"/>
          <w:sz w:val="20"/>
        </w:rPr>
        <w:t>Intellectual property license</w:t>
      </w:r>
      <w:r>
        <w:rPr>
          <w:color w:val="000000"/>
        </w:rPr>
        <w:t xml:space="preserve"> — </w:t>
      </w:r>
      <w:r>
        <w:rPr>
          <w:rFonts w:ascii="Times New Roman;serif" w:hAnsi="Times New Roman;serif"/>
          <w:b w:val="false"/>
          <w:color w:val="000000"/>
          <w:sz w:val="20"/>
        </w:rPr>
        <w:t>The Company generally licenses IP under non-exclusive license agreements that provide usage rights for specific applications for a finite or perpetual term. These licenses are made available electronically to address the customer-specific business requirements. These arrangements generally have distinct performance obligations that consist of transferring the licensed IPs, version extensions of architecture IP or releases of specified IPs, and support services. Support services consist of a stand-ready obligation to provide technical support, patches, and bug fixes over the support term. Where arrangements include royalty buydowns or upfront minimum royalty commitments, the Company treats them as fixed contract consideration under licensing revenue. Revenue allocated to the IP license is recognized at a point in time upon the delivery or beginning of the license term, whichever is later. Revenue allocated to distinct version extensions of architecture IP or releases of specified IP, excluding when-and-if-available minor updates over the support term, are recognized at a point in time upon the delivery or beginning of license term, whichever is later.</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Certain license agreements provide customers with the right to access a library of current and future IPs on an unlimited basis over the contractual period depending on the terms of the applicable contract. These licensing arrangements represent stand-ready obligations in that the timing of the delivery of the underlying IPs is within the control of the customer and the extent of use in any given period does not diminish the remaining performance obligation. The contract consideration related to these arrangements is recognized ratably over the term of the contract in line with when the control of the performance obligations is transferred.</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Certain subscription license agreements include unspecified future IPs that are provided on a when-and-if-available basis, representing a stand-ready obligation. The contract consideration allocated to the stand-ready obligation is recognized on a ratable basis over the term of the contract, commencing upon the later of the effective date of the agreement and the transfer of the initial available IP license.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i/>
          <w:color w:val="000000"/>
          <w:sz w:val="20"/>
        </w:rPr>
        <w:t>Software sales, including development systems</w:t>
      </w:r>
      <w:r>
        <w:rPr>
          <w:color w:val="000000"/>
        </w:rPr>
        <w:t xml:space="preserve"> — </w:t>
      </w:r>
      <w:r>
        <w:rPr>
          <w:rFonts w:ascii="Times New Roman;serif" w:hAnsi="Times New Roman;serif"/>
          <w:b w:val="false"/>
          <w:color w:val="000000"/>
          <w:sz w:val="20"/>
        </w:rPr>
        <w:t>Sales of software, including development systems, which are not specifically designed for a given license (such as off-the-shelf software), are recognized upon delivery when control has been transferred and the customer can begin to use and benefit from the license.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i/>
          <w:color w:val="000000"/>
          <w:sz w:val="20"/>
        </w:rPr>
        <w:t>Professional services</w:t>
      </w:r>
      <w:r>
        <w:rPr>
          <w:color w:val="000000"/>
        </w:rPr>
        <w:t xml:space="preserve"> — </w:t>
      </w:r>
      <w:r>
        <w:rPr>
          <w:rFonts w:ascii="Times New Roman;serif" w:hAnsi="Times New Roman;serif"/>
          <w:b w:val="false"/>
          <w:color w:val="000000"/>
          <w:sz w:val="20"/>
        </w:rPr>
        <w:t>Services (such as training, professional and design services) that the Company provides, which are not essential to the functionality of the IP, are separately stated and priced in the contract and accounted for separately. Training revenue is recognized as services are performed. Revenue from professional and design services is recognized over time using an input method based on engineering labor hours expended to date relative to the estimated total effort required. For such professional and design services, the Company has an enforceable right to payment for performance completed to date, which includes a reasonable profit margin and the performance of such services does not create an asset with an alternative use. In certain arrangements, the Company also provides customers with professional and design services, as a stand-ready obligation, that are recognized on a ratable basis over the term of the contract.</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i/>
          <w:color w:val="000000"/>
          <w:sz w:val="20"/>
        </w:rPr>
        <w:t>Support and maintenance</w:t>
      </w:r>
      <w:r>
        <w:rPr>
          <w:color w:val="000000"/>
        </w:rPr>
        <w:t xml:space="preserve"> — </w:t>
      </w:r>
      <w:r>
        <w:rPr>
          <w:rFonts w:ascii="Times New Roman;serif" w:hAnsi="Times New Roman;serif"/>
          <w:b w:val="false"/>
          <w:color w:val="000000"/>
          <w:sz w:val="20"/>
        </w:rPr>
        <w:t>Support and maintenance is a stand-ready obligation to the customer that is both provided and consumed simultaneously. Revenue is recognized on a straight-line basis over the period for which support and maintenance is contractually agreed pursuant to the license.</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i/>
          <w:color w:val="000000"/>
          <w:sz w:val="20"/>
        </w:rPr>
        <w:t xml:space="preserve">Third party arrangements </w:t>
      </w:r>
      <w:r>
        <w:rPr>
          <w:color w:val="000000"/>
        </w:rPr>
        <w:t xml:space="preserve">— </w:t>
      </w:r>
      <w:r>
        <w:rPr>
          <w:rFonts w:ascii="Times New Roman;serif" w:hAnsi="Times New Roman;serif"/>
          <w:b w:val="false"/>
          <w:color w:val="000000"/>
          <w:sz w:val="20"/>
        </w:rPr>
        <w:t>In certain arrangements, the Company arranges for third parties to provide products or services to customers. Revenue is recognized on a gross basis when the Company controls the product or service, and on a net margin basis when it acts as an agent. In agent arrangements, control passes directly from the third party to the customer, and the Company bears no inventory or performance risk.</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Royalty Revenue</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For most IP license agreements, royalties are collected on products that incorporate the Company’s IP. The Company applies the royalty exception, under which revenue is recognized when the subsequent sale or usage occurs, assuming control of the license to which the royalty relates has transferred to the customer. Accordingly, royalties are recognized on an accrual basis in the quarter in which the customer ships their products, based on the Company’s technology that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contains. This estimation process for the royalty revenue accrual is based on a combination of methodologies, including the use of historical sales trends and macroeconomic factors for predictive analysis, the analysis of customer royalty reports and their sales trends and forecasts, as well as data and forecasts from third-party industry research providers. Data considered includes revenue, unit shipments, average selling price, product mix, market share and market penetration. Adjustments to revenue are required in subsequent periods to reflect changes in estimates as new information becomes available, primarily resulting from actual amounts subsequently reported by the licensees in the period following the accrual, including royalty audit resolutions.</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Significant Judgments</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Identification of the Contract with the Customer</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Company accounts for a contract as a revenue contract when all of the following criteria are met:</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The contract has been approved in writing by the parties to the contract, and the parties are committed to perform their respective obligations;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The Company can identify each party’s rights regarding goods or services to be transferred;</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The Company can identify the payment terms for the goods or services to be transferred;</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Contracts have commercial substance; and</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color w:val="000000"/>
          <w:sz w:val="20"/>
        </w:rPr>
        <w:t>It is probable that the Company will collect substantially all of the consideration to which it will be entitled, in exchange for the goods or services to be transferred to the customer.</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Company sometimes enters into multiple contracts with the same customer that are treated, for accounting purposes, as one contract if the contracts are entered into at, or near, the same time and are interrelated. Judgment is required in evaluating whether various contracts are interrelated, which includes considerations as to whether they were negotiated as a package with a single commercial objective, whether the amount of consideration on one contract is dependent on the performance of the other contract, or if some, or all, obligations in the contracts constitute a single performance obligation.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New arrangements with existing customers can be based on either a new contract or the modification of prior contracts. The Company’s judgment in making this determination considers whether there is a connection between the new arrangement and the pre-existing contracts, whether the services under the new arrangement are highly interrelated with the products and services provided under prior contracts, and how the products and services under the new arrangement are priced.</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Company sometimes enters into non-cancellable and non-refundable committed funds arrangements from customers, where the parties have ongoing negotiations. Judgment is required in evaluating whether all rights and obligations of the arrangement are determined and enforceable.</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Judgment is also required in determining whether collectability of substantially all of the consideration is probable. The Company assesses this through credit checks, past payment history or based on outstanding payments.</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Identification of the Performance Obligations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Customer contracts often include various products and services as outlined in the summary of major product groups above. Typically, these products and services qualify as separate performance obligations, and a portion of the contractual value is allocated to them. Judgment is required, however, in determining whether a good or service is considered a separate performance obligation.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When selling licenses or services, the Company frequently grants customers the choice to acquire additional rights, goods or services (for example, renewals of offerings, version extensions through term renewals, additional future products, or additional volumes of purchased license). The Company also utilizes forward looking information such as product roadmaps and other marketing materials in identifying performance obligations for IPs or version extensions of architecture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IP under development or future products, and in determining if implicit promises or material right exist in certain long-term contracts.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a typical licensing arrangement, the Company either licenses implementation IP or architecture IP. When implementation IP is licensed, the Company promises to provide all developed and undeveloped IP over the license term based on the terms of the contract entered into with the customer. Products are delivered to the customer based on the Company’s product roadmap and each IP is generally identified as a separate performance obligation. In a subscription contract, the undeveloped IP in the contract also includes an implied promise to deliver implementation IP that will be developed and become available during the contract term but is not on the product roadmap at contract inception and undeveloped IPs are identified as a single performance obligation. </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When architecture IP is licensed, the Company promises to provide the available architecture IPs as well as all future version extensions of the architecture IP over the contract term which could range from 3 to 20 years. These version extensions may take one of two forms: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Specified version extensions that are expected to be released over the next 2-3 years and are identified in the Company’s product roadmap, or;</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color w:val="000000"/>
          <w:sz w:val="20"/>
        </w:rPr>
        <w:t xml:space="preserve">Implicit version extensions that the Company believes, based on historical data, will be developed in the period beyond the years covered by the product roadmap and will be delivered to the customer as and when released. </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These version extensions represent promises to deliver distinct products and have a discernable release pattern, based on the Company’s established practice every year over the license term. When version extensions of architecture IP are promised along with a license to available architecture IP, a portion of the overall transaction price is allocated to the available architecture license while the remaining portion relating to future extensions is deferred until those extensions are delivered and become available for use. </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Amounts allocated to the IP license including version extensions of an architecture license or releases of an implementation license are each recognized at a point in time upon the delivery or beginning of license term, whichever is later.</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Determination of Transaction Price</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Company applies judgment when determining the amount of consideration it expects to be entitled to in exchange for transferring promised goods or services to a customer. This includes estimates as to whether, and to what extent, subsequent concessions or payments may be granted to customers, which release customers from their obligations to pay contractual fees. In this judgment, historical trends are considered with respect to both the specific customer and broader Company trends. The Company estimates the transaction price based on the amount expected to be received for transferring the promised goods or services in the contract. Consideration payable to a customer is accounted for as a reduction of the transaction price and, therefore, of revenue unless the payment to the customer is in exchange for a distinct good or service that the customer transfers to the Company. The transaction price also excludes amounts collected on behalf of third parties such as sales taxes. The Company’s revenue arrangements may include variable consideration including royalties. Where minimum royalties are agreed with customers and there is no uncertainty of their receipt, the amount is allocated to performance obligations as a part of the transaction price.</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Company considers relevant facts and circumstances in assessing whether a contract contains a significant financing component. Based on the nature of the Company’s revenue arrangements, payment terms generally do not provide a significant financing benefit to either the customer or the Company. The Company applies the practical expedient in ASC 606 and did not evaluate contract terms where the time period between payment and service delivery is one year or less for the existence of a significant financing component. A significant financing component is identified only where contract-specific facts and circumstances indicate that the timing of payments differs significantly from the transfer of goods or services. In such cases, the Company adjusts the transaction price to reflect the time value of money.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Allocation of Transaction Price</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Judgment is required when estimating standalone selling prices (SSPs). There is also judgment involved in determining whether the pricing of certain performance obligations is highly variable or uncertain.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Other than support and maintenance, SSPs are usually not directly observable for the Company’s products and services because the Company generally does not sell its products or services on a standalone basis. When separately stated, contractual pricing is highly variable. The Company estimates the SSPs so that the Company allocates the transaction price to each performance obligation in an amount that depicts the amount of consideration to which the Company expects to be entitled in exchange for transferring the promised goods or services to the customer. The Company allocates royalties entirely to the licenses that give rise to them. When estimating a SSP, the Company considers available information and maximizes the use of observable inputs such as renewal pricing history for the Company’s standardized support and professional service offerings.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For offerings that have highly variable or uncertain pricing and lack substantial direct costs to estimate based on a cost-plus margin approach, the transaction price is allocated by applying a residual approach. This is on the basis that the Company has identified SSP for other performance obligations in the same arrangement. If two or more goods or services in a contract have highly variable or uncertain pricing, then the Company applies a combination of methods to allocate transaction price, including utilizing list prices, contract prices, and engineering effort estimates to develop future IPs, for initial allocation of residual amount of transaction price within such products.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For Arm Total Access arrangements, the Company establishes a separate performance obligation for implicit rights of future products upon contract execution and allocates the total transaction price to each performance obligation based on the price roadmap.</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For customer agreements related to long-term licensing of architecture IP, the Company allocates the contract value to each of the performance obligations based on an estimate of the engineering efforts required to deliver the initial version of the IP as well as related future versions, including enhancements and upgrades.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SSPs of material rights depend on the probability of option exercise. In estimating these probabilities, judgment is utilized when considering historical exercise patterns. The SSPs are reviewed annually or whenever facts and circumstances significantly change. These changes are applied prospectively.</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Revenue from Arm China</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Arm Technology (China) Co. Limited (“Arm China”) acts as the Company’s exclusive IP distributor in the People’s Republic of China, which, for the purposes of these financial statements, includes the Hong Kong Special Administrative Region and the Macau Special Administrative Region, but excludes Taiwan (collectively referred to as the “PRC”), under the intellectual property licensing arrangement (“IPLA”) and subsequent amendments. Arm China directly contracts with end customers with discretion in establishing pricing to sublicense specified IP and Arm Total Access Packages. The Company’s responsibility under the IPLA is to facilitate delivery of a good or service to the end customer in accordance with detailed instructions and other specifications from Arm China. In these cases, Arm China is the customer for the Company. As such, revenue presented by the Company is the net amount calculated as a percentage of license and royalty fees earned by Arm China from sub-license arrangements entered into with end customers. The Company applies the royalty exception, under which revenue is recognized when the subsequent sale or usage occurs, assuming control of the license to which the royalty relates has transferred to the customer. Where the revenue is derived as a percentage of the license fee of Arm China, the Company categorizes that portion as license revenue while the other portion, which represents the Company’s share of Arm China’s royalties, is categorized as royalties.</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Contract Balances and Receivables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accounts receivable in full when it has the contractual right to invoice the customer and begins satisfying the performance obligations over the term of the contract. Judgment is required to determine whether a right to consideration is unconditional and thus qualifies as a receivable. Contract assets are recognized as the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obligations are satisfied and the Company does not have the contractual right to invoice. Typically, the Company invoices a portion of the fees for IP licenses up front on the effective date of the contract and satisfies a considerable portion of performance obligations. Accrued royalties are included in accounts receivable, net on the Consolidated Balance Sheets. Contract liabilities primarily reflect invoices due, or payments received, in advance of revenue recognition. Periodic fixed fees for software support services, and other multi-period agreements are typically invoiced in advance.</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Customer deposits primarily relate to payments received from customers which could be refundable pursuant to the terms of the contract and are in other current liabilities on the Consolidated Balance Sheet.</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Payment terms and conditions vary by contract type, although terms generally include a requirement of payment within 60 days. In instances where the timing of revenue recognition differs from the timing of invoicing, the Company has determined that its contracts generally do not include a significant financing component. The primary purpose of the Company’s invoicing terms is to provide customers with simplified and predictable ways of purchasing products and services, and not to provide or receive financing. Financing components have generally been insignificant in the context of the Company’s contracts; however, where a significant financing component exists, it is separately identified and accounted for.</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Allowance for Current Expected Credit Losses</w:t>
      </w:r>
    </w:p>
    <w:p>
      <w:pPr>
        <w:pStyle w:val="TextBody"/>
        <w:bidi w:val="0"/>
        <w:spacing w:lineRule="auto" w:line="288" w:before="120" w:after="240"/>
        <w:jc w:val="both"/>
        <w:rPr/>
      </w:pPr>
      <w:r>
        <w:rPr>
          <w:rFonts w:ascii="Times New Roman;serif" w:hAnsi="Times New Roman;serif"/>
          <w:b w:val="false"/>
          <w:color w:val="000000"/>
          <w:sz w:val="20"/>
        </w:rPr>
        <w:t xml:space="preserve">Trade receivables are stated at their net realizable value. The allowance for credit losses reflects the Company’s best estimate of expected credit losses of the receivable portfolio determined on the basis of historical experience, current information, and forecasts of future economic conditions. In developing the estimate for expected credit losses, accounts receivable is segmented into pools of assets depending on market (China versus international) and delinquency status, and fixed reserve percentages are established for each pool of accounts receivables. To determine the reserve percentages for each pool of accounts receivables, the Company considers its historical experience with certain customers and customer types, regulatory and legal environments, country and political risk, and other relevant current and future forecasted macroeconomic factors. These credit risk indicators are monitored on a quarterly basis to determine whether there are any changes in the economic environment that would indicate the established reserve percentages should be adjusted and are considered on a regional basis to reflect more geographic-specific metrics. Please refer to </w:t>
      </w:r>
      <w:r>
        <w:rPr>
          <w:rFonts w:ascii="Times New Roman;serif" w:hAnsi="Times New Roman;serif"/>
          <w:b w:val="false"/>
          <w:i/>
          <w:color w:val="000000"/>
          <w:sz w:val="20"/>
        </w:rPr>
        <w:t>Note 4 - Revenue</w:t>
      </w:r>
      <w:r>
        <w:rPr>
          <w:rFonts w:ascii="Times New Roman;serif" w:hAnsi="Times New Roman;serif"/>
          <w:b w:val="false"/>
          <w:color w:val="000000"/>
          <w:sz w:val="20"/>
        </w:rPr>
        <w:t>, for the summary of the movement in the allowance for current expected credit losses.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Additionally, write-offs and recoveries of customer receivables are tracked against collections on a quarterly basis to determine whether the reserve percentages remain appropriate. When management becomes aware of certain customer-specific factors that impact credit risk, specific allowances for these known troubled accounts are recorded. Accounts receivables are written off after all reasonable means to collect the full amount (including litigation, where appropriate) are exhausted. For the fiscal years ended March 31, 2026, 2025 and 2024, write-offs and recoveries of customer receivables were immaterial to the consolidated financial statements.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Company recognizes an allowance for losses on contract assets based on a similar approach used for receivables under the current expected credit loss model. As of March 31, 2026 and 2025, the loss allowance for contract assets was immaterial.</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Share-based Compensation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Restricted share units (“RSU”) were granted to employees, certain of our executive officers, and non-executive directors of the Company and require continuous service through the vesting date. In connection with the IPO on September 14, 2023, all RSUs previously issued under The Arm Holdings plc All-Employee Plan 2019 (“2019 AEP”), except for those 2019 AEP awards granted to employees of Arm Technology Israel Ltd., the Company’s Israeli subsidiary (“Arm Israel”), The Executive IPO Plan (“2019 EIP”), and Executive Awards previously issued under The Arm Holdings plc RSU Award Plan (“2022 RSU Plan”) were no longer expected to be settled in cash but rather expected to be settled in ordinary shares. This resulted in a change in classification of the RSUs from liability to equity which was accounted for as a modification. The number of RSUs that vest is determined by the achievement of market, performance and service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Company expenses share-based compensation over the requisite service period of the awards, which is generally equivalent to the vesting term. Compensation cost is recorded only for those awards expected to vest. Share</w:t>
        <w:noBreakHyphen/>
        <w:t>based compensation cost for employees associated with the development of internal-use software is capitalized only to the extent the cost is directly related to the qualifying internal</w:t>
        <w:noBreakHyphen/>
        <w:t>use software projects.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fair value of RSUs is determined on the date of grant for equity-classified awards, and at the end of each reporting period for liability-classified awards, using Monte Carlo simulations or the discounted cash flow approach. The fair value of Phantom Shares, which are subject to continuous service and vest upon meeting certain strategic performance conditions of the Company and are liability-classified, is determined on the date of grant and at the end of each reporting period based on the share price of the Company’s ultimate parent, SoftBank Group Corp. (“SoftBank Group”).</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Company classifies those awards in which the Company has the option, pursuant to the plan terms, and intends to settle in cash or equity, as liability-classified or equity-classified awards, respectively. Certain RSUs are liability-classified and are remeasured at the end of each reporting period through the date of settlement so that the expense recognized for each award is equivalent to the amount to be paid in cash. Changes in the fair value of liability-classified RSUs are recorded in the Consolidated Income Statements over the vesting period of the award. Expense associated with equity-classified RSUs are recognized using the straight-line method over the service period adjusted for estimated forfeitures.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Prior to the IPO, an initial public offering was not considered probable until it has occurred. Accordingly, RSUs that were subject to vesting on the earliest of (1) change of control, (2) initial public offering, or (3) passage of time, were expected to vest and be settled in cash upon the passage of time. For liability-classified awards, the weighted average fair value of the RSUs was measured at each reporting date using the Monte Carlo simulation model or a discounted cash flow approach. Similarly, the fair value for equity-classified awards was measured at the grant date using the discounted cash flow approach.</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For the periods prior to the IPO in the fiscal year ended March 31, 2024, the Company used the Monte Carlo simulation model, the income approach and/or market-calibration approach based on comparable publicly traded companies in similar lines of businesses to measure the RSUs. The Monte Carlo simulation model simulates the Company’s equity value at an assumed listing exit event in order to determine the RSU vesting percentage. The model simulates the RSU vesting percentage over numerous iterations, and the average of all iterations is determined to be the fair value of an RSU. The model then discounts the future value of the RSU at the assumed listing exit event date back to the valuation date based on the relevant risk-free interest rate. The Monte Carlo simulation model incorporates various assumptions such as expected stock price volatility until a liquidity event, expected dividend yield, risk-free interest rate, and expected time to complete an initial public offering.</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Prior to the IPO, at the grant date of the RSUs, the Company was private and its ordinary shares were not listed on a public stock exchange. Therefore, the Company’s Board of Directors exercised its reasonable judgment and considered numerous objective and subjective factors to determine the best estimate of fair value of the Company’s ordinary shares underlying share-based compensation awards, including:</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contemporaneous independent third-party valuations of ordinary shares;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financial condition, results of operations, and capital resources;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the likelihood and timing of achieving a liquidity event, such as an initial public offering or sale of the company, given prevailing market conditions;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the lack of marketability of ordinary shares;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estimates of future financial performance;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market performance and valuations of comparable companies;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the hiring or loss of key personnel;</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the status of the Company’s development, product introduction, and sales efforts;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industry outlook and other information, such as market growth and volume and macro-economic events;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color w:val="000000"/>
          <w:sz w:val="20"/>
        </w:rPr>
        <w:t>additional objective and subjective factors relating to the Company’s business.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To determine the fair value of ordinary shares, the Company first estimated the enterprise value and then allocated that enterprise value to ordinary shares and ordinary share equivalents. The Company’s enterprise value was estimated using the income and market-calibration approaches.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For each valuation, the Company prepared a financial forecast to be used in the computation of the value of invested capital for both the income approach and market-calibration approach. The financial forecast considered the Company’s past results and expected future financial performance. The risk associated with achieving this forecast was assessed in selecting the appropriate discount rate. There is inherent uncertainty in these estimates as the assumptions used are highly subjective and subject to changes as a result of new operating data and economic and other conditions that impact the business.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market-calibration approach analyzes the percent change in the enterprise values of peer companies between the prior valuation date and the current valuation date. Based on the observed market movement in the enterprise values of peer companies, a market movement factor is selected to represent the potential shift in enterprise value between the prior valuation date and the current valuation date. The selected market movement factor is applied to the indicated value as of the prior valuation date.</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Monte Carlo simulations incorporate highly subjective assumptions, such as stock price volatility and expected volatility until a liquidity event. Changes in highly subjective assumptions could significantly impact share-based compensation cost. Since the Company’s ordinary shares were not publicly traded, the computation of expected volatility was based on the average of historical and implied volatilities over the expected term of the awards of a representative peer group of publicly traded entities. Other assumptions included expected term, risk-free interest rate and dividend yield. The risk-free interest rate was based on zero-coupon U.S. Treasury bond rates corresponding to the expected term of the awards. Dividend assumptions were based on historical experience.</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Company estimates forfeitures based on employee level, economic conditions, time remaining to vest and historical forfeiture experience.</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Company estimates the fair value of shares to be issued under the Company’s employee stock purchase plan (the “ESPP”), using the Black-Scholes model at the commencement of an offering period in March and September of each year. Stock-based compensation for the ESPP is expensed using a straight-line method over the requisite service period.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Cost of sales expenses consist primarily of employee-related expenses and project costs associated with professional services and the provision of support and maintenance to customers, along with expenses related to license development services revenue, amortization of developed technology, and allocated overhead. Employee-related expenses include salaries, bonuses, share-based compensation, associated benefits, and employer taxes.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employee-related expenses, including salaries, bonuses, share-based compensation, associated benefits, and employer taxes associated with employees in research and development functions, along with project materials costs, third-party fees paid to consultants, depreciation and amortization, allocated overhead, and other development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consist primarily of employee-related expenses, including salaries, bonuses, share-based compensation, associated benefits, and employer taxes associated with employees in sales and marketing, along with corporate and administrative functions, including accounting and legal professional services fees, depreciation and amortization, advertising expenses, allocated overhead, and other corporate-related expenses.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Disposal, Restructuring and Other Operating Expenses, Net</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Disposal expenses consist primarily of transaction costs, such as legal and professional fees, relating to various disposal activities.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Restructuring and other operating expenses consist primarily of employee termination benefits. Recognition of costs for employee termination benefits depends on whether employees are required to render service beyond a minimum retention period in order to receive the termination benefits. If employees are required to render service beyond a minimum retention period in order to receive the termination benefits, costs are recognized ratably over the applicable future service period. Otherwise, costs are recognized when the Company has committed to a restructuring plan and has communicated those actions to employees. Employee termination benefits covered by existing benefit arrangements are recognized when the Company has committed to a restructuring plan and the termination benefits are probable and estimable.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Government Incentives</w:t>
      </w:r>
    </w:p>
    <w:p>
      <w:pPr>
        <w:pStyle w:val="TextBody"/>
        <w:bidi w:val="0"/>
        <w:spacing w:lineRule="auto" w:line="288" w:before="120" w:after="240"/>
        <w:jc w:val="both"/>
        <w:rPr/>
      </w:pPr>
      <w:r>
        <w:rPr>
          <w:rFonts w:ascii="Times New Roman;serif" w:hAnsi="Times New Roman;serif"/>
          <w:b w:val="false"/>
          <w:color w:val="000000"/>
          <w:sz w:val="20"/>
        </w:rPr>
        <w:t xml:space="preserve">The Company receives refundable tax credits to compensate for its research activities. In December 2025, the Financial Accounting Standards Board (“FASB”) issued Accounting Standards Update (“ASU”) 2025-10, which establishes the accounting and presentation guidance for such government incentives received by business entities. As of March 31, 2026, the Company has not yet adopted ASU 2025-10. ASU 2025-10 is effective for the Company’s fiscal year ending March 31, 2030. Until the Company adopts ASU 2025-10, the Company follows interpretative guidance issued and commonly applied by financial statement preparers that allows for the selection of accounting policies amongst acceptable alternatives. Based on facts and circumstances, the Company determined it most appropriate to account for the government incentive by analogy to International Accounting Standards 20, </w:t>
      </w:r>
      <w:r>
        <w:rPr>
          <w:rFonts w:ascii="Times New Roman;serif" w:hAnsi="Times New Roman;serif"/>
          <w:b w:val="false"/>
          <w:i/>
          <w:color w:val="000000"/>
          <w:sz w:val="20"/>
        </w:rPr>
        <w:t>Accounting for Government Grants and Disclosure of Government Assistance</w:t>
      </w:r>
      <w:r>
        <w:rPr>
          <w:color w:val="000000"/>
        </w:rPr>
        <w:t xml:space="preserve"> </w:t>
      </w:r>
      <w:r>
        <w:rPr>
          <w:rFonts w:ascii="Times New Roman;serif" w:hAnsi="Times New Roman;serif"/>
          <w:b w:val="false"/>
          <w:color w:val="000000"/>
          <w:sz w:val="20"/>
        </w:rPr>
        <w:t>(“IAS 20”).</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Under the provisions of IAS 20, a government grant is recognized when there is reasonable assurance the Company will meet the terms for receiving and realizing the benefit. IAS 20 does not define “reasonable assurance,” however, based on certain interpretations, it is analogous to “probable” as defined under GAAP, which is the definition the Company has applied. Under IAS 20, government grants are recognized in earnings on a systematic basis over the periods in which the Company recognizes the related (i.e. qualified) expenses. Further, IAS 20 permits for the recognition in earnings either separately under a general heading such as other income, or as a reduction of the related expenses. The Company has elected to recognize the benefit as a reduction of the related expenses in research and development in the Consolidated Income Statements. For the fiscal years ended March 31, 2026, 2025 and 2024, the government incentive benefit recognized in research and development expenses was $148.9 million, $114.2 million and $107.9 million, respectively.</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Company accounts for income taxes using the asset and liability method. Deferred tax assets and liabilities are recognized for the future tax consequences of temporary differences between the financial statement carrying amounts of assets and liabilities and their respective tax basis and for operating loss and tax credit carryforwards. Deferred tax assets and liabilities are measured using enacted tax rates in effect for the year in which the differences are expected to reverse. The effect on deferred tax assets and liabilities of a change in tax rates is recognized in the period that includes the enactment date.</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Valuation allowances are established when necessary to reduce deferred tax assets to the net amount that is more likely than not to be realized. In assessing the need for a valuation allowance, all available evidence is considered, both positive and negative, including historical levels of income, estimates of future taxable income, and the feasibility of tax planning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strategies. The Company regularly assesses the need for a valuation allowance. If there is a change in the determination as to the amount of deferred tax assets that can be realized, the valuation allowance is adjusted to income tax expense in the period in which such determination is made. </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Company recognizes the tax benefit of an uncertain tax position only if it is more likely than not that the tax position is sustainable upon examination by the taxing authority, based solely on its technical merits. The tax benefit recognized is measured as the largest amount of benefit that is more than 50% likely to be realized upon settlement with the taxing authority. Interest and penalties related to unrecognized tax benefits are recognized within income tax expense.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Net Income (Loss) Per Share Attributable to Ordinary Shareholders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Basic income (loss) per ordinary share is computed by dividing net income (loss) attributable to ordinary shareholders by the weighted average number of ordinary shares outstanding during the period. Diluted earnings per share is computed by dividing net income (loss) attributable to ordinary shareholders by the weighted average number of ordinary shares and potentially dilutive ordinary shares outstanding during the period. Potentially dilutive ordinary shares whose effect would have been antidilutive are excluded from the computation of diluted earnings per ordinary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2 - Recent Accounting and Disclosure Pronouncements</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Recently adopted accounting pronouncements</w:t>
      </w:r>
    </w:p>
    <w:p>
      <w:pPr>
        <w:pStyle w:val="TextBody"/>
        <w:bidi w:val="0"/>
        <w:spacing w:lineRule="auto" w:line="288" w:before="120" w:after="240"/>
        <w:jc w:val="both"/>
        <w:rPr/>
      </w:pPr>
      <w:r>
        <w:rPr>
          <w:rFonts w:ascii="Times New Roman;serif" w:hAnsi="Times New Roman;serif"/>
          <w:b w:val="false"/>
          <w:i/>
          <w:color w:val="000000"/>
          <w:sz w:val="20"/>
        </w:rPr>
        <w:t>Income Taxes (Topic 740), Improvements to Income Tax Disclosures:</w:t>
      </w:r>
      <w:r>
        <w:rPr>
          <w:color w:val="000000"/>
        </w:rPr>
        <w:t xml:space="preserve"> </w:t>
      </w:r>
      <w:r>
        <w:rPr>
          <w:rFonts w:ascii="Times New Roman;serif" w:hAnsi="Times New Roman;serif"/>
          <w:b w:val="false"/>
          <w:color w:val="000000"/>
          <w:sz w:val="20"/>
        </w:rPr>
        <w:t xml:space="preserve">In December 2023, the FASB issued ASU 2023-09, which requires disaggregated information about a reporting entity’s effective tax rate reconciliation as well as additional information on income taxes paid. The Company adopted ASU 2023-09 prospectively in the annual financial statements for the fiscal year ended March 31, 2026. See </w:t>
      </w:r>
      <w:r>
        <w:rPr>
          <w:rFonts w:ascii="Times New Roman;serif" w:hAnsi="Times New Roman;serif"/>
          <w:b w:val="false"/>
          <w:i/>
          <w:color w:val="000000"/>
          <w:sz w:val="20"/>
        </w:rPr>
        <w:t>Note 16 - Income Taxes</w:t>
      </w:r>
      <w:r>
        <w:rPr>
          <w:color w:val="000000"/>
        </w:rPr>
        <w:t xml:space="preserve"> </w:t>
      </w:r>
      <w:r>
        <w:rPr>
          <w:rFonts w:ascii="Times New Roman;serif" w:hAnsi="Times New Roman;serif"/>
          <w:b w:val="false"/>
          <w:color w:val="000000"/>
          <w:sz w:val="20"/>
        </w:rPr>
        <w:t>for further information.</w:t>
      </w:r>
    </w:p>
    <w:p>
      <w:pPr>
        <w:pStyle w:val="TextBody"/>
        <w:bidi w:val="0"/>
        <w:spacing w:lineRule="auto" w:line="288" w:before="120" w:after="240"/>
        <w:jc w:val="both"/>
        <w:rPr/>
      </w:pPr>
      <w:r>
        <w:rPr>
          <w:rFonts w:ascii="Times New Roman;serif" w:hAnsi="Times New Roman;serif"/>
          <w:b w:val="false"/>
          <w:i/>
          <w:color w:val="000000"/>
          <w:sz w:val="20"/>
        </w:rPr>
        <w:t>Intangibles – Goodwill and Other – Internal-Use Software (Subtopic 350-40) – Targeted Improvements to the Accounting for Internal-Use Software</w:t>
      </w:r>
      <w:r>
        <w:rPr>
          <w:rFonts w:ascii="Times New Roman;serif" w:hAnsi="Times New Roman;serif"/>
          <w:b w:val="false"/>
          <w:color w:val="000000"/>
          <w:sz w:val="20"/>
        </w:rPr>
        <w:t xml:space="preserve">: In September 2025, the FASB issued ASU 2025-06, which amends certain aspects of the accounting for and disclosure of software costs under Accounting Standards Codification 350-40, </w:t>
      </w:r>
      <w:r>
        <w:rPr>
          <w:rFonts w:ascii="Times New Roman;serif" w:hAnsi="Times New Roman;serif"/>
          <w:b w:val="false"/>
          <w:i/>
          <w:color w:val="000000"/>
          <w:sz w:val="20"/>
        </w:rPr>
        <w:t>Internal-Use Software</w:t>
      </w:r>
      <w:r>
        <w:rPr>
          <w:rFonts w:ascii="Times New Roman;serif" w:hAnsi="Times New Roman;serif"/>
          <w:b w:val="false"/>
          <w:color w:val="000000"/>
          <w:sz w:val="20"/>
        </w:rPr>
        <w:t>. ASU 2025-06, which can be applied prospectively, retrospectively, or with a modified transition approach, is effective for the Company’s fiscal year ending March 31, 2029, and interim periods in the same annual reporting period. Early adoption is permitted. The Company adopted ASU 2025-06 prospectively in the annual financial statements for the fiscal year ended March 31, 2026. The adoption of ASU 2025-06 did not have a material impact on the Company’s consolidated financial statements.</w:t>
      </w:r>
    </w:p>
    <w:p>
      <w:pPr>
        <w:pStyle w:val="TextBody"/>
        <w:bidi w:val="0"/>
        <w:spacing w:lineRule="auto" w:line="288" w:before="120" w:after="240"/>
        <w:jc w:val="left"/>
        <w:rPr>
          <w:rFonts w:ascii="Times New Roman;serif" w:hAnsi="Times New Roman;serif"/>
          <w:b w:val="false"/>
          <w:i/>
          <w:color w:val="000000"/>
          <w:sz w:val="20"/>
        </w:rPr>
      </w:pPr>
      <w:r>
        <w:rPr>
          <w:rFonts w:ascii="Times New Roman;serif" w:hAnsi="Times New Roman;serif"/>
          <w:b w:val="false"/>
          <w:i/>
          <w:color w:val="000000"/>
          <w:sz w:val="20"/>
        </w:rPr>
        <w:t>Recently issued accounting pronouncements not yet adopted</w:t>
      </w:r>
    </w:p>
    <w:p>
      <w:pPr>
        <w:pStyle w:val="TextBody"/>
        <w:bidi w:val="0"/>
        <w:spacing w:lineRule="auto" w:line="288" w:before="120" w:after="240"/>
        <w:jc w:val="both"/>
        <w:rPr/>
      </w:pP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xml:space="preserve">: In November 2024, the FASB issued ASU 2024-03, which requires incremental disclosures to disaggregate income statement expense items. In January 2025, the FASB issued ASU No. 2025-01, </w:t>
      </w:r>
      <w:r>
        <w:rPr>
          <w:rFonts w:ascii="Times New Roman;serif" w:hAnsi="Times New Roman;serif"/>
          <w:b w:val="false"/>
          <w:i/>
          <w:color w:val="000000"/>
          <w:sz w:val="20"/>
        </w:rPr>
        <w:t>Clarifying the Effective Date</w:t>
      </w:r>
      <w:r>
        <w:rPr>
          <w:rFonts w:ascii="Times New Roman;serif" w:hAnsi="Times New Roman;serif"/>
          <w:b w:val="false"/>
          <w:color w:val="000000"/>
          <w:sz w:val="20"/>
        </w:rPr>
        <w:t>, which revised the effective date of ASU No. 2024-03 for interim periods. ASU 2024-03 and ASU 2025-01 are effective for the Company’s fiscal year ending March 31, 2028, and interim periods within our fiscal years beginning after April 1, 2028. Early adoption is permitted. The Company is currently evaluating the impact of ASU 2024-03 and ASU 2025-01 on its consolidated financial statements and disclosures.</w:t>
      </w:r>
    </w:p>
    <w:p>
      <w:pPr>
        <w:pStyle w:val="TextBody"/>
        <w:bidi w:val="0"/>
        <w:spacing w:lineRule="auto" w:line="288" w:before="120" w:after="240"/>
        <w:jc w:val="both"/>
        <w:rPr/>
      </w:pPr>
      <w:r>
        <w:rPr>
          <w:rFonts w:ascii="Times New Roman;serif" w:hAnsi="Times New Roman;serif"/>
          <w:b w:val="false"/>
          <w:i/>
          <w:color w:val="000000"/>
          <w:sz w:val="20"/>
        </w:rPr>
        <w:t>Financial Instruments - Credit Losses (Topic 326) - Measurement of Credit Losses for Accounts Receivable and Contract Assets</w:t>
      </w:r>
      <w:r>
        <w:rPr>
          <w:rFonts w:ascii="Times New Roman;serif" w:hAnsi="Times New Roman;serif"/>
          <w:b w:val="false"/>
          <w:color w:val="000000"/>
          <w:sz w:val="20"/>
        </w:rPr>
        <w:t xml:space="preserve">: In July 2025, the FASB issued ASU 2025-05, which provides a practical expedient to measure credit losses on current accounts receivable and current contract assets under Accounting Standards Codification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The practical expedient assumes that current conditions as of the balance sheet date do not change for the remaining life of the asset. ASU 2025-05 is effective for the Company’s fiscal year ending March 31, 2027, and interim periods in the same annual reporting period. Early adoption is permitted. The Company does not believe the adoption of ASU 2025-05 will have a material impact on its financial statements and disclosures. The Company will adopt this standard for the fiscal year beginning April 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pPr>
      <w:r>
        <w:rPr>
          <w:rFonts w:ascii="Times New Roman;serif" w:hAnsi="Times New Roman;serif"/>
          <w:b w:val="false"/>
          <w:i/>
          <w:color w:val="000000"/>
          <w:sz w:val="20"/>
        </w:rPr>
        <w:t>Derivatives and Hedging (Topic 815) and Revenue from Contracts with Customers (Topic 606) – Derivatives Scope Refinements and Scope Clarification for Share-Based Noncash Consideration from a Customer in a Revenue Contract</w:t>
      </w:r>
      <w:r>
        <w:rPr>
          <w:rFonts w:ascii="Times New Roman;serif" w:hAnsi="Times New Roman;serif"/>
          <w:b w:val="false"/>
          <w:color w:val="000000"/>
          <w:sz w:val="20"/>
        </w:rPr>
        <w:t>: In September 2025, the FASB issued ASU 2025-07, which refines the scope for derivatives to clarify which contracts are subject to derivative accounting and clarifies share-based noncash consideration from a customer in a revenue contract. ASU 2025-07, which can be applied prospectively or with a modified transition approach, is effective for the Company’s fiscal year ending March 31, 2028, and interim periods in the same annual reporting period. Early adoption is permitted. The Company is currently evaluating the impact of ASU 2025-07 on its consolidated financial statements.</w:t>
      </w:r>
    </w:p>
    <w:p>
      <w:pPr>
        <w:pStyle w:val="TextBody"/>
        <w:bidi w:val="0"/>
        <w:spacing w:lineRule="auto" w:line="288" w:before="120" w:after="240"/>
        <w:jc w:val="both"/>
        <w:rPr/>
      </w:pPr>
      <w:r>
        <w:rPr>
          <w:rFonts w:ascii="Times New Roman;serif" w:hAnsi="Times New Roman;serif"/>
          <w:b w:val="false"/>
          <w:i/>
          <w:color w:val="000000"/>
          <w:sz w:val="20"/>
        </w:rPr>
        <w:t>Derivatives and Hedging (Topic 815) – Hedge Accounting Improvements</w:t>
      </w:r>
      <w:r>
        <w:rPr>
          <w:rFonts w:ascii="Times New Roman;serif" w:hAnsi="Times New Roman;serif"/>
          <w:b w:val="false"/>
          <w:color w:val="000000"/>
          <w:sz w:val="20"/>
        </w:rPr>
        <w:t xml:space="preserve">: In November 2025, the FASB issued ASU 2025-09, which refines hedge accounting to more closely align an entity’s financial reporting with the economics of risk management activities, including expanded eligibility to hedge groups of forecasted transactions, introduces a new model for “choose-your-rate” debt instruments, and certain changes that avoid automatic redesignation when the hedged risk is revised if effectiveness is maintained. ASU 2025-09, which has to be applied prospectively for all hedging relationships, is effective for the Company’s fiscal year ending March 31, 2028, and interim periods in the same annual reporting period. Early adoption is permitted. The Company is currently evaluating the impact of ASU 2025-09 on its consolidated financial statements. </w:t>
      </w:r>
    </w:p>
    <w:p>
      <w:pPr>
        <w:pStyle w:val="TextBody"/>
        <w:bidi w:val="0"/>
        <w:spacing w:lineRule="auto" w:line="288" w:before="120" w:after="240"/>
        <w:jc w:val="both"/>
        <w:rPr/>
      </w:pPr>
      <w:r>
        <w:rPr>
          <w:rFonts w:ascii="Times New Roman;serif" w:hAnsi="Times New Roman;serif"/>
          <w:b w:val="false"/>
          <w:i/>
          <w:color w:val="000000"/>
          <w:sz w:val="20"/>
        </w:rPr>
        <w:t>Government Grants (Topic 832) – Accounting for Government Grants Received by Business Entities</w:t>
      </w:r>
      <w:r>
        <w:rPr>
          <w:rFonts w:ascii="Times New Roman;serif" w:hAnsi="Times New Roman;serif"/>
          <w:b w:val="false"/>
          <w:color w:val="000000"/>
          <w:sz w:val="20"/>
        </w:rPr>
        <w:t xml:space="preserve">: In December 2025, the FASB issued ASU 2025-10, which establishes the accounting and presentation guidance for government grants received by business entities. ASU 2025-10, which can be applied modified prospectively, modified retrospectively, or retrospectively, is effective for the Company’s fiscal year ending March 31, 2030, and interim periods in the same annual reporting period. Early adoption is permitted. The Company is currently evaluating the impact of ASU 2025-10 on its consolidated financial statements. </w:t>
      </w:r>
    </w:p>
    <w:p>
      <w:pPr>
        <w:pStyle w:val="TextBody"/>
        <w:bidi w:val="0"/>
        <w:spacing w:lineRule="auto" w:line="288" w:before="120" w:after="240"/>
        <w:jc w:val="both"/>
        <w:rPr/>
      </w:pPr>
      <w:r>
        <w:rPr>
          <w:rFonts w:ascii="Times New Roman;serif" w:hAnsi="Times New Roman;serif"/>
          <w:b w:val="false"/>
          <w:i/>
          <w:color w:val="000000"/>
          <w:sz w:val="20"/>
        </w:rPr>
        <w:t>Interim Reporting (Topic 270) – Narrow-Scope Improvements</w:t>
      </w:r>
      <w:r>
        <w:rPr>
          <w:rFonts w:ascii="Times New Roman;serif" w:hAnsi="Times New Roman;serif"/>
          <w:b w:val="false"/>
          <w:color w:val="000000"/>
          <w:sz w:val="20"/>
        </w:rPr>
        <w:t>: In December 2025, the FASB issued ASU 2025-11, which clarifies when ASC 270 applies and adds a comprehensive list of interim disclosure requirements from other Codification topics. The ASU 2025-11 also introduces a disclosure principle requiring entities to disclose events since the last annual period that have a material impact, and specifies the form and content of condensed interim financial statements. ASU 2025-11, which can be applied prospectively or retrospectively to any or all prior periods presented, is effective for the Company’s fiscal year ending March 31, 2029, and interim periods in the same annual reporting period. Early adoption is permitted. The Company is currently evaluating the impact of ASU 2025-11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3 - Balance Sheet Components</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Certain balance sheet components are as follows:</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 of:</w:t>
      </w:r>
    </w:p>
    <w:tbl>
      <w:tblPr>
        <w:tblW w:w="7702" w:type="dxa"/>
        <w:jc w:val="left"/>
        <w:tblInd w:w="0" w:type="dxa"/>
        <w:tblLayout w:type="fixed"/>
        <w:tblCellMar>
          <w:top w:w="28" w:type="dxa"/>
          <w:left w:w="28" w:type="dxa"/>
          <w:bottom w:w="28" w:type="dxa"/>
          <w:right w:w="28" w:type="dxa"/>
        </w:tblCellMar>
      </w:tblPr>
      <w:tblGrid>
        <w:gridCol w:w="1492"/>
        <w:gridCol w:w="1307"/>
        <w:gridCol w:w="1325"/>
        <w:gridCol w:w="109"/>
        <w:gridCol w:w="109"/>
        <w:gridCol w:w="109"/>
        <w:gridCol w:w="386"/>
        <w:gridCol w:w="854"/>
        <w:gridCol w:w="199"/>
        <w:gridCol w:w="109"/>
        <w:gridCol w:w="109"/>
        <w:gridCol w:w="109"/>
        <w:gridCol w:w="377"/>
        <w:gridCol w:w="833"/>
        <w:gridCol w:w="275"/>
      </w:tblGrid>
      <w:tr>
        <w:trPr/>
        <w:tc>
          <w:tcPr>
            <w:tcW w:w="1492"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r>
          </w:p>
        </w:tc>
      </w:tr>
      <w:tr>
        <w:trPr/>
        <w:tc>
          <w:tcPr>
            <w:tcW w:w="4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prepaid expenses and 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 consist of:</w:t>
      </w:r>
    </w:p>
    <w:tbl>
      <w:tblPr>
        <w:tblW w:w="7447" w:type="dxa"/>
        <w:jc w:val="left"/>
        <w:tblInd w:w="0" w:type="dxa"/>
        <w:tblLayout w:type="fixed"/>
        <w:tblCellMar>
          <w:top w:w="28" w:type="dxa"/>
          <w:left w:w="28" w:type="dxa"/>
          <w:bottom w:w="28" w:type="dxa"/>
          <w:right w:w="28" w:type="dxa"/>
        </w:tblCellMar>
      </w:tblPr>
      <w:tblGrid>
        <w:gridCol w:w="1401"/>
        <w:gridCol w:w="1229"/>
        <w:gridCol w:w="1239"/>
        <w:gridCol w:w="109"/>
        <w:gridCol w:w="109"/>
        <w:gridCol w:w="109"/>
        <w:gridCol w:w="386"/>
        <w:gridCol w:w="854"/>
        <w:gridCol w:w="199"/>
        <w:gridCol w:w="109"/>
        <w:gridCol w:w="109"/>
        <w:gridCol w:w="109"/>
        <w:gridCol w:w="377"/>
        <w:gridCol w:w="833"/>
        <w:gridCol w:w="275"/>
      </w:tblGrid>
      <w:tr>
        <w:trPr/>
        <w:tc>
          <w:tcPr>
            <w:tcW w:w="140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 commissions, and cash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vacation and sabbatical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fringe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accrued compensation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current liabilities consist of:</w:t>
      </w:r>
    </w:p>
    <w:tbl>
      <w:tblPr>
        <w:tblW w:w="10205" w:type="dxa"/>
        <w:jc w:val="left"/>
        <w:tblInd w:w="0" w:type="dxa"/>
        <w:tblLayout w:type="fixed"/>
        <w:tblCellMar>
          <w:top w:w="28" w:type="dxa"/>
          <w:left w:w="28" w:type="dxa"/>
          <w:bottom w:w="28" w:type="dxa"/>
          <w:right w:w="28" w:type="dxa"/>
        </w:tblCellMar>
      </w:tblPr>
      <w:tblGrid>
        <w:gridCol w:w="2572"/>
        <w:gridCol w:w="2209"/>
        <w:gridCol w:w="2219"/>
        <w:gridCol w:w="109"/>
        <w:gridCol w:w="109"/>
        <w:gridCol w:w="109"/>
        <w:gridCol w:w="335"/>
        <w:gridCol w:w="742"/>
        <w:gridCol w:w="173"/>
        <w:gridCol w:w="109"/>
        <w:gridCol w:w="109"/>
        <w:gridCol w:w="109"/>
        <w:gridCol w:w="329"/>
        <w:gridCol w:w="727"/>
        <w:gridCol w:w="245"/>
      </w:tblGrid>
      <w:tr>
        <w:trPr/>
        <w:tc>
          <w:tcPr>
            <w:tcW w:w="2572"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7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r>
          </w:p>
        </w:tc>
      </w:tr>
      <w:tr>
        <w:trPr/>
        <w:tc>
          <w:tcPr>
            <w:tcW w:w="7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7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Employee related payroll taxes and payables</w:t>
            </w:r>
            <w:r>
              <w:rPr>
                <w:color w:val="000000"/>
              </w:rPr>
              <w:t xml:space="preserve">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design automation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Trade payables (including payables to related parties of $20 and $11 as of March 31, 2026 and 2025, respectively)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2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hanging="360"/>
        <w:jc w:val="both"/>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 xml:space="preserve">Employee related payroll taxes and payables are primarily related to vested RSUs during the three months ended March 31, 2026 and 2025, respectively, which will be or were, as applicable, paid in the subsequent quarter. </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 consist of:</w:t>
      </w:r>
    </w:p>
    <w:tbl>
      <w:tblPr>
        <w:tblW w:w="6921" w:type="dxa"/>
        <w:jc w:val="left"/>
        <w:tblInd w:w="0" w:type="dxa"/>
        <w:tblLayout w:type="fixed"/>
        <w:tblCellMar>
          <w:top w:w="28" w:type="dxa"/>
          <w:left w:w="28" w:type="dxa"/>
          <w:bottom w:w="28" w:type="dxa"/>
          <w:right w:w="28" w:type="dxa"/>
        </w:tblCellMar>
      </w:tblPr>
      <w:tblGrid>
        <w:gridCol w:w="1211"/>
        <w:gridCol w:w="1062"/>
        <w:gridCol w:w="1071"/>
        <w:gridCol w:w="109"/>
        <w:gridCol w:w="109"/>
        <w:gridCol w:w="109"/>
        <w:gridCol w:w="386"/>
        <w:gridCol w:w="854"/>
        <w:gridCol w:w="199"/>
        <w:gridCol w:w="109"/>
        <w:gridCol w:w="109"/>
        <w:gridCol w:w="109"/>
        <w:gridCol w:w="431"/>
        <w:gridCol w:w="738"/>
        <w:gridCol w:w="315"/>
      </w:tblGrid>
      <w:tr>
        <w:trPr/>
        <w:tc>
          <w:tcPr>
            <w:tcW w:w="121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design automation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other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3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4 - Revenue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 xml:space="preserve">A summary of the Company’s disaggregated revenue is as follows: </w:t>
      </w:r>
    </w:p>
    <w:tbl>
      <w:tblPr>
        <w:tblW w:w="11953" w:type="dxa"/>
        <w:jc w:val="left"/>
        <w:tblInd w:w="0" w:type="dxa"/>
        <w:tblLayout w:type="fixed"/>
        <w:tblCellMar>
          <w:top w:w="28" w:type="dxa"/>
          <w:left w:w="28" w:type="dxa"/>
          <w:bottom w:w="28" w:type="dxa"/>
          <w:right w:w="28" w:type="dxa"/>
        </w:tblCellMar>
      </w:tblPr>
      <w:tblGrid>
        <w:gridCol w:w="333"/>
        <w:gridCol w:w="253"/>
        <w:gridCol w:w="255"/>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3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5"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External Customers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Related Parties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License and Other Revenue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left"/>
        <w:rPr/>
      </w:pPr>
      <w:r>
        <w:rPr>
          <w:rFonts w:ascii="Times New Roman;serif" w:hAnsi="Times New Roman;serif"/>
          <w:b w:val="false"/>
          <w:color w:val="231F20"/>
          <w:sz w:val="13"/>
        </w:rPr>
        <w:t>(1)</w:t>
      </w:r>
      <w:r>
        <w:rPr>
          <w:color w:val="231F20"/>
        </w:rPr>
        <w:t>    </w:t>
      </w:r>
      <w:r>
        <w:rPr>
          <w:rFonts w:ascii="Times New Roman;serif" w:hAnsi="Times New Roman;serif"/>
          <w:b w:val="false"/>
          <w:color w:val="231F20"/>
          <w:sz w:val="20"/>
        </w:rPr>
        <w:t xml:space="preserve">Includes over-time revenue of $1,080 million, $467 million and $121 million and point-in-time revenue of $1,227 million, $1,372 million and $1,310 million for the fiscal years ended March 31, 2026, </w:t>
      </w:r>
      <w:r>
        <w:rPr>
          <w:rFonts w:ascii="Times New Roman;serif" w:hAnsi="Times New Roman;serif"/>
          <w:b w:val="false"/>
          <w:color w:val="000000"/>
          <w:sz w:val="20"/>
        </w:rPr>
        <w:t>2025</w:t>
      </w:r>
      <w:r>
        <w:rPr>
          <w:color w:val="231F20"/>
        </w:rPr>
        <w:t xml:space="preserve"> </w:t>
      </w:r>
      <w:r>
        <w:rPr>
          <w:rFonts w:ascii="Times New Roman;serif" w:hAnsi="Times New Roman;serif"/>
          <w:b w:val="false"/>
          <w:color w:val="231F20"/>
          <w:sz w:val="20"/>
        </w:rPr>
        <w:t>and 2024, respectively.</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Revenue by geographic region is allocated to individual countries based on the principal headquarters of the customers. The geographical locations are not necessarily indicative of the country in which the customer sells products containing the Company’s technology IP. The following table summarizes information pertaining to revenue from customers based on the principal headquarters address by geographic regions:</w:t>
      </w:r>
    </w:p>
    <w:tbl>
      <w:tblPr>
        <w:tblW w:w="5484" w:type="dxa"/>
        <w:jc w:val="left"/>
        <w:tblInd w:w="0" w:type="dxa"/>
        <w:tblLayout w:type="fixed"/>
        <w:tblCellMar>
          <w:top w:w="28" w:type="dxa"/>
          <w:left w:w="28" w:type="dxa"/>
          <w:bottom w:w="28" w:type="dxa"/>
          <w:right w:w="28" w:type="dxa"/>
        </w:tblCellMar>
      </w:tblPr>
      <w:tblGrid>
        <w:gridCol w:w="598"/>
        <w:gridCol w:w="523"/>
        <w:gridCol w:w="52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59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United States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PRC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Taiwan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Republic of Korea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countries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hanging="360"/>
        <w:jc w:val="both"/>
        <w:rPr/>
      </w:pPr>
      <w:r>
        <w:rPr>
          <w:rFonts w:ascii="Times New Roman;serif" w:hAnsi="Times New Roman;serif"/>
          <w:b w:val="false"/>
          <w:color w:val="000000"/>
          <w:sz w:val="13"/>
        </w:rPr>
        <w:t>(1)    </w:t>
      </w:r>
      <w:r>
        <w:rPr>
          <w:color w:val="000000"/>
        </w:rPr>
        <w:t>“</w:t>
      </w:r>
      <w:r>
        <w:rPr>
          <w:rFonts w:ascii="Times New Roman;serif" w:hAnsi="Times New Roman;serif"/>
          <w:b w:val="false"/>
          <w:color w:val="000000"/>
          <w:sz w:val="20"/>
        </w:rPr>
        <w:t>PRC” means the People’s Republic of China, including the Hong Kong Special Administrative Region and the Macau Special Administrative Region, but excluding Taiwan.</w:t>
      </w:r>
    </w:p>
    <w:p>
      <w:pPr>
        <w:pStyle w:val="TextBody"/>
        <w:bidi w:val="0"/>
        <w:spacing w:lineRule="auto" w:line="288" w:before="120" w:after="240"/>
        <w:jc w:val="both"/>
        <w:rPr/>
      </w:pPr>
      <w:r>
        <w:rPr>
          <w:rFonts w:ascii="Times New Roman;serif" w:hAnsi="Times New Roman;serif"/>
          <w:b w:val="false"/>
          <w:color w:val="231F20"/>
          <w:sz w:val="20"/>
        </w:rPr>
        <w:t xml:space="preserve">For the </w:t>
      </w:r>
      <w:r>
        <w:rPr>
          <w:rFonts w:ascii="Times New Roman;serif" w:hAnsi="Times New Roman;serif"/>
          <w:b w:val="false"/>
          <w:color w:val="000000"/>
          <w:sz w:val="20"/>
        </w:rPr>
        <w:t>fiscal year ended March 31, 2026</w:t>
      </w:r>
      <w:r>
        <w:rPr>
          <w:rFonts w:ascii="Times New Roman;serif" w:hAnsi="Times New Roman;serif"/>
          <w:b w:val="false"/>
          <w:color w:val="231F20"/>
          <w:sz w:val="20"/>
        </w:rPr>
        <w:t xml:space="preserve">, the Company had </w:t>
      </w:r>
      <w:r>
        <w:rPr>
          <w:rFonts w:ascii="Times New Roman;serif" w:hAnsi="Times New Roman;serif"/>
          <w:b w:val="false"/>
          <w:color w:val="000000"/>
          <w:sz w:val="20"/>
        </w:rPr>
        <w:t>three</w:t>
      </w:r>
      <w:r>
        <w:rPr>
          <w:color w:val="231F20"/>
        </w:rPr>
        <w:t xml:space="preserve"> </w:t>
      </w:r>
      <w:r>
        <w:rPr>
          <w:rFonts w:ascii="Times New Roman;serif" w:hAnsi="Times New Roman;serif"/>
          <w:b w:val="false"/>
          <w:color w:val="231F20"/>
          <w:sz w:val="20"/>
        </w:rPr>
        <w:t xml:space="preserve">customers that collectively represented </w:t>
      </w:r>
      <w:r>
        <w:rPr>
          <w:rFonts w:ascii="Times New Roman;serif" w:hAnsi="Times New Roman;serif"/>
          <w:b w:val="false"/>
          <w:color w:val="000000"/>
          <w:sz w:val="20"/>
        </w:rPr>
        <w:t>42%</w:t>
      </w:r>
      <w:r>
        <w:rPr>
          <w:color w:val="231F20"/>
        </w:rPr>
        <w:t xml:space="preserve"> </w:t>
      </w:r>
      <w:r>
        <w:rPr>
          <w:rFonts w:ascii="Times New Roman;serif" w:hAnsi="Times New Roman;serif"/>
          <w:b w:val="false"/>
          <w:color w:val="231F20"/>
          <w:sz w:val="20"/>
        </w:rPr>
        <w:t xml:space="preserve">of total revenue, with the single largest customer accounting for </w:t>
      </w:r>
      <w:r>
        <w:rPr>
          <w:rFonts w:ascii="Times New Roman;serif" w:hAnsi="Times New Roman;serif"/>
          <w:b w:val="false"/>
          <w:color w:val="000000"/>
          <w:sz w:val="20"/>
        </w:rPr>
        <w:t>16%</w:t>
      </w:r>
      <w:r>
        <w:rPr>
          <w:color w:val="231F20"/>
        </w:rPr>
        <w:t xml:space="preserve"> </w:t>
      </w:r>
      <w:r>
        <w:rPr>
          <w:rFonts w:ascii="Times New Roman;serif" w:hAnsi="Times New Roman;serif"/>
          <w:b w:val="false"/>
          <w:color w:val="231F20"/>
          <w:sz w:val="20"/>
        </w:rPr>
        <w:t xml:space="preserve">of total revenue, the second largest customer accounting for </w:t>
      </w:r>
      <w:r>
        <w:rPr>
          <w:rFonts w:ascii="Times New Roman;serif" w:hAnsi="Times New Roman;serif"/>
          <w:b w:val="false"/>
          <w:color w:val="000000"/>
          <w:sz w:val="20"/>
        </w:rPr>
        <w:t>14%</w:t>
      </w:r>
      <w:r>
        <w:rPr>
          <w:color w:val="231F20"/>
        </w:rPr>
        <w:t xml:space="preserve"> </w:t>
      </w:r>
      <w:r>
        <w:rPr>
          <w:rFonts w:ascii="Times New Roman;serif" w:hAnsi="Times New Roman;serif"/>
          <w:b w:val="false"/>
          <w:color w:val="231F20"/>
          <w:sz w:val="20"/>
        </w:rPr>
        <w:t xml:space="preserve">of total revenue, and the third largest customer accounting for </w:t>
      </w:r>
      <w:r>
        <w:rPr>
          <w:rFonts w:ascii="Times New Roman;serif" w:hAnsi="Times New Roman;serif"/>
          <w:b w:val="false"/>
          <w:color w:val="000000"/>
          <w:sz w:val="20"/>
        </w:rPr>
        <w:t xml:space="preserve">12% </w:t>
      </w:r>
      <w:r>
        <w:rPr>
          <w:rFonts w:ascii="Times New Roman;serif" w:hAnsi="Times New Roman;serif"/>
          <w:b w:val="false"/>
          <w:color w:val="231F20"/>
          <w:sz w:val="20"/>
        </w:rPr>
        <w:t xml:space="preserve">of total revenue. For the </w:t>
      </w:r>
      <w:r>
        <w:rPr>
          <w:rFonts w:ascii="Times New Roman;serif" w:hAnsi="Times New Roman;serif"/>
          <w:b w:val="false"/>
          <w:color w:val="000000"/>
          <w:sz w:val="20"/>
        </w:rPr>
        <w:t>fiscal year ended March 31, 2025</w:t>
      </w:r>
      <w:r>
        <w:rPr>
          <w:rFonts w:ascii="Times New Roman;serif" w:hAnsi="Times New Roman;serif"/>
          <w:b w:val="false"/>
          <w:color w:val="231F20"/>
          <w:sz w:val="20"/>
        </w:rPr>
        <w:t xml:space="preserve">, the Company had </w:t>
      </w:r>
      <w:r>
        <w:rPr>
          <w:rFonts w:ascii="Times New Roman;serif" w:hAnsi="Times New Roman;serif"/>
          <w:b w:val="false"/>
          <w:color w:val="000000"/>
          <w:sz w:val="20"/>
        </w:rPr>
        <w:t>four</w:t>
      </w:r>
      <w:r>
        <w:rPr>
          <w:color w:val="231F20"/>
        </w:rPr>
        <w:t xml:space="preserve"> </w:t>
      </w:r>
      <w:r>
        <w:rPr>
          <w:rFonts w:ascii="Times New Roman;serif" w:hAnsi="Times New Roman;serif"/>
          <w:b w:val="false"/>
          <w:color w:val="231F20"/>
          <w:sz w:val="20"/>
        </w:rPr>
        <w:t xml:space="preserve">customers that collectively represented </w:t>
      </w:r>
      <w:r>
        <w:rPr>
          <w:rFonts w:ascii="Times New Roman;serif" w:hAnsi="Times New Roman;serif"/>
          <w:b w:val="false"/>
          <w:color w:val="000000"/>
          <w:sz w:val="20"/>
        </w:rPr>
        <w:t>49%</w:t>
      </w:r>
      <w:r>
        <w:rPr>
          <w:color w:val="231F20"/>
        </w:rPr>
        <w:t xml:space="preserve"> </w:t>
      </w:r>
      <w:r>
        <w:rPr>
          <w:rFonts w:ascii="Times New Roman;serif" w:hAnsi="Times New Roman;serif"/>
          <w:b w:val="false"/>
          <w:color w:val="231F20"/>
          <w:sz w:val="20"/>
        </w:rPr>
        <w:t xml:space="preserve">of total revenue, with the single largest customer accounting for </w:t>
      </w:r>
      <w:r>
        <w:rPr>
          <w:rFonts w:ascii="Times New Roman;serif" w:hAnsi="Times New Roman;serif"/>
          <w:b w:val="false"/>
          <w:color w:val="000000"/>
          <w:sz w:val="20"/>
        </w:rPr>
        <w:t>17%</w:t>
      </w:r>
      <w:r>
        <w:rPr>
          <w:color w:val="231F20"/>
        </w:rPr>
        <w:t xml:space="preserve"> </w:t>
      </w:r>
      <w:r>
        <w:rPr>
          <w:rFonts w:ascii="Times New Roman;serif" w:hAnsi="Times New Roman;serif"/>
          <w:b w:val="false"/>
          <w:color w:val="231F20"/>
          <w:sz w:val="20"/>
        </w:rPr>
        <w:t xml:space="preserve">of total revenue, the second largest customer accounting for </w:t>
      </w:r>
      <w:r>
        <w:rPr>
          <w:rFonts w:ascii="Times New Roman;serif" w:hAnsi="Times New Roman;serif"/>
          <w:b w:val="false"/>
          <w:color w:val="000000"/>
          <w:sz w:val="20"/>
        </w:rPr>
        <w:t>11%</w:t>
      </w:r>
      <w:r>
        <w:rPr>
          <w:color w:val="231F20"/>
        </w:rPr>
        <w:t xml:space="preserve"> </w:t>
      </w:r>
      <w:r>
        <w:rPr>
          <w:rFonts w:ascii="Times New Roman;serif" w:hAnsi="Times New Roman;serif"/>
          <w:b w:val="false"/>
          <w:color w:val="231F20"/>
          <w:sz w:val="20"/>
        </w:rPr>
        <w:t xml:space="preserve">of total revenue, the third largest customer accounting for </w:t>
      </w:r>
      <w:r>
        <w:rPr>
          <w:rFonts w:ascii="Times New Roman;serif" w:hAnsi="Times New Roman;serif"/>
          <w:b w:val="false"/>
          <w:color w:val="000000"/>
          <w:sz w:val="20"/>
        </w:rPr>
        <w:t xml:space="preserve">11% </w:t>
      </w:r>
      <w:r>
        <w:rPr>
          <w:rFonts w:ascii="Times New Roman;serif" w:hAnsi="Times New Roman;serif"/>
          <w:b w:val="false"/>
          <w:color w:val="231F20"/>
          <w:sz w:val="20"/>
        </w:rPr>
        <w:t xml:space="preserve">of total revenue, and the fourth largest customer accounting for </w:t>
      </w:r>
      <w:r>
        <w:rPr>
          <w:rFonts w:ascii="Times New Roman;serif" w:hAnsi="Times New Roman;serif"/>
          <w:b w:val="false"/>
          <w:color w:val="000000"/>
          <w:sz w:val="20"/>
        </w:rPr>
        <w:t>10% of total revenue</w:t>
      </w:r>
      <w:r>
        <w:rPr>
          <w:rFonts w:ascii="Times New Roman;serif" w:hAnsi="Times New Roman;serif"/>
          <w:b w:val="false"/>
          <w:color w:val="231F20"/>
          <w:sz w:val="20"/>
        </w:rPr>
        <w:t xml:space="preserve">. For the </w:t>
      </w:r>
      <w:r>
        <w:rPr>
          <w:rFonts w:ascii="Times New Roman;serif" w:hAnsi="Times New Roman;serif"/>
          <w:b w:val="false"/>
          <w:color w:val="000000"/>
          <w:sz w:val="20"/>
        </w:rPr>
        <w:t>fiscal year ended March 31, 2024</w:t>
      </w:r>
      <w:r>
        <w:rPr>
          <w:rFonts w:ascii="Times New Roman;serif" w:hAnsi="Times New Roman;serif"/>
          <w:b w:val="false"/>
          <w:color w:val="231F20"/>
          <w:sz w:val="20"/>
        </w:rPr>
        <w:t xml:space="preserve">, the Company had </w:t>
      </w:r>
      <w:r>
        <w:rPr>
          <w:rFonts w:ascii="Times New Roman;serif" w:hAnsi="Times New Roman;serif"/>
          <w:b w:val="false"/>
          <w:color w:val="000000"/>
          <w:sz w:val="20"/>
        </w:rPr>
        <w:t xml:space="preserve">three </w:t>
      </w:r>
      <w:r>
        <w:rPr>
          <w:rFonts w:ascii="Times New Roman;serif" w:hAnsi="Times New Roman;serif"/>
          <w:b w:val="false"/>
          <w:color w:val="231F20"/>
          <w:sz w:val="20"/>
        </w:rPr>
        <w:t xml:space="preserve">customers that collectively represented </w:t>
      </w:r>
      <w:r>
        <w:rPr>
          <w:rFonts w:ascii="Times New Roman;serif" w:hAnsi="Times New Roman;serif"/>
          <w:b w:val="false"/>
          <w:color w:val="000000"/>
          <w:sz w:val="20"/>
        </w:rPr>
        <w:t>42%</w:t>
      </w:r>
      <w:r>
        <w:rPr>
          <w:color w:val="231F20"/>
        </w:rPr>
        <w:t xml:space="preserve"> </w:t>
      </w:r>
      <w:r>
        <w:rPr>
          <w:rFonts w:ascii="Times New Roman;serif" w:hAnsi="Times New Roman;serif"/>
          <w:b w:val="false"/>
          <w:color w:val="231F20"/>
          <w:sz w:val="20"/>
        </w:rPr>
        <w:t xml:space="preserve">of total revenue, with the single largest customer accounting for </w:t>
      </w:r>
      <w:r>
        <w:rPr>
          <w:rFonts w:ascii="Times New Roman;serif" w:hAnsi="Times New Roman;serif"/>
          <w:b w:val="false"/>
          <w:color w:val="000000"/>
          <w:sz w:val="20"/>
        </w:rPr>
        <w:t>21%</w:t>
      </w:r>
      <w:r>
        <w:rPr>
          <w:color w:val="231F20"/>
        </w:rPr>
        <w:t xml:space="preserve"> </w:t>
      </w:r>
      <w:r>
        <w:rPr>
          <w:rFonts w:ascii="Times New Roman;serif" w:hAnsi="Times New Roman;serif"/>
          <w:b w:val="false"/>
          <w:color w:val="231F20"/>
          <w:sz w:val="20"/>
        </w:rPr>
        <w:t xml:space="preserve">of total revenue, the second largest customer accounting for </w:t>
      </w:r>
      <w:r>
        <w:rPr>
          <w:rFonts w:ascii="Times New Roman;serif" w:hAnsi="Times New Roman;serif"/>
          <w:b w:val="false"/>
          <w:color w:val="000000"/>
          <w:sz w:val="20"/>
        </w:rPr>
        <w:t>11%</w:t>
      </w:r>
      <w:r>
        <w:rPr>
          <w:color w:val="231F20"/>
        </w:rPr>
        <w:t xml:space="preserve"> </w:t>
      </w:r>
      <w:r>
        <w:rPr>
          <w:rFonts w:ascii="Times New Roman;serif" w:hAnsi="Times New Roman;serif"/>
          <w:b w:val="false"/>
          <w:color w:val="231F20"/>
          <w:sz w:val="20"/>
        </w:rPr>
        <w:t xml:space="preserve">of total revenue and the third largest customer accounting for </w:t>
      </w:r>
      <w:r>
        <w:rPr>
          <w:rFonts w:ascii="Times New Roman;serif" w:hAnsi="Times New Roman;serif"/>
          <w:b w:val="false"/>
          <w:color w:val="000000"/>
          <w:sz w:val="20"/>
        </w:rPr>
        <w:t xml:space="preserve">10% </w:t>
      </w:r>
      <w:r>
        <w:rPr>
          <w:rFonts w:ascii="Times New Roman;serif" w:hAnsi="Times New Roman;serif"/>
          <w:b w:val="false"/>
          <w:color w:val="231F20"/>
          <w:sz w:val="20"/>
        </w:rPr>
        <w:t xml:space="preserve">of total revenue. No other customer represented 10% or more of total revenue for the </w:t>
      </w:r>
      <w:r>
        <w:rPr>
          <w:rFonts w:ascii="Times New Roman;serif" w:hAnsi="Times New Roman;serif"/>
          <w:b w:val="false"/>
          <w:color w:val="000000"/>
          <w:sz w:val="20"/>
        </w:rPr>
        <w:t>fiscal years ended March 31, 2026</w:t>
      </w:r>
      <w:r>
        <w:rPr>
          <w:rFonts w:ascii="Times New Roman;serif" w:hAnsi="Times New Roman;serif"/>
          <w:b w:val="false"/>
          <w:color w:val="231F20"/>
          <w:sz w:val="20"/>
        </w:rPr>
        <w:t xml:space="preserve">, </w:t>
      </w:r>
      <w:r>
        <w:rPr>
          <w:rFonts w:ascii="Times New Roman;serif" w:hAnsi="Times New Roman;serif"/>
          <w:b w:val="false"/>
          <w:color w:val="000000"/>
          <w:sz w:val="20"/>
        </w:rPr>
        <w:t>2025</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2024</w:t>
      </w:r>
      <w:r>
        <w:rPr>
          <w:rFonts w:ascii="Times New Roman;serif" w:hAnsi="Times New Roman;serif"/>
          <w:b w:val="false"/>
          <w:color w:val="231F2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Receivables</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A summary of the components of accounts receivable, net is as follows:</w:t>
      </w:r>
    </w:p>
    <w:tbl>
      <w:tblPr>
        <w:tblW w:w="7266" w:type="dxa"/>
        <w:jc w:val="left"/>
        <w:tblInd w:w="0" w:type="dxa"/>
        <w:tblLayout w:type="fixed"/>
        <w:tblCellMar>
          <w:top w:w="28" w:type="dxa"/>
          <w:left w:w="28" w:type="dxa"/>
          <w:bottom w:w="28" w:type="dxa"/>
          <w:right w:w="28" w:type="dxa"/>
        </w:tblCellMar>
      </w:tblPr>
      <w:tblGrid>
        <w:gridCol w:w="1336"/>
        <w:gridCol w:w="1171"/>
        <w:gridCol w:w="1182"/>
        <w:gridCol w:w="109"/>
        <w:gridCol w:w="109"/>
        <w:gridCol w:w="109"/>
        <w:gridCol w:w="479"/>
        <w:gridCol w:w="479"/>
        <w:gridCol w:w="481"/>
        <w:gridCol w:w="109"/>
        <w:gridCol w:w="109"/>
        <w:gridCol w:w="109"/>
        <w:gridCol w:w="434"/>
        <w:gridCol w:w="434"/>
        <w:gridCol w:w="616"/>
      </w:tblGrid>
      <w:tr>
        <w:trPr/>
        <w:tc>
          <w:tcPr>
            <w:tcW w:w="133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current expected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accounts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pPr>
      <w:r>
        <w:rPr>
          <w:rFonts w:ascii="Times New Roman;serif" w:hAnsi="Times New Roman;serif"/>
          <w:b w:val="false"/>
          <w:color w:val="000000"/>
          <w:sz w:val="20"/>
        </w:rPr>
        <w:t xml:space="preserve">As of March 31, 2026, the customer with the largest total receivables balance represented 22% of total receivables, the customer with the second largest total receivables balance represented 12% of total receivables, the customer with the third largest total receivables balance represented 11% of total receivables and the customer with the fourth largest total receivables balance represented 10% of total receivables. As of March 31, 2025, the customer with the largest total receivables balance represented 26% of total receivables, the customer with the second largest total receivables balance represented 19% of total receivables, and the customer with the third largest total receivables balance represented 12% of total receivables. </w:t>
      </w:r>
      <w:r>
        <w:rPr>
          <w:rFonts w:ascii="Times New Roman;serif" w:hAnsi="Times New Roman;serif"/>
          <w:b w:val="false"/>
          <w:color w:val="231F20"/>
          <w:sz w:val="20"/>
        </w:rPr>
        <w:t>No</w:t>
      </w:r>
      <w:r>
        <w:rPr>
          <w:color w:val="000000"/>
        </w:rPr>
        <w:t xml:space="preserve"> </w:t>
      </w:r>
      <w:r>
        <w:rPr>
          <w:rFonts w:ascii="Times New Roman;serif" w:hAnsi="Times New Roman;serif"/>
          <w:b w:val="false"/>
          <w:color w:val="000000"/>
          <w:sz w:val="20"/>
        </w:rPr>
        <w:t xml:space="preserve">other customer represented 10% or more of receivables as of March 31, 2026 </w:t>
      </w:r>
      <w:r>
        <w:rPr>
          <w:rFonts w:ascii="Times New Roman;serif" w:hAnsi="Times New Roman;serif"/>
          <w:b w:val="false"/>
          <w:color w:val="231F20"/>
          <w:sz w:val="20"/>
        </w:rPr>
        <w:t>or 2025</w:t>
      </w:r>
      <w:r>
        <w:rPr>
          <w:rFonts w:ascii="Times New Roman;serif" w:hAnsi="Times New Roman;serif"/>
          <w:b w:val="false"/>
          <w:color w:val="000000"/>
          <w:sz w:val="20"/>
        </w:rPr>
        <w:t xml:space="preserve">. </w:t>
      </w:r>
    </w:p>
    <w:p>
      <w:pPr>
        <w:pStyle w:val="TextBody"/>
        <w:bidi w:val="0"/>
        <w:spacing w:lineRule="auto" w:line="288" w:before="120" w:after="240"/>
        <w:jc w:val="left"/>
        <w:rPr>
          <w:rFonts w:ascii="Times New Roman;serif" w:hAnsi="Times New Roman;serif"/>
          <w:b w:val="false"/>
          <w:color w:val="231F20"/>
          <w:sz w:val="20"/>
        </w:rPr>
      </w:pPr>
      <w:r>
        <w:rPr>
          <w:rFonts w:ascii="Times New Roman;serif" w:hAnsi="Times New Roman;serif"/>
          <w:b w:val="false"/>
          <w:color w:val="231F20"/>
          <w:sz w:val="20"/>
        </w:rPr>
        <w:t>A summary of the movement in the allowance for current expected credit losses is as follows:</w:t>
      </w:r>
    </w:p>
    <w:tbl>
      <w:tblPr>
        <w:tblW w:w="5799" w:type="dxa"/>
        <w:jc w:val="left"/>
        <w:tblInd w:w="0" w:type="dxa"/>
        <w:tblLayout w:type="fixed"/>
        <w:tblCellMar>
          <w:top w:w="28" w:type="dxa"/>
          <w:left w:w="28" w:type="dxa"/>
          <w:bottom w:w="28" w:type="dxa"/>
          <w:right w:w="28" w:type="dxa"/>
        </w:tblCellMar>
      </w:tblPr>
      <w:tblGrid>
        <w:gridCol w:w="1027"/>
        <w:gridCol w:w="901"/>
        <w:gridCol w:w="907"/>
        <w:gridCol w:w="109"/>
        <w:gridCol w:w="109"/>
        <w:gridCol w:w="109"/>
        <w:gridCol w:w="211"/>
        <w:gridCol w:w="361"/>
        <w:gridCol w:w="109"/>
        <w:gridCol w:w="109"/>
        <w:gridCol w:w="109"/>
        <w:gridCol w:w="109"/>
        <w:gridCol w:w="211"/>
        <w:gridCol w:w="361"/>
        <w:gridCol w:w="109"/>
        <w:gridCol w:w="109"/>
        <w:gridCol w:w="109"/>
        <w:gridCol w:w="109"/>
        <w:gridCol w:w="211"/>
        <w:gridCol w:w="256"/>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(reversal of)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pPr>
      <w:r>
        <w:rPr>
          <w:rFonts w:ascii="Times New Roman;serif" w:hAnsi="Times New Roman;serif"/>
          <w:b/>
          <w:i/>
          <w:color w:val="000000"/>
          <w:sz w:val="20"/>
        </w:rPr>
        <w:t>Contract</w:t>
      </w:r>
      <w:r>
        <w:rPr>
          <w:color w:val="231F20"/>
        </w:rPr>
        <w:t xml:space="preserve"> </w:t>
      </w:r>
      <w:r>
        <w:rPr>
          <w:rFonts w:ascii="Times New Roman;serif" w:hAnsi="Times New Roman;serif"/>
          <w:b/>
          <w:i/>
          <w:color w:val="231F20"/>
          <w:sz w:val="20"/>
        </w:rPr>
        <w:t>Assets</w:t>
      </w:r>
    </w:p>
    <w:p>
      <w:pPr>
        <w:pStyle w:val="TextBody"/>
        <w:bidi w:val="0"/>
        <w:spacing w:lineRule="auto" w:line="288" w:before="120" w:after="240"/>
        <w:jc w:val="both"/>
        <w:rPr/>
      </w:pPr>
      <w:r>
        <w:rPr>
          <w:rFonts w:ascii="Times New Roman;serif" w:hAnsi="Times New Roman;serif"/>
          <w:b w:val="false"/>
          <w:color w:val="231F20"/>
          <w:sz w:val="20"/>
        </w:rPr>
        <w:t xml:space="preserve">The timing of revenue recognition may differ from the timing of invoicing to customers. When revenue recognized exceeds the amount billed to the customer, the Company records a contract asset. Contract assets are transferred to accounts receivable when the right to invoice becomes unconditional. Contract assets increased by $1,436.2 million and $1,121.7 million due to the timing of billings to customers, which fell into subsequent periods, as of </w:t>
      </w:r>
      <w:r>
        <w:rPr>
          <w:rFonts w:ascii="Times New Roman;serif" w:hAnsi="Times New Roman;serif"/>
          <w:b w:val="false"/>
          <w:color w:val="000000"/>
          <w:sz w:val="20"/>
        </w:rPr>
        <w:t>March 31, 2026</w:t>
      </w:r>
      <w:r>
        <w:rPr>
          <w:color w:val="231F20"/>
        </w:rPr>
        <w:t xml:space="preserve"> </w:t>
      </w:r>
      <w:r>
        <w:rPr>
          <w:rFonts w:ascii="Times New Roman;serif" w:hAnsi="Times New Roman;serif"/>
          <w:b w:val="false"/>
          <w:color w:val="231F20"/>
          <w:sz w:val="20"/>
        </w:rPr>
        <w:t xml:space="preserve">and 2025, respectively, offset by $1,127.3 million and $709.8 million of contract assets transferred to accounts receivable, as of </w:t>
      </w:r>
      <w:r>
        <w:rPr>
          <w:rFonts w:ascii="Times New Roman;serif" w:hAnsi="Times New Roman;serif"/>
          <w:b w:val="false"/>
          <w:color w:val="000000"/>
          <w:sz w:val="20"/>
        </w:rPr>
        <w:t>March 31, 2026</w:t>
      </w:r>
      <w:r>
        <w:rPr>
          <w:color w:val="231F20"/>
        </w:rPr>
        <w:t xml:space="preserve"> </w:t>
      </w:r>
      <w:r>
        <w:rPr>
          <w:rFonts w:ascii="Times New Roman;serif" w:hAnsi="Times New Roman;serif"/>
          <w:b w:val="false"/>
          <w:color w:val="231F20"/>
          <w:sz w:val="20"/>
        </w:rPr>
        <w:t xml:space="preserve">and 2025, respectively. The balance and activity for loss allowances related to contract assets was </w:t>
      </w:r>
      <w:r>
        <w:rPr>
          <w:rFonts w:ascii="Times New Roman;serif" w:hAnsi="Times New Roman;serif"/>
          <w:b w:val="false"/>
          <w:color w:val="000000"/>
          <w:sz w:val="20"/>
        </w:rPr>
        <w:t>immaterial</w:t>
      </w:r>
      <w:r>
        <w:rPr>
          <w:color w:val="231F20"/>
        </w:rPr>
        <w:t xml:space="preserve"> </w:t>
      </w:r>
      <w:r>
        <w:rPr>
          <w:rFonts w:ascii="Times New Roman;serif" w:hAnsi="Times New Roman;serif"/>
          <w:b w:val="false"/>
          <w:color w:val="231F20"/>
          <w:sz w:val="20"/>
        </w:rPr>
        <w:t>for all periods presented.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Contract Liabilities</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A reconciliation of the movement in contract liabilities is as follows:</w:t>
      </w:r>
    </w:p>
    <w:tbl>
      <w:tblPr>
        <w:tblW w:w="10205" w:type="dxa"/>
        <w:jc w:val="left"/>
        <w:tblInd w:w="0" w:type="dxa"/>
        <w:tblLayout w:type="fixed"/>
        <w:tblCellMar>
          <w:top w:w="28" w:type="dxa"/>
          <w:left w:w="28" w:type="dxa"/>
          <w:bottom w:w="28" w:type="dxa"/>
          <w:right w:w="28" w:type="dxa"/>
        </w:tblCellMar>
      </w:tblPr>
      <w:tblGrid>
        <w:gridCol w:w="2563"/>
        <w:gridCol w:w="2203"/>
        <w:gridCol w:w="2199"/>
        <w:gridCol w:w="109"/>
        <w:gridCol w:w="109"/>
        <w:gridCol w:w="109"/>
        <w:gridCol w:w="290"/>
        <w:gridCol w:w="850"/>
        <w:gridCol w:w="149"/>
        <w:gridCol w:w="109"/>
        <w:gridCol w:w="109"/>
        <w:gridCol w:w="109"/>
        <w:gridCol w:w="328"/>
        <w:gridCol w:w="725"/>
        <w:gridCol w:w="244"/>
      </w:tblGrid>
      <w:tr>
        <w:trPr/>
        <w:tc>
          <w:tcPr>
            <w:tcW w:w="2563"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6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6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April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prepayment and billing in advance of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24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in the period that was included in the contract liability balance at the beginning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24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in the period that was included in the contract liability balance during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Satisfied Performance Obligations</w:t>
      </w:r>
    </w:p>
    <w:p>
      <w:pPr>
        <w:pStyle w:val="TextBody"/>
        <w:bidi w:val="0"/>
        <w:spacing w:lineRule="auto" w:line="288" w:before="120" w:after="240"/>
        <w:jc w:val="both"/>
        <w:rPr/>
      </w:pPr>
      <w:r>
        <w:rPr>
          <w:rFonts w:ascii="Times New Roman;serif" w:hAnsi="Times New Roman;serif"/>
          <w:b w:val="false"/>
          <w:color w:val="231F20"/>
          <w:sz w:val="20"/>
        </w:rPr>
        <w:t xml:space="preserve">For the </w:t>
      </w:r>
      <w:r>
        <w:rPr>
          <w:rFonts w:ascii="Times New Roman;serif" w:hAnsi="Times New Roman;serif"/>
          <w:b w:val="false"/>
          <w:color w:val="000000"/>
          <w:sz w:val="20"/>
        </w:rPr>
        <w:t>fiscal years ended March 31, 2026</w:t>
      </w:r>
      <w:r>
        <w:rPr>
          <w:rFonts w:ascii="Times New Roman;serif" w:hAnsi="Times New Roman;serif"/>
          <w:b w:val="false"/>
          <w:color w:val="231F20"/>
          <w:sz w:val="20"/>
        </w:rPr>
        <w:t xml:space="preserve">, </w:t>
      </w:r>
      <w:r>
        <w:rPr>
          <w:rFonts w:ascii="Times New Roman;serif" w:hAnsi="Times New Roman;serif"/>
          <w:b w:val="false"/>
          <w:color w:val="000000"/>
          <w:sz w:val="20"/>
        </w:rPr>
        <w:t>2025</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2024</w:t>
      </w:r>
      <w:r>
        <w:rPr>
          <w:rFonts w:ascii="Times New Roman;serif" w:hAnsi="Times New Roman;serif"/>
          <w:b w:val="false"/>
          <w:color w:val="231F20"/>
          <w:sz w:val="20"/>
        </w:rPr>
        <w:t>, revenue recognized from previously satisfied performance obligations in prior reporting periods was $2,616.9 million, $2,179.4 million and $1,866.6 million, respectively. These amounts primarily represent royalties earned during the period.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Remaining performance obligations represent the transaction price allocated to performance obligations that are unsatisfied, or partially unsatisfied, which includes unearned revenue and amounts that will be invoiced and recognized as revenue in future periods.</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The Company has elected to exclude potential future royalty receipts from the disclosure of remaining performance obligations. In certain arrangements, the Company’s right to consideration may not correspond directly with the performance of obligations.</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In the absence of sufficient information, where the timing of satisfaction of the remaining performance obligations is dependent on a customer’s action, the transaction price allocated to such performance obligation is included in the more than 2 years category unless the contract or option expiration aligns with an earlier period or category.</w:t>
      </w:r>
    </w:p>
    <w:p>
      <w:pPr>
        <w:pStyle w:val="TextBody"/>
        <w:bidi w:val="0"/>
        <w:spacing w:lineRule="auto" w:line="288" w:before="120" w:after="240"/>
        <w:jc w:val="both"/>
        <w:rPr/>
      </w:pPr>
      <w:r>
        <w:rPr>
          <w:rFonts w:ascii="Times New Roman;serif" w:hAnsi="Times New Roman;serif"/>
          <w:b w:val="false"/>
          <w:color w:val="231F20"/>
          <w:sz w:val="20"/>
        </w:rPr>
        <w:t xml:space="preserve">As of </w:t>
      </w:r>
      <w:r>
        <w:rPr>
          <w:rFonts w:ascii="Times New Roman;serif" w:hAnsi="Times New Roman;serif"/>
          <w:b w:val="false"/>
          <w:color w:val="000000"/>
          <w:sz w:val="20"/>
        </w:rPr>
        <w:t>March 31, 2026</w:t>
      </w:r>
      <w:r>
        <w:rPr>
          <w:rFonts w:ascii="Times New Roman;serif" w:hAnsi="Times New Roman;serif"/>
          <w:b w:val="false"/>
          <w:color w:val="231F20"/>
          <w:sz w:val="20"/>
        </w:rPr>
        <w:t>, the aggregate transaction price allocated to remaining performance obligations was $2,071.4 million.</w:t>
      </w:r>
    </w:p>
    <w:p>
      <w:pPr>
        <w:pStyle w:val="TextBody"/>
        <w:bidi w:val="0"/>
        <w:spacing w:lineRule="auto" w:line="288" w:before="120" w:after="240"/>
        <w:jc w:val="both"/>
        <w:rPr/>
      </w:pPr>
      <w:r>
        <w:rPr>
          <w:rFonts w:ascii="Times New Roman;serif" w:hAnsi="Times New Roman;serif"/>
          <w:b w:val="false"/>
          <w:color w:val="231F20"/>
          <w:sz w:val="20"/>
        </w:rPr>
        <w:t xml:space="preserve">The Company expects to recognize approximately </w:t>
      </w:r>
      <w:r>
        <w:rPr>
          <w:rFonts w:ascii="Times New Roman;serif" w:hAnsi="Times New Roman;serif"/>
          <w:b w:val="false"/>
          <w:color w:val="000000"/>
          <w:sz w:val="20"/>
        </w:rPr>
        <w:t>28%</w:t>
      </w:r>
      <w:r>
        <w:rPr>
          <w:color w:val="231F20"/>
        </w:rPr>
        <w:t xml:space="preserve"> </w:t>
      </w:r>
      <w:r>
        <w:rPr>
          <w:rFonts w:ascii="Times New Roman;serif" w:hAnsi="Times New Roman;serif"/>
          <w:b w:val="false"/>
          <w:color w:val="231F20"/>
          <w:sz w:val="20"/>
        </w:rPr>
        <w:t xml:space="preserve">of remaining performance obligations as revenue over the next </w:t>
      </w:r>
      <w:r>
        <w:rPr>
          <w:rFonts w:ascii="Times New Roman;serif" w:hAnsi="Times New Roman;serif"/>
          <w:b w:val="false"/>
          <w:color w:val="000000"/>
          <w:sz w:val="20"/>
        </w:rPr>
        <w:t>12</w:t>
      </w:r>
      <w:r>
        <w:rPr>
          <w:color w:val="231F20"/>
        </w:rPr>
        <w:t xml:space="preserve"> </w:t>
      </w:r>
      <w:r>
        <w:rPr>
          <w:rFonts w:ascii="Times New Roman;serif" w:hAnsi="Times New Roman;serif"/>
          <w:b w:val="false"/>
          <w:color w:val="231F20"/>
          <w:sz w:val="20"/>
        </w:rPr>
        <w:t xml:space="preserve">months, </w:t>
      </w:r>
      <w:r>
        <w:rPr>
          <w:rFonts w:ascii="Times New Roman;serif" w:hAnsi="Times New Roman;serif"/>
          <w:b w:val="false"/>
          <w:color w:val="000000"/>
          <w:sz w:val="20"/>
        </w:rPr>
        <w:t>21%</w:t>
      </w:r>
      <w:r>
        <w:rPr>
          <w:color w:val="231F20"/>
        </w:rPr>
        <w:t xml:space="preserve"> </w:t>
      </w:r>
      <w:r>
        <w:rPr>
          <w:rFonts w:ascii="Times New Roman;serif" w:hAnsi="Times New Roman;serif"/>
          <w:b w:val="false"/>
          <w:color w:val="231F20"/>
          <w:sz w:val="20"/>
        </w:rPr>
        <w:t xml:space="preserve">over the subsequent </w:t>
      </w:r>
      <w:r>
        <w:rPr>
          <w:rFonts w:ascii="Times New Roman;serif" w:hAnsi="Times New Roman;serif"/>
          <w:b w:val="false"/>
          <w:color w:val="000000"/>
          <w:sz w:val="20"/>
        </w:rPr>
        <w:t>13</w:t>
      </w:r>
      <w:r>
        <w:rPr>
          <w:rFonts w:ascii="Times New Roman;serif" w:hAnsi="Times New Roman;serif"/>
          <w:b w:val="false"/>
          <w:color w:val="231F20"/>
          <w:sz w:val="20"/>
        </w:rPr>
        <w:t xml:space="preserve">-to </w:t>
      </w:r>
      <w:r>
        <w:rPr>
          <w:rFonts w:ascii="Times New Roman;serif" w:hAnsi="Times New Roman;serif"/>
          <w:b w:val="false"/>
          <w:color w:val="000000"/>
          <w:sz w:val="20"/>
        </w:rPr>
        <w:t>24</w:t>
      </w:r>
      <w:r>
        <w:rPr>
          <w:rFonts w:ascii="Times New Roman;serif" w:hAnsi="Times New Roman;serif"/>
          <w:b w:val="false"/>
          <w:color w:val="231F20"/>
          <w:sz w:val="20"/>
        </w:rPr>
        <w:t>-month period, and the remainder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5 - Acquisitions and Divestitures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Divestitures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On August 26, 2025, the Company completed the sale of its Artisan foundation IP business, consisting of standard cell libraries, memory compilers, and general-purpose I/Os to Cadence Design Systems, Inc. (“Cadence”) pursuant to the terms of the definitive agreement entered into in April 2025. For the fiscal year ended March 31, 2026, the Company recognized pre-tax gain on business divestiture of $131.0 million in other non-operating income (loss), net in the Consolidated Income Statements. This transaction did not meet the criteria for presentation as discontinued operations as it does not represent a strategic shift that has a major effect on the Company's operations or financial results. In connection with the sale, the Company entered into a transition services agreement pursuant to which the Company and Cadence are providing certain transition support services to each other for a period of up to 18 months following completion of the sale. The estimated amounts of the transition services are not expected to be material.</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Acquisitions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In October 2025, the Company entered into a definitive agreement to acquire all of the outstanding equity interests of DreamBig Semiconductor, Inc. (“DreamBig”) for approximately $265.0 million in cash, subject to purchase price adjustments. The addition of DreamBig’s advanced networking capabilities, technology, and engineering expertise is expected to enhance the Company’s portfolio and help it deliver more complete solutions. The transaction is expected to close by the end of the second quarter of the fiscal year ending March 31, 2027, subject to customary closing conditions, including the receipt of regulatory approvals.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6"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6 - Goodwill</w:t>
      </w:r>
    </w:p>
    <w:p>
      <w:pPr>
        <w:pStyle w:val="TextBody"/>
        <w:bidi w:val="0"/>
        <w:spacing w:lineRule="auto" w:line="288" w:before="0" w:after="240"/>
        <w:jc w:val="both"/>
        <w:rPr/>
      </w:pPr>
      <w:r>
        <w:rPr>
          <w:rFonts w:ascii="Times New Roman;serif" w:hAnsi="Times New Roman;serif"/>
          <w:b w:val="false"/>
          <w:color w:val="231F20"/>
          <w:sz w:val="20"/>
        </w:rPr>
        <w:t xml:space="preserve">As of March 31, 2026 and 2025, the Company had a goodwill balance of $1,623.2 million and $1,620.0 million, respectively. The period-over-period changes in goodwill for the </w:t>
      </w:r>
      <w:r>
        <w:rPr>
          <w:rFonts w:ascii="Times New Roman;serif" w:hAnsi="Times New Roman;serif"/>
          <w:b w:val="false"/>
          <w:color w:val="000000"/>
          <w:sz w:val="20"/>
        </w:rPr>
        <w:t>fiscal years ended March 31, 2026</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2025</w:t>
      </w:r>
      <w:r>
        <w:rPr>
          <w:color w:val="231F20"/>
        </w:rPr>
        <w:t xml:space="preserve"> </w:t>
      </w:r>
      <w:r>
        <w:rPr>
          <w:rFonts w:ascii="Times New Roman;serif" w:hAnsi="Times New Roman;serif"/>
          <w:b w:val="false"/>
          <w:color w:val="231F20"/>
          <w:sz w:val="20"/>
        </w:rPr>
        <w:t xml:space="preserve">were due to foreign currency translation adjustments. The Company did not record any goodwill impairment for the </w:t>
      </w:r>
      <w:r>
        <w:rPr>
          <w:rFonts w:ascii="Times New Roman;serif" w:hAnsi="Times New Roman;serif"/>
          <w:b w:val="false"/>
          <w:color w:val="000000"/>
          <w:sz w:val="20"/>
        </w:rPr>
        <w:t>fiscal years ended March 31, 2026</w:t>
      </w:r>
      <w:r>
        <w:rPr>
          <w:rFonts w:ascii="Times New Roman;serif" w:hAnsi="Times New Roman;serif"/>
          <w:b w:val="false"/>
          <w:color w:val="231F20"/>
          <w:sz w:val="20"/>
        </w:rPr>
        <w:t xml:space="preserve">, </w:t>
      </w:r>
      <w:r>
        <w:rPr>
          <w:rFonts w:ascii="Times New Roman;serif" w:hAnsi="Times New Roman;serif"/>
          <w:b w:val="false"/>
          <w:color w:val="000000"/>
          <w:sz w:val="20"/>
        </w:rPr>
        <w:t>2025</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2024</w:t>
      </w:r>
      <w:r>
        <w:rPr>
          <w:rFonts w:ascii="Times New Roman;serif" w:hAnsi="Times New Roman;serif"/>
          <w:b w:val="false"/>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7 - Intangible Assets, Net</w:t>
      </w:r>
    </w:p>
    <w:p>
      <w:pPr>
        <w:pStyle w:val="TextBody"/>
        <w:bidi w:val="0"/>
        <w:spacing w:lineRule="auto" w:line="288" w:before="120" w:after="240"/>
        <w:jc w:val="left"/>
        <w:rPr>
          <w:rFonts w:ascii="Times New Roman;serif" w:hAnsi="Times New Roman;serif"/>
          <w:b w:val="false"/>
          <w:color w:val="231F20"/>
          <w:sz w:val="20"/>
        </w:rPr>
      </w:pPr>
      <w:r>
        <w:rPr>
          <w:rFonts w:ascii="Times New Roman;serif" w:hAnsi="Times New Roman;serif"/>
          <w:b w:val="false"/>
          <w:color w:val="231F20"/>
          <w:sz w:val="20"/>
        </w:rPr>
        <w:t>Information related to intangible assets is as follows:</w:t>
      </w:r>
    </w:p>
    <w:tbl>
      <w:tblPr>
        <w:tblW w:w="10205" w:type="dxa"/>
        <w:jc w:val="left"/>
        <w:tblInd w:w="0" w:type="dxa"/>
        <w:tblLayout w:type="fixed"/>
        <w:tblCellMar>
          <w:top w:w="28" w:type="dxa"/>
          <w:left w:w="28" w:type="dxa"/>
          <w:bottom w:w="28" w:type="dxa"/>
          <w:right w:w="28" w:type="dxa"/>
        </w:tblCellMar>
      </w:tblPr>
      <w:tblGrid>
        <w:gridCol w:w="745"/>
        <w:gridCol w:w="354"/>
        <w:gridCol w:w="357"/>
        <w:gridCol w:w="109"/>
        <w:gridCol w:w="109"/>
        <w:gridCol w:w="109"/>
        <w:gridCol w:w="214"/>
        <w:gridCol w:w="473"/>
        <w:gridCol w:w="110"/>
        <w:gridCol w:w="110"/>
        <w:gridCol w:w="110"/>
        <w:gridCol w:w="110"/>
        <w:gridCol w:w="214"/>
        <w:gridCol w:w="473"/>
        <w:gridCol w:w="110"/>
        <w:gridCol w:w="109"/>
        <w:gridCol w:w="109"/>
        <w:gridCol w:w="109"/>
        <w:gridCol w:w="217"/>
        <w:gridCol w:w="481"/>
        <w:gridCol w:w="112"/>
        <w:gridCol w:w="112"/>
        <w:gridCol w:w="112"/>
        <w:gridCol w:w="112"/>
        <w:gridCol w:w="217"/>
        <w:gridCol w:w="481"/>
        <w:gridCol w:w="112"/>
        <w:gridCol w:w="109"/>
        <w:gridCol w:w="109"/>
        <w:gridCol w:w="109"/>
        <w:gridCol w:w="211"/>
        <w:gridCol w:w="466"/>
        <w:gridCol w:w="109"/>
        <w:gridCol w:w="109"/>
        <w:gridCol w:w="109"/>
        <w:gridCol w:w="109"/>
        <w:gridCol w:w="211"/>
        <w:gridCol w:w="466"/>
        <w:gridCol w:w="109"/>
        <w:gridCol w:w="109"/>
        <w:gridCol w:w="109"/>
        <w:gridCol w:w="109"/>
        <w:gridCol w:w="301"/>
        <w:gridCol w:w="140"/>
        <w:gridCol w:w="140"/>
        <w:gridCol w:w="140"/>
        <w:gridCol w:w="140"/>
        <w:gridCol w:w="140"/>
        <w:gridCol w:w="296"/>
        <w:gridCol w:w="140"/>
        <w:gridCol w:w="225"/>
      </w:tblGrid>
      <w:tr>
        <w:trPr/>
        <w:tc>
          <w:tcPr>
            <w:tcW w:w="74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231F20"/>
                <w:sz w:val="20"/>
              </w:rPr>
            </w:pPr>
            <w:r>
              <w:rPr>
                <w:rFonts w:ascii="Times New Roman;serif" w:hAnsi="Times New Roman;serif"/>
                <w:b/>
                <w:color w:val="231F20"/>
                <w:sz w:val="20"/>
              </w:rPr>
              <w:t>As of March 31,</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20"/>
              </w:rPr>
            </w:pPr>
            <w:r>
              <w:rPr>
                <w:rFonts w:ascii="Times New Roman;serif" w:hAnsi="Times New Roman;serif"/>
                <w:b/>
                <w:color w:val="231F2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20"/>
              </w:rPr>
            </w:pPr>
            <w:r>
              <w:rPr>
                <w:rFonts w:ascii="Times New Roman;serif" w:hAnsi="Times New Roman;serif"/>
                <w:b/>
                <w:color w:val="231F2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20"/>
              </w:rPr>
            </w:pPr>
            <w:r>
              <w:rPr>
                <w:rFonts w:ascii="Times New Roman;serif" w:hAnsi="Times New Roman;serif"/>
                <w:b/>
                <w:color w:val="231F20"/>
                <w:sz w:val="20"/>
              </w:rPr>
              <w:t>Net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20"/>
              </w:rPr>
            </w:pPr>
            <w:r>
              <w:rPr>
                <w:rFonts w:ascii="Times New Roman;serif" w:hAnsi="Times New Roman;serif"/>
                <w:b/>
                <w:color w:val="231F20"/>
                <w:sz w:val="20"/>
              </w:rPr>
              <w:t xml:space="preserve">Weighted Average Remaining Life </w:t>
            </w:r>
          </w:p>
        </w:tc>
      </w:tr>
      <w:tr>
        <w:trPr/>
        <w:tc>
          <w:tcPr>
            <w:tcW w:w="14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for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&amp; licenses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14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Internal-use software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14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subject to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under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erif" w:hAnsi="Times New Roman;serif"/>
          <w:b w:val="false"/>
          <w:color w:val="231F20"/>
          <w:sz w:val="20"/>
        </w:rPr>
      </w:pPr>
      <w:r>
        <w:rPr>
          <w:rFonts w:ascii="Times New Roman;serif" w:hAnsi="Times New Roman;serif"/>
          <w:b w:val="false"/>
          <w:color w:val="231F20"/>
          <w:sz w:val="20"/>
        </w:rPr>
        <w:t>Information regarding amortization expense for intangible assets is as follows:</w:t>
      </w:r>
    </w:p>
    <w:tbl>
      <w:tblPr>
        <w:tblW w:w="6023" w:type="dxa"/>
        <w:jc w:val="left"/>
        <w:tblInd w:w="0" w:type="dxa"/>
        <w:tblLayout w:type="fixed"/>
        <w:tblCellMar>
          <w:top w:w="28" w:type="dxa"/>
          <w:left w:w="28" w:type="dxa"/>
          <w:bottom w:w="28" w:type="dxa"/>
          <w:right w:w="28" w:type="dxa"/>
        </w:tblCellMar>
      </w:tblPr>
      <w:tblGrid>
        <w:gridCol w:w="1068"/>
        <w:gridCol w:w="937"/>
        <w:gridCol w:w="949"/>
        <w:gridCol w:w="109"/>
        <w:gridCol w:w="109"/>
        <w:gridCol w:w="109"/>
        <w:gridCol w:w="211"/>
        <w:gridCol w:w="361"/>
        <w:gridCol w:w="109"/>
        <w:gridCol w:w="109"/>
        <w:gridCol w:w="109"/>
        <w:gridCol w:w="109"/>
        <w:gridCol w:w="211"/>
        <w:gridCol w:w="361"/>
        <w:gridCol w:w="109"/>
        <w:gridCol w:w="109"/>
        <w:gridCol w:w="109"/>
        <w:gridCol w:w="109"/>
        <w:gridCol w:w="211"/>
        <w:gridCol w:w="361"/>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Years Ended March 31,</w:t>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amortization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pPr>
      <w:r>
        <w:rPr>
          <w:rFonts w:ascii="Times New Roman;serif" w:hAnsi="Times New Roman;serif"/>
          <w:b w:val="false"/>
          <w:color w:val="231F20"/>
          <w:sz w:val="20"/>
        </w:rPr>
        <w:t xml:space="preserve">The Company capitalized $173.6 million, $86.2 million and $68.8 million, and amortized $92.3 million, $79.8 million and $73.7 million of internal-use software in the </w:t>
      </w:r>
      <w:r>
        <w:rPr>
          <w:rFonts w:ascii="Times New Roman;serif" w:hAnsi="Times New Roman;serif"/>
          <w:b w:val="false"/>
          <w:color w:val="000000"/>
          <w:sz w:val="20"/>
        </w:rPr>
        <w:t>fiscal years ended March 31, 2026</w:t>
      </w:r>
      <w:r>
        <w:rPr>
          <w:rFonts w:ascii="Times New Roman;serif" w:hAnsi="Times New Roman;serif"/>
          <w:b w:val="false"/>
          <w:color w:val="231F20"/>
          <w:sz w:val="20"/>
        </w:rPr>
        <w:t xml:space="preserve">, </w:t>
      </w:r>
      <w:r>
        <w:rPr>
          <w:rFonts w:ascii="Times New Roman;serif" w:hAnsi="Times New Roman;serif"/>
          <w:b w:val="false"/>
          <w:color w:val="000000"/>
          <w:sz w:val="20"/>
        </w:rPr>
        <w:t>2025</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2024</w:t>
      </w:r>
      <w:r>
        <w:rPr>
          <w:rFonts w:ascii="Times New Roman;serif" w:hAnsi="Times New Roman;serif"/>
          <w:b w:val="false"/>
          <w:color w:val="231F20"/>
          <w:sz w:val="20"/>
        </w:rPr>
        <w:t xml:space="preserve">, respectively. </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Estimated future amortization of intangible assets subject to amortization is as follows:</w:t>
      </w:r>
    </w:p>
    <w:tbl>
      <w:tblPr>
        <w:tblW w:w="5142" w:type="dxa"/>
        <w:jc w:val="left"/>
        <w:tblInd w:w="0" w:type="dxa"/>
        <w:tblLayout w:type="fixed"/>
        <w:tblCellMar>
          <w:top w:w="28" w:type="dxa"/>
          <w:left w:w="28" w:type="dxa"/>
          <w:bottom w:w="28" w:type="dxa"/>
          <w:right w:w="28" w:type="dxa"/>
        </w:tblCellMar>
      </w:tblPr>
      <w:tblGrid>
        <w:gridCol w:w="1038"/>
        <w:gridCol w:w="909"/>
        <w:gridCol w:w="918"/>
        <w:gridCol w:w="109"/>
        <w:gridCol w:w="109"/>
        <w:gridCol w:w="109"/>
        <w:gridCol w:w="495"/>
        <w:gridCol w:w="1094"/>
        <w:gridCol w:w="361"/>
      </w:tblGrid>
      <w:tr>
        <w:trPr/>
        <w:tc>
          <w:tcPr>
            <w:tcW w:w="1038"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March 31, 2026</w:t>
            </w:r>
          </w:p>
        </w:tc>
      </w:tr>
      <w:tr>
        <w:trPr/>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amortization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3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7"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156</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8 - Property and Equipment, Net</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Information regarding property and equipment, net is as follows:</w:t>
      </w:r>
    </w:p>
    <w:tbl>
      <w:tblPr>
        <w:tblW w:w="6788" w:type="dxa"/>
        <w:jc w:val="left"/>
        <w:tblInd w:w="0" w:type="dxa"/>
        <w:tblLayout w:type="fixed"/>
        <w:tblCellMar>
          <w:top w:w="28" w:type="dxa"/>
          <w:left w:w="28" w:type="dxa"/>
          <w:bottom w:w="28" w:type="dxa"/>
          <w:right w:w="28" w:type="dxa"/>
        </w:tblCellMar>
      </w:tblPr>
      <w:tblGrid>
        <w:gridCol w:w="1160"/>
        <w:gridCol w:w="1018"/>
        <w:gridCol w:w="1032"/>
        <w:gridCol w:w="109"/>
        <w:gridCol w:w="109"/>
        <w:gridCol w:w="109"/>
        <w:gridCol w:w="386"/>
        <w:gridCol w:w="854"/>
        <w:gridCol w:w="199"/>
        <w:gridCol w:w="109"/>
        <w:gridCol w:w="109"/>
        <w:gridCol w:w="109"/>
        <w:gridCol w:w="377"/>
        <w:gridCol w:w="833"/>
        <w:gridCol w:w="275"/>
      </w:tblGrid>
      <w:tr>
        <w:trPr/>
        <w:tc>
          <w:tcPr>
            <w:tcW w:w="116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Fixtures and vehicles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property and equipment, 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1,324 </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property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Finance lease right-of-use assets that were previously included in property and equipment, net have been reclassified to finance lease right-of-use assets on the Consolidated Balance Sheets to conform to current period presentation.</w:t>
      </w:r>
    </w:p>
    <w:p>
      <w:pPr>
        <w:pStyle w:val="TextBody"/>
        <w:bidi w:val="0"/>
        <w:spacing w:lineRule="auto" w:line="288" w:before="0" w:after="240"/>
        <w:jc w:val="both"/>
        <w:rPr/>
      </w:pPr>
      <w:r>
        <w:rPr>
          <w:rFonts w:ascii="Times New Roman;serif" w:hAnsi="Times New Roman;serif"/>
          <w:b w:val="false"/>
          <w:color w:val="231F20"/>
          <w:sz w:val="20"/>
        </w:rPr>
        <w:t xml:space="preserve">Depreciation expense for the </w:t>
      </w:r>
      <w:r>
        <w:rPr>
          <w:rFonts w:ascii="Times New Roman;serif" w:hAnsi="Times New Roman;serif"/>
          <w:b w:val="false"/>
          <w:color w:val="000000"/>
          <w:sz w:val="20"/>
        </w:rPr>
        <w:t>fiscal years ended March 31, 2026</w:t>
      </w:r>
      <w:r>
        <w:rPr>
          <w:rFonts w:ascii="Times New Roman;serif" w:hAnsi="Times New Roman;serif"/>
          <w:b w:val="false"/>
          <w:color w:val="231F20"/>
          <w:sz w:val="20"/>
        </w:rPr>
        <w:t xml:space="preserve">, </w:t>
      </w:r>
      <w:r>
        <w:rPr>
          <w:rFonts w:ascii="Times New Roman;serif" w:hAnsi="Times New Roman;serif"/>
          <w:b w:val="false"/>
          <w:color w:val="000000"/>
          <w:sz w:val="20"/>
        </w:rPr>
        <w:t>2025</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2024</w:t>
      </w:r>
      <w:r>
        <w:rPr>
          <w:rFonts w:ascii="Times New Roman;serif" w:hAnsi="Times New Roman;serif"/>
          <w:b w:val="false"/>
          <w:color w:val="231F20"/>
          <w:sz w:val="20"/>
        </w:rPr>
        <w:t xml:space="preserve">, was $122.6 million, </w:t>
      </w:r>
      <w:r>
        <w:rPr>
          <w:rFonts w:ascii="Times New Roman;serif" w:hAnsi="Times New Roman;serif"/>
          <w:b w:val="false"/>
          <w:color w:val="231F20"/>
          <w:sz w:val="20"/>
          <w:shd w:fill="FFFFFF" w:val="clear"/>
        </w:rPr>
        <w:t>$83.3 million</w:t>
      </w:r>
      <w:r>
        <w:rPr>
          <w:color w:val="231F20"/>
        </w:rPr>
        <w:t xml:space="preserve"> </w:t>
      </w:r>
      <w:r>
        <w:rPr>
          <w:rFonts w:ascii="Times New Roman;serif" w:hAnsi="Times New Roman;serif"/>
          <w:b w:val="false"/>
          <w:color w:val="231F20"/>
          <w:sz w:val="20"/>
        </w:rPr>
        <w:t>and $71.0 million, respectively.</w:t>
      </w:r>
      <w:r>
        <w:rPr>
          <w:color w:val="231F20"/>
          <w:shd w:fill="FFFFFF" w:val="clear"/>
        </w:rPr>
        <w:t xml:space="preserve"> </w:t>
      </w:r>
      <w:r>
        <w:rPr>
          <w:rFonts w:ascii="Times New Roman;serif" w:hAnsi="Times New Roman;serif"/>
          <w:b w:val="false"/>
          <w:color w:val="231F20"/>
          <w:sz w:val="20"/>
          <w:shd w:fill="FFFFFF" w:val="clear"/>
        </w:rPr>
        <w:t>There was</w:t>
      </w:r>
      <w:r>
        <w:rPr>
          <w:color w:val="000000"/>
          <w:shd w:fill="FFFFFF" w:val="clear"/>
        </w:rPr>
        <w:t xml:space="preserve"> </w:t>
      </w:r>
      <w:r>
        <w:rPr>
          <w:rFonts w:ascii="Times New Roman;serif" w:hAnsi="Times New Roman;serif"/>
          <w:b w:val="false"/>
          <w:color w:val="000000"/>
          <w:sz w:val="20"/>
        </w:rPr>
        <w:t>no</w:t>
      </w:r>
      <w:r>
        <w:rPr>
          <w:color w:val="231F20"/>
          <w:shd w:fill="FFFFFF" w:val="clear"/>
        </w:rPr>
        <w:t xml:space="preserve"> </w:t>
      </w:r>
      <w:r>
        <w:rPr>
          <w:rFonts w:ascii="Times New Roman;serif" w:hAnsi="Times New Roman;serif"/>
          <w:b w:val="false"/>
          <w:color w:val="231F20"/>
          <w:sz w:val="20"/>
          <w:shd w:fill="FFFFFF" w:val="clear"/>
        </w:rPr>
        <w:t>impairment</w:t>
      </w:r>
      <w:r>
        <w:rPr>
          <w:color w:val="231F20"/>
        </w:rPr>
        <w:t xml:space="preserve"> </w:t>
      </w:r>
      <w:r>
        <w:rPr>
          <w:rFonts w:ascii="Times New Roman;serif" w:hAnsi="Times New Roman;serif"/>
          <w:b w:val="false"/>
          <w:color w:val="231F20"/>
          <w:sz w:val="20"/>
        </w:rPr>
        <w:t xml:space="preserve">of property and equipment for the </w:t>
      </w:r>
      <w:r>
        <w:rPr>
          <w:rFonts w:ascii="Times New Roman;serif" w:hAnsi="Times New Roman;serif"/>
          <w:b w:val="false"/>
          <w:color w:val="000000"/>
          <w:sz w:val="20"/>
        </w:rPr>
        <w:t>fiscal years ended March 31, 2026,</w:t>
      </w:r>
      <w:r>
        <w:rPr>
          <w:color w:val="231F20"/>
        </w:rPr>
        <w:t xml:space="preserve"> </w:t>
      </w:r>
      <w:r>
        <w:rPr>
          <w:rFonts w:ascii="Times New Roman;serif" w:hAnsi="Times New Roman;serif"/>
          <w:b w:val="false"/>
          <w:color w:val="000000"/>
          <w:sz w:val="20"/>
        </w:rPr>
        <w:t>2025 and 2024</w:t>
      </w:r>
      <w:r>
        <w:rPr>
          <w:rFonts w:ascii="Times New Roman;serif" w:hAnsi="Times New Roman;serif"/>
          <w:b w:val="false"/>
          <w:color w:val="231F20"/>
          <w:sz w:val="20"/>
        </w:rPr>
        <w:t>.</w:t>
      </w:r>
    </w:p>
    <w:p>
      <w:pPr>
        <w:pStyle w:val="TextBody"/>
        <w:bidi w:val="0"/>
        <w:spacing w:lineRule="auto" w:line="288" w:before="120" w:after="240"/>
        <w:jc w:val="both"/>
        <w:rPr/>
      </w:pPr>
      <w:r>
        <w:rPr>
          <w:rFonts w:ascii="Times New Roman;serif" w:hAnsi="Times New Roman;serif"/>
          <w:b w:val="false"/>
          <w:color w:val="231F20"/>
          <w:sz w:val="20"/>
        </w:rPr>
        <w:t xml:space="preserve">As of </w:t>
      </w:r>
      <w:r>
        <w:rPr>
          <w:rFonts w:ascii="Times New Roman;serif" w:hAnsi="Times New Roman;serif"/>
          <w:b w:val="false"/>
          <w:color w:val="000000"/>
          <w:sz w:val="20"/>
        </w:rPr>
        <w:t>March 31, 2026</w:t>
      </w:r>
      <w:r>
        <w:rPr>
          <w:color w:val="231F20"/>
        </w:rPr>
        <w:t xml:space="preserve"> </w:t>
      </w:r>
      <w:r>
        <w:rPr>
          <w:rFonts w:ascii="Times New Roman;serif" w:hAnsi="Times New Roman;serif"/>
          <w:b w:val="false"/>
          <w:color w:val="000000"/>
          <w:sz w:val="20"/>
        </w:rPr>
        <w:t>and 2025</w:t>
      </w:r>
      <w:r>
        <w:rPr>
          <w:rFonts w:ascii="Times New Roman;serif" w:hAnsi="Times New Roman;serif"/>
          <w:b w:val="false"/>
          <w:color w:val="231F20"/>
          <w:sz w:val="20"/>
        </w:rPr>
        <w:t xml:space="preserve">, the Company had ARO liabilities of $13.8 million and $12.8 million related to leasehold improvements, recorded in other current and other non-current liabilities on the Consolidated Balance Sheets. There were immaterial changes in ARO liabilities in the </w:t>
      </w:r>
      <w:r>
        <w:rPr>
          <w:rFonts w:ascii="Times New Roman;serif" w:hAnsi="Times New Roman;serif"/>
          <w:b w:val="false"/>
          <w:color w:val="000000"/>
          <w:sz w:val="20"/>
        </w:rPr>
        <w:t>fiscal years ended March 31, 2026, 2025</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2024</w:t>
      </w:r>
      <w:r>
        <w:rPr>
          <w:rFonts w:ascii="Times New Roman;serif" w:hAnsi="Times New Roman;serif"/>
          <w:b w:val="false"/>
          <w:color w:val="231F20"/>
          <w:sz w:val="20"/>
        </w:rPr>
        <w:t xml:space="preserve">. </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As of March 31, 2026 and 2025, the Company had $5.5 million and $7.1 million, respectively, of retirement assets recorded in property and equipment, net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9 - Leases</w:t>
      </w:r>
    </w:p>
    <w:p>
      <w:pPr>
        <w:pStyle w:val="TextBody"/>
        <w:bidi w:val="0"/>
        <w:spacing w:lineRule="auto" w:line="288" w:before="120" w:after="240"/>
        <w:jc w:val="both"/>
        <w:rPr/>
      </w:pPr>
      <w:r>
        <w:rPr>
          <w:rFonts w:ascii="Times New Roman;serif" w:hAnsi="Times New Roman;serif"/>
          <w:b w:val="false"/>
          <w:color w:val="231F20"/>
          <w:sz w:val="20"/>
        </w:rPr>
        <w:t xml:space="preserve">The Company has operating and finance leases for property, IT and automobiles. The Company’s operating leases have lease terms expiring between calendar years </w:t>
      </w:r>
      <w:r>
        <w:rPr>
          <w:rFonts w:ascii="Times New Roman;serif" w:hAnsi="Times New Roman;serif"/>
          <w:b w:val="false"/>
          <w:color w:val="000000"/>
          <w:sz w:val="20"/>
        </w:rPr>
        <w:t xml:space="preserve">2026 </w:t>
      </w:r>
      <w:r>
        <w:rPr>
          <w:rFonts w:ascii="Times New Roman;serif" w:hAnsi="Times New Roman;serif"/>
          <w:b w:val="false"/>
          <w:color w:val="231F20"/>
          <w:sz w:val="20"/>
        </w:rPr>
        <w:t xml:space="preserve">and </w:t>
      </w:r>
      <w:r>
        <w:rPr>
          <w:rFonts w:ascii="Times New Roman;serif" w:hAnsi="Times New Roman;serif"/>
          <w:b w:val="false"/>
          <w:color w:val="000000"/>
          <w:sz w:val="20"/>
        </w:rPr>
        <w:t>2044</w:t>
      </w:r>
      <w:r>
        <w:rPr>
          <w:rFonts w:ascii="Times New Roman;serif" w:hAnsi="Times New Roman;serif"/>
          <w:b w:val="false"/>
          <w:color w:val="231F20"/>
          <w:sz w:val="20"/>
        </w:rPr>
        <w:t xml:space="preserve">. The Company’s lease agreements do not contain residual value guarantees, material variable payment provisions or material restrictive covenants. </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Finance lease right-of-use assets that were previously included in property and equipment, net have been reclassified to finance lease right-of-use assets on the Consolidated Balance Sheets to conform to current period presentation. Finance lease liabilities continue to be included in other current liabilities and other non-current liabilities on the Consolidated Balance Sheets.</w:t>
      </w:r>
    </w:p>
    <w:p>
      <w:pPr>
        <w:pStyle w:val="TextBody"/>
        <w:bidi w:val="0"/>
        <w:spacing w:lineRule="auto" w:line="288" w:before="120" w:after="240"/>
        <w:jc w:val="both"/>
        <w:rPr/>
      </w:pPr>
      <w:r>
        <w:rPr>
          <w:rFonts w:ascii="Times New Roman;serif" w:hAnsi="Times New Roman;serif"/>
          <w:b w:val="false"/>
          <w:color w:val="231F20"/>
          <w:sz w:val="20"/>
        </w:rPr>
        <w:t xml:space="preserve">The Company did not have material short-term leases and did not incur any material variable lease expenses for all periods presented. </w:t>
      </w:r>
      <w:r>
        <w:rPr>
          <w:rFonts w:ascii="Times New Roman;serif" w:hAnsi="Times New Roman;serif"/>
          <w:b w:val="false"/>
          <w:color w:val="000000"/>
          <w:sz w:val="20"/>
        </w:rPr>
        <w:t>No</w:t>
      </w:r>
      <w:r>
        <w:rPr>
          <w:color w:val="231F20"/>
        </w:rPr>
        <w:t xml:space="preserve"> </w:t>
      </w:r>
      <w:r>
        <w:rPr>
          <w:rFonts w:ascii="Times New Roman;serif" w:hAnsi="Times New Roman;serif"/>
          <w:b w:val="false"/>
          <w:color w:val="231F20"/>
          <w:sz w:val="20"/>
        </w:rPr>
        <w:t xml:space="preserve">material gains or losses were recognized on lease terminations during the </w:t>
      </w:r>
      <w:r>
        <w:rPr>
          <w:rFonts w:ascii="Times New Roman;serif" w:hAnsi="Times New Roman;serif"/>
          <w:b w:val="false"/>
          <w:color w:val="000000"/>
          <w:sz w:val="20"/>
        </w:rPr>
        <w:t>fiscal years ended March 31, 2026, 2025 and 2024</w:t>
      </w:r>
      <w:r>
        <w:rPr>
          <w:rFonts w:ascii="Times New Roman;serif" w:hAnsi="Times New Roman;serif"/>
          <w:b w:val="false"/>
          <w:color w:val="231F2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157</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Lease expense components are as follows:</w:t>
      </w:r>
    </w:p>
    <w:tbl>
      <w:tblPr>
        <w:tblW w:w="5978" w:type="dxa"/>
        <w:jc w:val="left"/>
        <w:tblInd w:w="0" w:type="dxa"/>
        <w:tblLayout w:type="fixed"/>
        <w:tblCellMar>
          <w:top w:w="28" w:type="dxa"/>
          <w:left w:w="28" w:type="dxa"/>
          <w:bottom w:w="28" w:type="dxa"/>
          <w:right w:w="28" w:type="dxa"/>
        </w:tblCellMar>
      </w:tblPr>
      <w:tblGrid>
        <w:gridCol w:w="1053"/>
        <w:gridCol w:w="924"/>
        <w:gridCol w:w="932"/>
        <w:gridCol w:w="109"/>
        <w:gridCol w:w="109"/>
        <w:gridCol w:w="109"/>
        <w:gridCol w:w="211"/>
        <w:gridCol w:w="361"/>
        <w:gridCol w:w="109"/>
        <w:gridCol w:w="109"/>
        <w:gridCol w:w="109"/>
        <w:gridCol w:w="109"/>
        <w:gridCol w:w="211"/>
        <w:gridCol w:w="361"/>
        <w:gridCol w:w="109"/>
        <w:gridCol w:w="109"/>
        <w:gridCol w:w="109"/>
        <w:gridCol w:w="109"/>
        <w:gridCol w:w="211"/>
        <w:gridCol w:w="361"/>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Finance lease cost: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erif" w:hAnsi="Times New Roman;serif"/>
          <w:b w:val="false"/>
          <w:color w:val="231F20"/>
          <w:sz w:val="20"/>
        </w:rPr>
      </w:pPr>
      <w:r>
        <w:rPr>
          <w:rFonts w:ascii="Times New Roman;serif" w:hAnsi="Times New Roman;serif"/>
          <w:b w:val="false"/>
          <w:color w:val="231F20"/>
          <w:sz w:val="20"/>
        </w:rPr>
        <w:t>Supplemental disclosures of cash flow information related to leases are as follows:</w:t>
      </w:r>
    </w:p>
    <w:tbl>
      <w:tblPr>
        <w:tblW w:w="9188" w:type="dxa"/>
        <w:jc w:val="left"/>
        <w:tblInd w:w="0" w:type="dxa"/>
        <w:tblLayout w:type="fixed"/>
        <w:tblCellMar>
          <w:top w:w="28" w:type="dxa"/>
          <w:left w:w="28" w:type="dxa"/>
          <w:bottom w:w="28" w:type="dxa"/>
          <w:right w:w="28" w:type="dxa"/>
        </w:tblCellMar>
      </w:tblPr>
      <w:tblGrid>
        <w:gridCol w:w="2121"/>
        <w:gridCol w:w="1859"/>
        <w:gridCol w:w="1884"/>
        <w:gridCol w:w="109"/>
        <w:gridCol w:w="109"/>
        <w:gridCol w:w="109"/>
        <w:gridCol w:w="211"/>
        <w:gridCol w:w="436"/>
        <w:gridCol w:w="109"/>
        <w:gridCol w:w="109"/>
        <w:gridCol w:w="109"/>
        <w:gridCol w:w="109"/>
        <w:gridCol w:w="211"/>
        <w:gridCol w:w="466"/>
        <w:gridCol w:w="109"/>
        <w:gridCol w:w="109"/>
        <w:gridCol w:w="109"/>
        <w:gridCol w:w="109"/>
        <w:gridCol w:w="211"/>
        <w:gridCol w:w="436"/>
        <w:gridCol w:w="154"/>
      </w:tblGrid>
      <w:tr>
        <w:trPr/>
        <w:tc>
          <w:tcPr>
            <w:tcW w:w="2121"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used for 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used for 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used for 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Right-of-use assets obtained in exchange for lease obligations: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158</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Supplemental balance sheet information related to leases are as follows: </w:t>
      </w:r>
    </w:p>
    <w:tbl>
      <w:tblPr>
        <w:tblW w:w="8151" w:type="dxa"/>
        <w:jc w:val="left"/>
        <w:tblInd w:w="0" w:type="dxa"/>
        <w:tblLayout w:type="fixed"/>
        <w:tblCellMar>
          <w:top w:w="28" w:type="dxa"/>
          <w:left w:w="28" w:type="dxa"/>
          <w:bottom w:w="28" w:type="dxa"/>
          <w:right w:w="28" w:type="dxa"/>
        </w:tblCellMar>
      </w:tblPr>
      <w:tblGrid>
        <w:gridCol w:w="1654"/>
        <w:gridCol w:w="1457"/>
        <w:gridCol w:w="1463"/>
        <w:gridCol w:w="109"/>
        <w:gridCol w:w="109"/>
        <w:gridCol w:w="109"/>
        <w:gridCol w:w="320"/>
        <w:gridCol w:w="708"/>
        <w:gridCol w:w="411"/>
        <w:gridCol w:w="109"/>
        <w:gridCol w:w="109"/>
        <w:gridCol w:w="109"/>
        <w:gridCol w:w="315"/>
        <w:gridCol w:w="697"/>
        <w:gridCol w:w="472"/>
      </w:tblGrid>
      <w:tr>
        <w:trPr/>
        <w:tc>
          <w:tcPr>
            <w:tcW w:w="1654"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45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lease term and 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4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4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4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4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Remaining Lease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w:t>
            </w:r>
          </w:p>
        </w:tc>
      </w:tr>
      <w:tr>
        <w:trPr/>
        <w:tc>
          <w:tcPr>
            <w:tcW w:w="45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Weighted Average Discount 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47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47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40"/>
        <w:jc w:val="left"/>
        <w:rPr/>
      </w:pPr>
      <w:r>
        <w:rPr>
          <w:rFonts w:ascii="Times New Roman;serif" w:hAnsi="Times New Roman;serif"/>
          <w:b w:val="false"/>
          <w:color w:val="231F20"/>
          <w:sz w:val="20"/>
        </w:rPr>
        <w:t xml:space="preserve">Maturity of lease liabilities as of </w:t>
      </w:r>
      <w:r>
        <w:rPr>
          <w:rFonts w:ascii="Times New Roman;serif" w:hAnsi="Times New Roman;serif"/>
          <w:b w:val="false"/>
          <w:color w:val="000000"/>
          <w:sz w:val="20"/>
        </w:rPr>
        <w:t>March 31, 2026</w:t>
      </w:r>
      <w:r>
        <w:rPr>
          <w:color w:val="231F20"/>
        </w:rPr>
        <w:t xml:space="preserve"> </w:t>
      </w:r>
      <w:r>
        <w:rPr>
          <w:rFonts w:ascii="Times New Roman;serif" w:hAnsi="Times New Roman;serif"/>
          <w:b w:val="false"/>
          <w:color w:val="231F20"/>
          <w:sz w:val="20"/>
        </w:rPr>
        <w:t>is as follows (in millions):</w:t>
      </w:r>
    </w:p>
    <w:tbl>
      <w:tblPr>
        <w:tblW w:w="7104" w:type="dxa"/>
        <w:jc w:val="left"/>
        <w:tblInd w:w="0" w:type="dxa"/>
        <w:tblLayout w:type="fixed"/>
        <w:tblCellMar>
          <w:top w:w="28" w:type="dxa"/>
          <w:left w:w="28" w:type="dxa"/>
          <w:bottom w:w="28" w:type="dxa"/>
          <w:right w:w="28" w:type="dxa"/>
        </w:tblCellMar>
      </w:tblPr>
      <w:tblGrid>
        <w:gridCol w:w="1237"/>
        <w:gridCol w:w="1090"/>
        <w:gridCol w:w="1093"/>
        <w:gridCol w:w="109"/>
        <w:gridCol w:w="109"/>
        <w:gridCol w:w="109"/>
        <w:gridCol w:w="427"/>
        <w:gridCol w:w="942"/>
        <w:gridCol w:w="221"/>
        <w:gridCol w:w="109"/>
        <w:gridCol w:w="109"/>
        <w:gridCol w:w="109"/>
        <w:gridCol w:w="418"/>
        <w:gridCol w:w="715"/>
        <w:gridCol w:w="307"/>
      </w:tblGrid>
      <w:tr>
        <w:trPr/>
        <w:tc>
          <w:tcPr>
            <w:tcW w:w="123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r>
      <w:tr>
        <w:trPr/>
        <w:tc>
          <w:tcPr>
            <w:tcW w:w="3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lease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Less: current portion of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2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0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Non-current portion of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2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had seven leases signed but not yet commenced, with an aggregate lease value of approximately $76.0 million and lease terms expiring through 2035.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60"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159</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10 - Equity Investments</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A summary of the components of equity investments is as follows:</w:t>
      </w:r>
    </w:p>
    <w:tbl>
      <w:tblPr>
        <w:tblW w:w="7837" w:type="dxa"/>
        <w:jc w:val="left"/>
        <w:tblInd w:w="0" w:type="dxa"/>
        <w:tblLayout w:type="fixed"/>
        <w:tblCellMar>
          <w:top w:w="28" w:type="dxa"/>
          <w:left w:w="28" w:type="dxa"/>
          <w:bottom w:w="28" w:type="dxa"/>
          <w:right w:w="28" w:type="dxa"/>
        </w:tblCellMar>
      </w:tblPr>
      <w:tblGrid>
        <w:gridCol w:w="1542"/>
        <w:gridCol w:w="1353"/>
        <w:gridCol w:w="1364"/>
        <w:gridCol w:w="109"/>
        <w:gridCol w:w="109"/>
        <w:gridCol w:w="109"/>
        <w:gridCol w:w="386"/>
        <w:gridCol w:w="854"/>
        <w:gridCol w:w="199"/>
        <w:gridCol w:w="109"/>
        <w:gridCol w:w="109"/>
        <w:gridCol w:w="109"/>
        <w:gridCol w:w="377"/>
        <w:gridCol w:w="833"/>
        <w:gridCol w:w="275"/>
      </w:tblGrid>
      <w:tr>
        <w:trPr/>
        <w:tc>
          <w:tcPr>
            <w:tcW w:w="1542"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4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 under fair value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 in publicly listed companies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 under equity method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Non-marketable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erif" w:hAnsi="Times New Roman;serif"/>
          <w:b w:val="false"/>
          <w:color w:val="231F20"/>
          <w:sz w:val="20"/>
        </w:rPr>
      </w:pPr>
      <w:r>
        <w:rPr>
          <w:rFonts w:ascii="Times New Roman;serif" w:hAnsi="Times New Roman;serif"/>
          <w:b w:val="false"/>
          <w:color w:val="231F20"/>
          <w:sz w:val="20"/>
        </w:rPr>
        <w:t>Income (loss) from equity investments, net is as follows:</w:t>
      </w:r>
    </w:p>
    <w:tbl>
      <w:tblPr>
        <w:tblW w:w="7464" w:type="dxa"/>
        <w:jc w:val="left"/>
        <w:tblInd w:w="0" w:type="dxa"/>
        <w:tblLayout w:type="fixed"/>
        <w:tblCellMar>
          <w:top w:w="28" w:type="dxa"/>
          <w:left w:w="28" w:type="dxa"/>
          <w:bottom w:w="28" w:type="dxa"/>
          <w:right w:w="28" w:type="dxa"/>
        </w:tblCellMar>
      </w:tblPr>
      <w:tblGrid>
        <w:gridCol w:w="1499"/>
        <w:gridCol w:w="1315"/>
        <w:gridCol w:w="1326"/>
        <w:gridCol w:w="109"/>
        <w:gridCol w:w="109"/>
        <w:gridCol w:w="109"/>
        <w:gridCol w:w="211"/>
        <w:gridCol w:w="361"/>
        <w:gridCol w:w="109"/>
        <w:gridCol w:w="109"/>
        <w:gridCol w:w="109"/>
        <w:gridCol w:w="109"/>
        <w:gridCol w:w="211"/>
        <w:gridCol w:w="541"/>
        <w:gridCol w:w="109"/>
        <w:gridCol w:w="109"/>
        <w:gridCol w:w="109"/>
        <w:gridCol w:w="109"/>
        <w:gridCol w:w="211"/>
        <w:gridCol w:w="436"/>
        <w:gridCol w:w="154"/>
      </w:tblGrid>
      <w:tr>
        <w:trPr/>
        <w:tc>
          <w:tcPr>
            <w:tcW w:w="149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r>
      <w:tr>
        <w:trPr/>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 in publicly listed companies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Equity method investments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Non-marketable equity securities (includes 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hanging="360"/>
        <w:jc w:val="both"/>
        <w:rPr/>
      </w:pPr>
      <w:r>
        <w:rPr>
          <w:rFonts w:ascii="Times New Roman;serif" w:hAnsi="Times New Roman;serif"/>
          <w:b w:val="false"/>
          <w:color w:val="000000"/>
          <w:sz w:val="13"/>
        </w:rPr>
        <w:t>(1)</w:t>
      </w:r>
      <w:r>
        <w:rPr>
          <w:rFonts w:ascii="Times New Roman;serif" w:hAnsi="Times New Roman;serif"/>
          <w:b w:val="false"/>
          <w:color w:val="231F20"/>
          <w:sz w:val="20"/>
        </w:rPr>
        <w:t>Includes equity method investments where the Company elected the fair value option, including those under the net asset value (“NAV”) practical expedient, along with investments accounted for under the equity method.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Equity Method Investments</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Details of the Company’s equity method investments as of March 31, 2026 are as follows:</w:t>
      </w:r>
    </w:p>
    <w:p>
      <w:pPr>
        <w:pStyle w:val="TextBody"/>
        <w:bidi w:val="0"/>
        <w:spacing w:lineRule="auto" w:line="288" w:before="120" w:after="240"/>
        <w:jc w:val="left"/>
        <w:rPr>
          <w:rFonts w:ascii="Times New Roman;serif" w:hAnsi="Times New Roman;serif"/>
          <w:b w:val="false"/>
          <w:i/>
          <w:color w:val="000000"/>
          <w:sz w:val="20"/>
        </w:rPr>
      </w:pPr>
      <w:r>
        <w:rPr>
          <w:rFonts w:ascii="Times New Roman;serif" w:hAnsi="Times New Roman;serif"/>
          <w:b w:val="false"/>
          <w:i/>
          <w:color w:val="000000"/>
          <w:sz w:val="20"/>
        </w:rPr>
        <w:t>Investments under equity method of accounting:</w:t>
      </w:r>
    </w:p>
    <w:tbl>
      <w:tblPr>
        <w:tblW w:w="5877" w:type="dxa"/>
        <w:jc w:val="left"/>
        <w:tblInd w:w="0" w:type="dxa"/>
        <w:tblLayout w:type="fixed"/>
        <w:tblCellMar>
          <w:top w:w="28" w:type="dxa"/>
          <w:left w:w="28" w:type="dxa"/>
          <w:bottom w:w="28" w:type="dxa"/>
          <w:right w:w="28" w:type="dxa"/>
        </w:tblCellMar>
      </w:tblPr>
      <w:tblGrid>
        <w:gridCol w:w="1284"/>
        <w:gridCol w:w="1128"/>
        <w:gridCol w:w="1143"/>
        <w:gridCol w:w="109"/>
        <w:gridCol w:w="109"/>
        <w:gridCol w:w="109"/>
        <w:gridCol w:w="584"/>
        <w:gridCol w:w="584"/>
        <w:gridCol w:w="827"/>
      </w:tblGrid>
      <w:tr>
        <w:trPr/>
        <w:tc>
          <w:tcPr>
            <w:tcW w:w="1284"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Ownership Interest %</w:t>
            </w:r>
          </w:p>
        </w:tc>
      </w:tr>
      <w:tr>
        <w:trPr/>
        <w:tc>
          <w:tcPr>
            <w:tcW w:w="3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Arm IOT Fund LP (Taiwan)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25.8%</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Accelerator Advisory Limited</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16.1%</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HOPU-ARM Holding Company Limited</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DeepTech Labs Fund 1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37.0%</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Socratic Partners I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r>
    </w:tbl>
    <w:p>
      <w:pPr>
        <w:pStyle w:val="TextBody"/>
        <w:bidi w:val="0"/>
        <w:spacing w:lineRule="auto" w:line="288" w:before="60" w:after="120"/>
        <w:ind w:left="0" w:right="0" w:hanging="360"/>
        <w:jc w:val="both"/>
        <w:rPr/>
      </w:pPr>
      <w:r>
        <w:rPr>
          <w:rFonts w:ascii="Times New Roman;serif" w:hAnsi="Times New Roman;serif"/>
          <w:b w:val="false"/>
          <w:color w:val="231F20"/>
          <w:sz w:val="13"/>
        </w:rPr>
        <w:t>(1)    </w:t>
      </w:r>
      <w:r>
        <w:rPr>
          <w:rFonts w:ascii="Times New Roman;serif" w:hAnsi="Times New Roman;serif"/>
          <w:b w:val="false"/>
          <w:color w:val="231F20"/>
          <w:sz w:val="20"/>
        </w:rPr>
        <w:t>The Company’s investment in Accelerator Advisory Limited entitles the Company representation on the board of directors by virtue of the right to appoint one of four members of the board of directors. Accordingly, the Company has the ability to exercise significant influence over the operating and financial policies of Accelerator Advisory Limited.</w:t>
      </w:r>
    </w:p>
    <w:p>
      <w:pPr>
        <w:pStyle w:val="TextBody"/>
        <w:bidi w:val="0"/>
        <w:spacing w:lineRule="auto" w:line="288" w:before="60" w:after="240"/>
        <w:ind w:left="0" w:right="0" w:hanging="360"/>
        <w:jc w:val="both"/>
        <w:rPr/>
      </w:pPr>
      <w:r>
        <w:rPr>
          <w:rFonts w:ascii="Times New Roman;serif" w:hAnsi="Times New Roman;serif"/>
          <w:b w:val="false"/>
          <w:color w:val="231F20"/>
          <w:sz w:val="13"/>
        </w:rPr>
        <w:t>(2)    </w:t>
      </w:r>
      <w:r>
        <w:rPr>
          <w:rFonts w:ascii="Times New Roman;serif" w:hAnsi="Times New Roman;serif"/>
          <w:b w:val="false"/>
          <w:color w:val="231F20"/>
          <w:sz w:val="20"/>
        </w:rPr>
        <w:t>The Company’s investment in HOPU-ARM Holding Company Limited entitles the Company to a 10% equity interest in HOPU-ARM Holding Company Limited and representation on the board of directors by virtue of the right to appoint one of three members of the board of directors. Accordingly, the Company has the ability to exercise significant influence over the operating and financial policies of HOPU-ARM Holding Company Limited.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Investments in a limited liability company that maintains a specific ownership or limited partnerships which the Company has more than virtually no influence (i.e., at least 3% to 5% ownership) over the investee are accounted for using the equity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160</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Investments where fair value option elected (including those under the NAV practical expedient):</w:t>
      </w:r>
    </w:p>
    <w:tbl>
      <w:tblPr>
        <w:tblW w:w="6671" w:type="dxa"/>
        <w:jc w:val="left"/>
        <w:tblInd w:w="0" w:type="dxa"/>
        <w:tblLayout w:type="fixed"/>
        <w:tblCellMar>
          <w:top w:w="28" w:type="dxa"/>
          <w:left w:w="28" w:type="dxa"/>
          <w:bottom w:w="28" w:type="dxa"/>
          <w:right w:w="28" w:type="dxa"/>
        </w:tblCellMar>
      </w:tblPr>
      <w:tblGrid>
        <w:gridCol w:w="1573"/>
        <w:gridCol w:w="1382"/>
        <w:gridCol w:w="1394"/>
        <w:gridCol w:w="109"/>
        <w:gridCol w:w="109"/>
        <w:gridCol w:w="109"/>
        <w:gridCol w:w="584"/>
        <w:gridCol w:w="584"/>
        <w:gridCol w:w="827"/>
      </w:tblGrid>
      <w:tr>
        <w:trPr/>
        <w:tc>
          <w:tcPr>
            <w:tcW w:w="1573"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Ownership Interest %</w:t>
            </w:r>
          </w:p>
        </w:tc>
      </w:tr>
      <w:tr>
        <w:trPr/>
        <w:tc>
          <w:tcPr>
            <w:tcW w:w="4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Acetone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 Walden Ventures Investments II, L.P. —NAV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 Walden Ventures Investments III, L.P. —NAV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8.1%</w:t>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HOPU-ARM Innovation Fund, L.P. —NAV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Catapult Ventures I, L.P. —NAV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18.1%</w:t>
            </w:r>
          </w:p>
        </w:tc>
      </w:tr>
    </w:tbl>
    <w:p>
      <w:pPr>
        <w:pStyle w:val="TextBody"/>
        <w:bidi w:val="0"/>
        <w:spacing w:lineRule="auto" w:line="288" w:before="120" w:after="240"/>
        <w:jc w:val="both"/>
        <w:rPr/>
      </w:pPr>
      <w:r>
        <w:rPr>
          <w:rFonts w:ascii="Times New Roman;serif" w:hAnsi="Times New Roman;serif"/>
          <w:b w:val="false"/>
          <w:color w:val="000000"/>
          <w:sz w:val="20"/>
        </w:rPr>
        <w:t xml:space="preserve">The Company elected the fair value option to account for certain equity method investments in Acetone Limited and Ampere. See discussion below, along with </w:t>
      </w:r>
      <w:r>
        <w:rPr>
          <w:rFonts w:ascii="Times New Roman;serif" w:hAnsi="Times New Roman;serif"/>
          <w:b w:val="false"/>
          <w:i/>
          <w:color w:val="000000"/>
          <w:sz w:val="20"/>
        </w:rPr>
        <w:t>Note 13 - Fair Value</w:t>
      </w:r>
      <w:r>
        <w:rPr>
          <w:rFonts w:ascii="Times New Roman;serif" w:hAnsi="Times New Roman;serif"/>
          <w:b w:val="false"/>
          <w:color w:val="000000"/>
          <w:sz w:val="20"/>
        </w:rPr>
        <w:t>, for further information.</w:t>
      </w:r>
    </w:p>
    <w:p>
      <w:pPr>
        <w:pStyle w:val="TextBody"/>
        <w:bidi w:val="0"/>
        <w:spacing w:lineRule="auto" w:line="288" w:before="0" w:after="240"/>
        <w:jc w:val="both"/>
        <w:rPr/>
      </w:pPr>
      <w:r>
        <w:rPr>
          <w:rFonts w:ascii="Times New Roman;serif" w:hAnsi="Times New Roman;serif"/>
          <w:b w:val="false"/>
          <w:color w:val="000000"/>
          <w:sz w:val="20"/>
        </w:rPr>
        <w:t>For the fiscal years ended March 31, 2026,</w:t>
      </w:r>
      <w:r>
        <w:rPr>
          <w:color w:val="231F20"/>
        </w:rPr>
        <w:t xml:space="preserve"> </w:t>
      </w:r>
      <w:r>
        <w:rPr>
          <w:rFonts w:ascii="Times New Roman;serif" w:hAnsi="Times New Roman;serif"/>
          <w:b w:val="false"/>
          <w:color w:val="000000"/>
          <w:sz w:val="20"/>
        </w:rPr>
        <w:t xml:space="preserve">2025 and </w:t>
      </w:r>
      <w:r>
        <w:rPr>
          <w:rFonts w:ascii="Times New Roman;serif" w:hAnsi="Times New Roman;serif"/>
          <w:b w:val="false"/>
          <w:color w:val="231F20"/>
          <w:sz w:val="20"/>
        </w:rPr>
        <w:t>2024</w:t>
      </w:r>
      <w:r>
        <w:rPr>
          <w:rFonts w:ascii="Times New Roman;serif" w:hAnsi="Times New Roman;serif"/>
          <w:b w:val="false"/>
          <w:color w:val="000000"/>
          <w:sz w:val="20"/>
        </w:rPr>
        <w:t>, income (loss) from equity method investments not accounted under the fair value option or the NAV practical expedient was immaterial.</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holds equity method investments in funds accounted for under the fair value option that apply the NAV practical expedient. The estimated fair values of the Company’s equity securities at fair value that qualify for the NAV practical expedient were provided by the funds based on the indicated market values of the underlying assets or investment portfolios. As of March 31, 2026 and 2025, the carrying value of equity method investments under the fair value option measured at NAV was $91.3 million and $100.3 million, respectively. </w:t>
      </w:r>
    </w:p>
    <w:p>
      <w:pPr>
        <w:pStyle w:val="TextBody"/>
        <w:bidi w:val="0"/>
        <w:spacing w:lineRule="auto" w:line="288" w:before="120" w:after="240"/>
        <w:jc w:val="both"/>
        <w:rPr/>
      </w:pPr>
      <w:r>
        <w:rPr>
          <w:rFonts w:ascii="Times New Roman;serif" w:hAnsi="Times New Roman;serif"/>
          <w:b w:val="false"/>
          <w:color w:val="000000"/>
          <w:sz w:val="20"/>
        </w:rPr>
        <w:t xml:space="preserve">For the fiscal years ended March 31, 2026, 2025 and </w:t>
      </w:r>
      <w:r>
        <w:rPr>
          <w:rFonts w:ascii="Times New Roman;serif" w:hAnsi="Times New Roman;serif"/>
          <w:b w:val="false"/>
          <w:color w:val="231F20"/>
          <w:sz w:val="20"/>
        </w:rPr>
        <w:t>2024,</w:t>
      </w:r>
      <w:r>
        <w:rPr>
          <w:color w:val="000000"/>
        </w:rPr>
        <w:t xml:space="preserve"> </w:t>
      </w:r>
      <w:r>
        <w:rPr>
          <w:rFonts w:ascii="Times New Roman;serif" w:hAnsi="Times New Roman;serif"/>
          <w:b w:val="false"/>
          <w:color w:val="000000"/>
          <w:sz w:val="20"/>
        </w:rPr>
        <w:t>the Company recognized losses from changes in fair value of $6.7 million, $6.0 million, and $2.8 million, respectively, for equity method investments accounted for under the NAV practical expedient. Changes in fair value are recorded through income (loss) from equity investments, net in the Consolidated Income Statements.</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Acetone Limited</w:t>
      </w:r>
    </w:p>
    <w:p>
      <w:pPr>
        <w:pStyle w:val="TextBody"/>
        <w:bidi w:val="0"/>
        <w:spacing w:lineRule="auto" w:line="288" w:before="120" w:after="240"/>
        <w:jc w:val="both"/>
        <w:rPr/>
      </w:pPr>
      <w:r>
        <w:rPr>
          <w:rFonts w:ascii="Times New Roman;serif" w:hAnsi="Times New Roman;serif"/>
          <w:b w:val="false"/>
          <w:color w:val="231F20"/>
          <w:sz w:val="20"/>
        </w:rPr>
        <w:t xml:space="preserve">As </w:t>
      </w:r>
      <w:r>
        <w:rPr>
          <w:rFonts w:ascii="Times New Roman;serif" w:hAnsi="Times New Roman;serif"/>
          <w:b w:val="false"/>
          <w:color w:val="000000"/>
          <w:sz w:val="20"/>
        </w:rPr>
        <w:t>of March 31, 2026 and 2025</w:t>
      </w:r>
      <w:r>
        <w:rPr>
          <w:rFonts w:ascii="Times New Roman;serif" w:hAnsi="Times New Roman;serif"/>
          <w:b w:val="false"/>
          <w:color w:val="231F20"/>
          <w:sz w:val="20"/>
        </w:rPr>
        <w:t xml:space="preserve">, the carrying value of </w:t>
      </w:r>
      <w:r>
        <w:rPr>
          <w:rFonts w:ascii="Times New Roman;serif" w:hAnsi="Times New Roman;serif"/>
          <w:b w:val="false"/>
          <w:color w:val="000000"/>
          <w:sz w:val="20"/>
        </w:rPr>
        <w:t>the Company’s</w:t>
      </w:r>
      <w:r>
        <w:rPr>
          <w:color w:val="231F20"/>
        </w:rPr>
        <w:t xml:space="preserve"> </w:t>
      </w:r>
      <w:r>
        <w:rPr>
          <w:rFonts w:ascii="Times New Roman;serif" w:hAnsi="Times New Roman;serif"/>
          <w:b w:val="false"/>
          <w:color w:val="231F20"/>
          <w:sz w:val="20"/>
        </w:rPr>
        <w:t xml:space="preserve">equity </w:t>
      </w:r>
      <w:r>
        <w:rPr>
          <w:rFonts w:ascii="Times New Roman;serif" w:hAnsi="Times New Roman;serif"/>
          <w:b w:val="false"/>
          <w:color w:val="000000"/>
          <w:sz w:val="20"/>
        </w:rPr>
        <w:t>method investment in Acetone Limited was</w:t>
      </w:r>
      <w:r>
        <w:rPr>
          <w:color w:val="231F20"/>
        </w:rPr>
        <w:t xml:space="preserve"> </w:t>
      </w:r>
      <w:r>
        <w:rPr>
          <w:rFonts w:ascii="Times New Roman;serif" w:hAnsi="Times New Roman;serif"/>
          <w:b w:val="false"/>
          <w:color w:val="231F20"/>
          <w:sz w:val="20"/>
        </w:rPr>
        <w:t xml:space="preserve">$56.5 million. For the </w:t>
      </w:r>
      <w:r>
        <w:rPr>
          <w:rFonts w:ascii="Times New Roman;serif" w:hAnsi="Times New Roman;serif"/>
          <w:b w:val="false"/>
          <w:color w:val="000000"/>
          <w:sz w:val="20"/>
        </w:rPr>
        <w:t xml:space="preserve">fiscal year ended March 31, 2026, </w:t>
      </w:r>
      <w:r>
        <w:rPr>
          <w:rFonts w:ascii="Times New Roman;serif" w:hAnsi="Times New Roman;serif"/>
          <w:b w:val="false"/>
          <w:color w:val="231F20"/>
          <w:sz w:val="20"/>
        </w:rPr>
        <w:t xml:space="preserve">the Company did not recognize fair value losses with respect to its investment in Acetone Limited. For the </w:t>
      </w:r>
      <w:r>
        <w:rPr>
          <w:rFonts w:ascii="Times New Roman;serif" w:hAnsi="Times New Roman;serif"/>
          <w:b w:val="false"/>
          <w:color w:val="000000"/>
          <w:sz w:val="20"/>
        </w:rPr>
        <w:t>fiscal years ended March 31, 2025</w:t>
      </w:r>
      <w:r>
        <w:rPr>
          <w:color w:val="231F20"/>
        </w:rPr>
        <w:t xml:space="preserve"> </w:t>
      </w:r>
      <w:r>
        <w:rPr>
          <w:rFonts w:ascii="Times New Roman;serif" w:hAnsi="Times New Roman;serif"/>
          <w:b w:val="false"/>
          <w:color w:val="000000"/>
          <w:sz w:val="20"/>
        </w:rPr>
        <w:t>and 2024</w:t>
      </w:r>
      <w:r>
        <w:rPr>
          <w:rFonts w:ascii="Times New Roman;serif" w:hAnsi="Times New Roman;serif"/>
          <w:b w:val="false"/>
          <w:color w:val="231F20"/>
          <w:sz w:val="20"/>
        </w:rPr>
        <w:t xml:space="preserve">, the Company recognized fair value losses with respect to its investment in Acetone Limited of </w:t>
      </w:r>
      <w:r>
        <w:rPr>
          <w:rFonts w:ascii="Times New Roman;serif" w:hAnsi="Times New Roman;serif"/>
          <w:b w:val="false"/>
          <w:color w:val="000000"/>
          <w:sz w:val="20"/>
        </w:rPr>
        <w:t>$20.0 million</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$15.9 million,</w:t>
      </w:r>
      <w:r>
        <w:rPr>
          <w:color w:val="231F20"/>
        </w:rPr>
        <w:t xml:space="preserve"> </w:t>
      </w:r>
      <w:r>
        <w:rPr>
          <w:rFonts w:ascii="Times New Roman;serif" w:hAnsi="Times New Roman;serif"/>
          <w:b w:val="false"/>
          <w:color w:val="231F20"/>
          <w:sz w:val="20"/>
        </w:rPr>
        <w:t xml:space="preserve">respectively, in </w:t>
      </w:r>
      <w:r>
        <w:rPr>
          <w:rFonts w:ascii="Times New Roman;serif" w:hAnsi="Times New Roman;serif"/>
          <w:b w:val="false"/>
          <w:color w:val="000000"/>
          <w:sz w:val="20"/>
        </w:rPr>
        <w:t>income (loss) from equity investments, net in the Consolidated Income Statements</w:t>
      </w:r>
      <w:r>
        <w:rPr>
          <w:rFonts w:ascii="Times New Roman;serif" w:hAnsi="Times New Roman;serif"/>
          <w:b w:val="false"/>
          <w:color w:val="231F20"/>
          <w:sz w:val="20"/>
        </w:rPr>
        <w:t xml:space="preserve">. </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Ampere</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On March 19, 2025, SoftBank Group Corp. (“SoftBank Group”) announced that it entered into an agreement to acquire all of the outstanding equity interests of Ampere. The transaction closed in November 2025. In December 2025, the Company, as a minority shareholder of Ampere, received $143.4 million in gross proceeds for its equity interest in Ampere and $39.3 million from the settlement of the convertible promissory note with Ampere.</w:t>
      </w:r>
    </w:p>
    <w:p>
      <w:pPr>
        <w:pStyle w:val="TextBody"/>
        <w:bidi w:val="0"/>
        <w:spacing w:lineRule="auto" w:line="288" w:before="0" w:after="240"/>
        <w:jc w:val="both"/>
        <w:rPr/>
      </w:pPr>
      <w:r>
        <w:rPr>
          <w:rFonts w:ascii="Times New Roman;serif" w:hAnsi="Times New Roman;serif"/>
          <w:b w:val="false"/>
          <w:color w:val="000000"/>
          <w:sz w:val="20"/>
        </w:rPr>
        <w:t>As of March 31, 2025, the carrying value of the Company’s equity method investment in Ampere was $143.4 million. As of March 31, 2026, the Company’s equity method investment in Ampere was no longer outstanding as a result of SoftBank Group’s acquisition of all of the outstanding equity interests of Ampere. For the fiscal years ended March 31, 2026 and 2024</w:t>
      </w:r>
      <w:r>
        <w:rPr>
          <w:rFonts w:ascii="Times New Roman;serif" w:hAnsi="Times New Roman;serif"/>
          <w:b w:val="false"/>
          <w:color w:val="231F20"/>
          <w:sz w:val="20"/>
        </w:rPr>
        <w:t xml:space="preserve">, </w:t>
      </w:r>
      <w:r>
        <w:rPr>
          <w:rFonts w:ascii="Times New Roman;serif" w:hAnsi="Times New Roman;serif"/>
          <w:b w:val="false"/>
          <w:color w:val="000000"/>
          <w:sz w:val="20"/>
          <w:shd w:fill="FFFFFF" w:val="clear"/>
        </w:rPr>
        <w:t>the Company did not recognize any fair v</w:t>
      </w:r>
      <w:r>
        <w:rPr>
          <w:rFonts w:ascii="Times New Roman;serif" w:hAnsi="Times New Roman;serif"/>
          <w:b w:val="false"/>
          <w:color w:val="000000"/>
          <w:sz w:val="20"/>
        </w:rPr>
        <w:t>alue gains or losses with respect to its equity method investment in Ampere in the Consolidated Income Statements. For the fiscal year ended March 31, 2025,</w:t>
      </w:r>
      <w:r>
        <w:rPr>
          <w:color w:val="231F20"/>
        </w:rPr>
        <w:t xml:space="preserve"> </w:t>
      </w:r>
      <w:r>
        <w:rPr>
          <w:rFonts w:ascii="Times New Roman;serif" w:hAnsi="Times New Roman;serif"/>
          <w:b w:val="false"/>
          <w:color w:val="000000"/>
          <w:sz w:val="20"/>
        </w:rPr>
        <w:t xml:space="preserve">the Company recognized fair value losses with respect to its investment in Ampere of </w:t>
      </w:r>
      <w:r>
        <w:rPr>
          <w:rFonts w:ascii="Times New Roman;serif" w:hAnsi="Times New Roman;serif"/>
          <w:b w:val="false"/>
          <w:color w:val="231F20"/>
          <w:sz w:val="20"/>
        </w:rPr>
        <w:t>$246.4 million in income (loss) from equity investments, net in the Consolidated Income Statements.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had no outstanding balance related to the convertible promissory note with Ampere. As of March 31, 2025, the outstanding balance of the convertible promissory note with Ampere was $33.8 million, which is included in other non-current assets on the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2"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161</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Equity investments in publicly listed companies</w:t>
      </w:r>
    </w:p>
    <w:p>
      <w:pPr>
        <w:pStyle w:val="TextBody"/>
        <w:bidi w:val="0"/>
        <w:spacing w:lineRule="auto" w:line="288" w:before="120" w:after="240"/>
        <w:jc w:val="both"/>
        <w:rPr/>
      </w:pPr>
      <w:r>
        <w:rPr>
          <w:rFonts w:ascii="Times New Roman;serif" w:hAnsi="Times New Roman;serif"/>
          <w:b w:val="false"/>
          <w:color w:val="000000"/>
          <w:sz w:val="20"/>
        </w:rPr>
        <w:t>As of March 31, 2026 and March 31, 2025, the carrying value of the Company’s equity investments in publicly listed companies was $96.1 million and $97.9 million, respectively. For the fiscal years ended March 31, 2026</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2025</w:t>
      </w:r>
      <w:r>
        <w:rPr>
          <w:rFonts w:ascii="Times New Roman;serif" w:hAnsi="Times New Roman;serif"/>
          <w:b w:val="false"/>
          <w:color w:val="231F20"/>
          <w:sz w:val="20"/>
        </w:rPr>
        <w:t xml:space="preserve">, the Company recognized fair value gains and (losses) with respect to its equity investments in publicly listed companies of </w:t>
      </w:r>
      <w:r>
        <w:rPr>
          <w:rFonts w:ascii="Times New Roman;serif" w:hAnsi="Times New Roman;serif"/>
          <w:b w:val="false"/>
          <w:color w:val="000000"/>
          <w:sz w:val="20"/>
        </w:rPr>
        <w:t xml:space="preserve">$(5.6) million and $42.6 million, respectively, </w:t>
      </w:r>
      <w:r>
        <w:rPr>
          <w:rFonts w:ascii="Times New Roman;serif" w:hAnsi="Times New Roman;serif"/>
          <w:b w:val="false"/>
          <w:color w:val="231F20"/>
          <w:sz w:val="20"/>
        </w:rPr>
        <w:t xml:space="preserve">in </w:t>
      </w:r>
      <w:r>
        <w:rPr>
          <w:rFonts w:ascii="Times New Roman;serif" w:hAnsi="Times New Roman;serif"/>
          <w:b w:val="false"/>
          <w:color w:val="000000"/>
          <w:sz w:val="20"/>
        </w:rPr>
        <w:t>income (loss) from equity investments, net in the Consolidated Income Statements</w:t>
      </w:r>
      <w:r>
        <w:rPr>
          <w:rFonts w:ascii="Times New Roman;serif" w:hAnsi="Times New Roman;serif"/>
          <w:b w:val="false"/>
          <w:color w:val="231F20"/>
          <w:sz w:val="20"/>
        </w:rPr>
        <w:t>.</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Non-marketable Equity Securities</w:t>
      </w:r>
    </w:p>
    <w:p>
      <w:pPr>
        <w:pStyle w:val="TextBody"/>
        <w:bidi w:val="0"/>
        <w:spacing w:lineRule="auto" w:line="288" w:before="120" w:after="240"/>
        <w:jc w:val="both"/>
        <w:rPr/>
      </w:pPr>
      <w:r>
        <w:rPr>
          <w:rFonts w:ascii="Times New Roman;serif" w:hAnsi="Times New Roman;serif"/>
          <w:b w:val="false"/>
          <w:color w:val="000000"/>
          <w:sz w:val="20"/>
        </w:rPr>
        <w:t xml:space="preserve">Non-marketable securities are those for which the Company does not have significant influence or control. These represent either direct or indirect, through a capital fund, investments in unlisted early-stage development enterprises which are generating value for shareholders through research and development activities. The Company holds equity interests in certain funds which are accounted for under the NAV practical expedient. As of March 31, 2026 and 2025, the carrying value of assets measured at NAV was $27.2 million and $15.7 million, respectively. For the fiscal years ended March 31, 2026, 2025 and </w:t>
      </w:r>
      <w:r>
        <w:rPr>
          <w:rFonts w:ascii="Times New Roman;serif" w:hAnsi="Times New Roman;serif"/>
          <w:b w:val="false"/>
          <w:color w:val="231F20"/>
          <w:sz w:val="20"/>
        </w:rPr>
        <w:t>2024</w:t>
      </w:r>
      <w:r>
        <w:rPr>
          <w:rFonts w:ascii="Times New Roman;serif" w:hAnsi="Times New Roman;serif"/>
          <w:b w:val="false"/>
          <w:color w:val="000000"/>
          <w:sz w:val="20"/>
        </w:rPr>
        <w:t>, the Company recognized gains and (losses) of $5.1 million, $(2.2) million and $0.5 million, respectively, from changes in fair value for non-marketable securities accounted for under the NAV practical expedient.</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Historically, the Company had an unrecognized trade receivable with a customer given the collectability of substantially all of the consideration was not probable. In the fiscal year ended March 31, 2024, the Company invested in non-marketable preferred stock from the customer in exchange for the conversion of the trade receivables for $4.6 million. Currently, the Company does not recognize any revenue and receivables due to not meeting the collectability criterion under ASC 606, Revenue from Contracts with Customers. The Company does not have significant influence or control over the customer and elected to apply the measurement alternative for this investment.</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As of March 31, 2026 and March 31, 2025, the carrying value of the Company’s preference shares of Kigen (UK) Limited (“Kigen”), an entity indirectly partially owned by SoftBank Vision Fund L.P., was $16.4 million and $15.0 million, respectively. During the fiscal year ended March 31, 2026, the Company invested another $1.4 million in cash in exchange for preference shares of Kigen. The preference shares are convertible into common shares of Kigen and are entitled to full dividends, distribution and voting rights. The Company does not have significant influence or control over Kigen and elected to apply the measurement alternative for this investment.</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The Company elected to apply the measurement alternative to all other non-marketable equity securities. Under the measurement alternative, these equity securities are recorded at cost minus impairment, if any, plus or minus changes resulting from qualifying observable price changes in orderly transactions.</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The components of gains and (losses), which primarily include unrealized gains and losses on non-marketable securities inclusive of those measured under the NAV practical expedient, are as follows:</w:t>
      </w:r>
    </w:p>
    <w:tbl>
      <w:tblPr>
        <w:tblW w:w="9864" w:type="dxa"/>
        <w:jc w:val="left"/>
        <w:tblInd w:w="0" w:type="dxa"/>
        <w:tblLayout w:type="fixed"/>
        <w:tblCellMar>
          <w:top w:w="28" w:type="dxa"/>
          <w:left w:w="28" w:type="dxa"/>
          <w:bottom w:w="28" w:type="dxa"/>
          <w:right w:w="28" w:type="dxa"/>
        </w:tblCellMar>
      </w:tblPr>
      <w:tblGrid>
        <w:gridCol w:w="2447"/>
        <w:gridCol w:w="2147"/>
        <w:gridCol w:w="2171"/>
        <w:gridCol w:w="109"/>
        <w:gridCol w:w="109"/>
        <w:gridCol w:w="109"/>
        <w:gridCol w:w="211"/>
        <w:gridCol w:w="376"/>
        <w:gridCol w:w="109"/>
        <w:gridCol w:w="109"/>
        <w:gridCol w:w="109"/>
        <w:gridCol w:w="109"/>
        <w:gridCol w:w="211"/>
        <w:gridCol w:w="331"/>
        <w:gridCol w:w="109"/>
        <w:gridCol w:w="109"/>
        <w:gridCol w:w="109"/>
        <w:gridCol w:w="109"/>
        <w:gridCol w:w="211"/>
        <w:gridCol w:w="406"/>
        <w:gridCol w:w="154"/>
      </w:tblGrid>
      <w:tr>
        <w:trPr/>
        <w:tc>
          <w:tcPr>
            <w:tcW w:w="2447"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r>
      <w:tr>
        <w:trPr/>
        <w:tc>
          <w:tcPr>
            <w:tcW w:w="6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Observable price adjustments on non-marketable equity securities (includes 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non-marketable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Total income (loss) from equity investments in non-marketable securities, net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40"/>
        <w:jc w:val="both"/>
        <w:rPr>
          <w:rFonts w:ascii="Times New Roman;serif" w:hAnsi="Times New Roman;serif"/>
          <w:b w:val="false"/>
          <w:color w:val="000000"/>
          <w:sz w:val="20"/>
        </w:rPr>
      </w:pPr>
      <w:r>
        <w:rPr>
          <w:rFonts w:ascii="Times New Roman;serif" w:hAnsi="Times New Roman;serif"/>
          <w:b w:val="false"/>
          <w:color w:val="000000"/>
          <w:sz w:val="20"/>
        </w:rPr>
        <w:t>Arduino SA (“Arduino”) was an investment in which the Company had significant influence. The Company no longer has significant influence in Arduino in connection with its acquisition by a third party. Therefore, Arduino is no longer considered a related party. During the fiscal year ended March 31, 2026, the Company received $50.5 million in liquidation proceeds from Arduino.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3"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162</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both"/>
        <w:rPr/>
      </w:pPr>
      <w:r>
        <w:rPr>
          <w:rFonts w:ascii="Times New Roman;serif" w:hAnsi="Times New Roman;serif"/>
          <w:b w:val="false"/>
          <w:color w:val="000000"/>
          <w:sz w:val="20"/>
        </w:rPr>
        <w:t>All equity method investments held by the Company are considered long-term to enable ecosystem growth and are non-current assets. For the fiscal years ended March 31, 2026, 2025 and 2024, the Company recognized $6.1 million, $7.5 million and $5.2 million, respectively, in dividends from equity investments measured using the NAV practical expedient. The total amount of financial commitments to existing investees of the Company not provided for in the consolidated financial statements was $25.6 million</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$28.1 million</w:t>
      </w:r>
      <w:r>
        <w:rPr>
          <w:color w:val="231F20"/>
        </w:rPr>
        <w:t xml:space="preserve"> </w:t>
      </w:r>
      <w:r>
        <w:rPr>
          <w:rFonts w:ascii="Times New Roman;serif" w:hAnsi="Times New Roman;serif"/>
          <w:b w:val="false"/>
          <w:color w:val="000000"/>
          <w:sz w:val="20"/>
        </w:rPr>
        <w:t>as of March 31, 2026 and 2025, respectively</w:t>
      </w:r>
      <w:r>
        <w:rPr>
          <w:rFonts w:ascii="Times New Roman;serif" w:hAnsi="Times New Roman;serif"/>
          <w:b w:val="false"/>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11 - Financial Instruments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Loans and Other Receivables</w:t>
      </w:r>
    </w:p>
    <w:p>
      <w:pPr>
        <w:pStyle w:val="TextBody"/>
        <w:bidi w:val="0"/>
        <w:spacing w:lineRule="auto" w:line="288" w:before="120" w:after="240"/>
        <w:jc w:val="left"/>
        <w:rPr/>
      </w:pPr>
      <w:r>
        <w:rPr>
          <w:rFonts w:ascii="Times New Roman;serif" w:hAnsi="Times New Roman;serif"/>
          <w:b w:val="false"/>
          <w:color w:val="231F20"/>
          <w:sz w:val="20"/>
        </w:rPr>
        <w:t xml:space="preserve">Loans and other receivables carried at amortized cost, included in </w:t>
      </w:r>
      <w:r>
        <w:rPr>
          <w:rFonts w:ascii="Times New Roman;serif" w:hAnsi="Times New Roman;serif"/>
          <w:b w:val="false"/>
          <w:color w:val="000000"/>
          <w:sz w:val="20"/>
        </w:rPr>
        <w:t xml:space="preserve">prepaid expenses and other current assets and </w:t>
      </w:r>
      <w:r>
        <w:rPr>
          <w:rFonts w:ascii="Times New Roman;serif" w:hAnsi="Times New Roman;serif"/>
          <w:b w:val="false"/>
          <w:color w:val="231F20"/>
          <w:sz w:val="20"/>
        </w:rPr>
        <w:t>other non-current assets on the Consolidated Balance Sheets, is as follows:</w:t>
      </w:r>
    </w:p>
    <w:tbl>
      <w:tblPr>
        <w:tblW w:w="8602" w:type="dxa"/>
        <w:jc w:val="left"/>
        <w:tblInd w:w="0" w:type="dxa"/>
        <w:tblLayout w:type="fixed"/>
        <w:tblCellMar>
          <w:top w:w="28" w:type="dxa"/>
          <w:left w:w="28" w:type="dxa"/>
          <w:bottom w:w="28" w:type="dxa"/>
          <w:right w:w="28" w:type="dxa"/>
        </w:tblCellMar>
      </w:tblPr>
      <w:tblGrid>
        <w:gridCol w:w="1819"/>
        <w:gridCol w:w="1596"/>
        <w:gridCol w:w="1610"/>
        <w:gridCol w:w="109"/>
        <w:gridCol w:w="109"/>
        <w:gridCol w:w="109"/>
        <w:gridCol w:w="446"/>
        <w:gridCol w:w="763"/>
        <w:gridCol w:w="230"/>
        <w:gridCol w:w="109"/>
        <w:gridCol w:w="109"/>
        <w:gridCol w:w="109"/>
        <w:gridCol w:w="431"/>
        <w:gridCol w:w="738"/>
        <w:gridCol w:w="315"/>
      </w:tblGrid>
      <w:tr>
        <w:trPr/>
        <w:tc>
          <w:tcPr>
            <w:tcW w:w="1819"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5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Loans and other receivables carried at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current expected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1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Loans and other receivables carried at amortized cost,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The allowance for current expected credit losses reflects the Company’s best estimate of expected credit losses of the receivables portfolio determined on the basis of historical experience, current information, and forecasts of future economic conditions.</w:t>
      </w:r>
    </w:p>
    <w:p>
      <w:pPr>
        <w:pStyle w:val="TextBody"/>
        <w:bidi w:val="0"/>
        <w:spacing w:lineRule="auto" w:line="288" w:before="120" w:after="240"/>
        <w:jc w:val="left"/>
        <w:rPr>
          <w:rFonts w:ascii="Times New Roman;serif" w:hAnsi="Times New Roman;serif"/>
          <w:b w:val="false"/>
          <w:i/>
          <w:color w:val="000000"/>
          <w:sz w:val="20"/>
        </w:rPr>
      </w:pPr>
      <w:r>
        <w:rPr>
          <w:rFonts w:ascii="Times New Roman;serif" w:hAnsi="Times New Roman;serif"/>
          <w:b w:val="false"/>
          <w:i/>
          <w:color w:val="000000"/>
          <w:sz w:val="20"/>
        </w:rPr>
        <w:t>Loans receivable</w:t>
      </w:r>
    </w:p>
    <w:p>
      <w:pPr>
        <w:pStyle w:val="TextBody"/>
        <w:bidi w:val="0"/>
        <w:spacing w:lineRule="auto" w:line="288" w:before="120" w:after="24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231F20"/>
          <w:sz w:val="20"/>
          <w:shd w:fill="FFFFFF" w:val="clear"/>
        </w:rPr>
        <w:t>March 31, 2025,</w:t>
      </w:r>
      <w:r>
        <w:rPr>
          <w:color w:val="000000"/>
          <w:shd w:fill="FFFFFF" w:val="clear"/>
        </w:rPr>
        <w:t xml:space="preserve"> </w:t>
      </w:r>
      <w:r>
        <w:rPr>
          <w:rFonts w:ascii="Times New Roman;serif" w:hAnsi="Times New Roman;serif"/>
          <w:b w:val="false"/>
          <w:color w:val="231F20"/>
          <w:sz w:val="20"/>
          <w:shd w:fill="FFFFFF" w:val="clear"/>
        </w:rPr>
        <w:t xml:space="preserve">the Company had a loan receivable of </w:t>
      </w:r>
      <w:r>
        <w:rPr>
          <w:rFonts w:ascii="Times New Roman;serif" w:hAnsi="Times New Roman;serif"/>
          <w:b w:val="false"/>
          <w:color w:val="000000"/>
          <w:sz w:val="20"/>
          <w:shd w:fill="FFFFFF" w:val="clear"/>
        </w:rPr>
        <w:t>$16.6 million from Arduino, previously a related party, that was fully reserved for under the current expected credit loss reserve.</w:t>
      </w:r>
      <w:r>
        <w:rPr>
          <w:color w:val="231F20"/>
          <w:shd w:fill="FFFFFF" w:val="clear"/>
        </w:rPr>
        <w:t xml:space="preserve"> </w:t>
      </w:r>
      <w:r>
        <w:rPr>
          <w:rFonts w:ascii="Times New Roman;serif" w:hAnsi="Times New Roman;serif"/>
          <w:b w:val="false"/>
          <w:color w:val="000000"/>
          <w:sz w:val="20"/>
        </w:rPr>
        <w:t>During the fiscal year ended March 31, 2026</w:t>
      </w:r>
      <w:r>
        <w:rPr>
          <w:rFonts w:ascii="Times New Roman;serif" w:hAnsi="Times New Roman;serif"/>
          <w:b w:val="false"/>
          <w:color w:val="231F20"/>
          <w:sz w:val="20"/>
          <w:shd w:fill="FFFFFF" w:val="clear"/>
        </w:rPr>
        <w:t xml:space="preserve">, the Company recognized a reversal for the current expected credit loss reserve with respect to its loan receivable from Arduino of </w:t>
      </w:r>
      <w:r>
        <w:rPr>
          <w:rFonts w:ascii="Times New Roman;serif" w:hAnsi="Times New Roman;serif"/>
          <w:b w:val="false"/>
          <w:color w:val="000000"/>
          <w:sz w:val="20"/>
          <w:shd w:fill="FFFFFF" w:val="clear"/>
        </w:rPr>
        <w:t>$16.8 million</w:t>
      </w:r>
      <w:r>
        <w:rPr>
          <w:color w:val="000000"/>
        </w:rPr>
        <w:t xml:space="preserve"> </w:t>
      </w:r>
      <w:r>
        <w:rPr>
          <w:rFonts w:ascii="Times New Roman;serif" w:hAnsi="Times New Roman;serif"/>
          <w:b w:val="false"/>
          <w:color w:val="000000"/>
          <w:sz w:val="20"/>
        </w:rPr>
        <w:t>in</w:t>
      </w:r>
      <w:r>
        <w:rPr>
          <w:color w:val="231F20"/>
          <w:shd w:fill="FFFFFF" w:val="clear"/>
        </w:rPr>
        <w:t xml:space="preserve"> </w:t>
      </w:r>
      <w:r>
        <w:rPr>
          <w:rFonts w:ascii="Times New Roman;serif" w:hAnsi="Times New Roman;serif"/>
          <w:b w:val="false"/>
          <w:color w:val="231F20"/>
          <w:sz w:val="20"/>
          <w:shd w:fill="FFFFFF" w:val="clear"/>
        </w:rPr>
        <w:t xml:space="preserve">selling, general, and administrative expenses in the Consolidated Income Statements. In October 2025, the Company received </w:t>
      </w:r>
      <w:r>
        <w:rPr>
          <w:rFonts w:ascii="Times New Roman;serif" w:hAnsi="Times New Roman;serif"/>
          <w:b w:val="false"/>
          <w:color w:val="000000"/>
          <w:sz w:val="20"/>
          <w:shd w:fill="FFFFFF" w:val="clear"/>
        </w:rPr>
        <w:t>$16.9 million</w:t>
      </w:r>
      <w:r>
        <w:rPr>
          <w:color w:val="000000"/>
        </w:rPr>
        <w:t xml:space="preserve"> </w:t>
      </w:r>
      <w:r>
        <w:rPr>
          <w:rFonts w:ascii="Times New Roman;serif" w:hAnsi="Times New Roman;serif"/>
          <w:b w:val="false"/>
          <w:color w:val="000000"/>
          <w:sz w:val="20"/>
        </w:rPr>
        <w:t xml:space="preserve">for the full repayment of the loan receivable from Arduino in connection with Arduino’s acquisition by a third party. </w:t>
      </w:r>
    </w:p>
    <w:p>
      <w:pPr>
        <w:pStyle w:val="TextBody"/>
        <w:bidi w:val="0"/>
        <w:spacing w:lineRule="auto" w:line="288" w:before="120" w:after="240"/>
        <w:jc w:val="both"/>
        <w:rPr/>
      </w:pPr>
      <w:r>
        <w:rPr>
          <w:rFonts w:ascii="Times New Roman;serif" w:hAnsi="Times New Roman;serif"/>
          <w:b w:val="false"/>
          <w:color w:val="000000"/>
          <w:sz w:val="20"/>
        </w:rPr>
        <w:t>As of March 31, 2026 and 2025, the Company had a</w:t>
      </w:r>
      <w:r>
        <w:rPr>
          <w:color w:val="231F20"/>
        </w:rPr>
        <w:t xml:space="preserve"> </w:t>
      </w:r>
      <w:r>
        <w:rPr>
          <w:rFonts w:ascii="Times New Roman;serif" w:hAnsi="Times New Roman;serif"/>
          <w:b w:val="false"/>
          <w:color w:val="231F20"/>
          <w:sz w:val="20"/>
        </w:rPr>
        <w:t xml:space="preserve">four-year loan of $3.2 million issued to Cerfe Labs, Inc, a related party, that was </w:t>
      </w:r>
      <w:r>
        <w:rPr>
          <w:rFonts w:ascii="Times New Roman;serif" w:hAnsi="Times New Roman;serif"/>
          <w:b w:val="false"/>
          <w:color w:val="231F20"/>
          <w:sz w:val="20"/>
          <w:shd w:fill="FFFFFF" w:val="clear"/>
        </w:rPr>
        <w:t>fully reserved for under the current expected credit loss reserve for the periods presented</w:t>
      </w:r>
      <w:r>
        <w:rPr>
          <w:rFonts w:ascii="Times New Roman;serif" w:hAnsi="Times New Roman;serif"/>
          <w:b w:val="false"/>
          <w:color w:val="231F20"/>
          <w:sz w:val="20"/>
        </w:rPr>
        <w:t>.</w:t>
      </w:r>
    </w:p>
    <w:p>
      <w:pPr>
        <w:pStyle w:val="TextBody"/>
        <w:bidi w:val="0"/>
        <w:spacing w:lineRule="auto" w:line="288" w:before="120" w:after="240"/>
        <w:jc w:val="both"/>
        <w:rPr/>
      </w:pPr>
      <w:r>
        <w:rPr>
          <w:rFonts w:ascii="Times New Roman;serif" w:hAnsi="Times New Roman;serif"/>
          <w:b w:val="false"/>
          <w:color w:val="231F20"/>
          <w:sz w:val="20"/>
        </w:rPr>
        <w:t xml:space="preserve">The remaining loans receivables balance as of </w:t>
      </w:r>
      <w:r>
        <w:rPr>
          <w:rFonts w:ascii="Times New Roman;serif" w:hAnsi="Times New Roman;serif"/>
          <w:b w:val="false"/>
          <w:color w:val="000000"/>
          <w:sz w:val="20"/>
        </w:rPr>
        <w:t xml:space="preserve">March 31, 2026 and </w:t>
      </w:r>
      <w:r>
        <w:rPr>
          <w:rFonts w:ascii="Times New Roman;serif" w:hAnsi="Times New Roman;serif"/>
          <w:b w:val="false"/>
          <w:color w:val="231F20"/>
          <w:sz w:val="20"/>
        </w:rPr>
        <w:t xml:space="preserve">2025 </w:t>
      </w:r>
      <w:r>
        <w:rPr>
          <w:rFonts w:ascii="Times New Roman;serif" w:hAnsi="Times New Roman;serif"/>
          <w:b w:val="false"/>
          <w:color w:val="231F20"/>
          <w:sz w:val="20"/>
          <w:shd w:fill="FFFFFF" w:val="clear"/>
        </w:rPr>
        <w:t xml:space="preserve">was </w:t>
      </w:r>
      <w:r>
        <w:rPr>
          <w:rFonts w:ascii="Times New Roman;serif" w:hAnsi="Times New Roman;serif"/>
          <w:b w:val="false"/>
          <w:color w:val="231F20"/>
          <w:sz w:val="20"/>
        </w:rPr>
        <w:t>$7.3 million</w:t>
      </w:r>
      <w:r>
        <w:rPr>
          <w:color w:val="231F20"/>
          <w:shd w:fill="FFFFFF" w:val="clear"/>
        </w:rPr>
        <w:t xml:space="preserve"> </w:t>
      </w:r>
      <w:r>
        <w:rPr>
          <w:rFonts w:ascii="Times New Roman;serif" w:hAnsi="Times New Roman;serif"/>
          <w:b w:val="false"/>
          <w:color w:val="231F20"/>
          <w:sz w:val="20"/>
          <w:shd w:fill="FFFFFF" w:val="clear"/>
        </w:rPr>
        <w:t>and $7.1 million, respectively.</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Other receivables</w:t>
      </w:r>
    </w:p>
    <w:p>
      <w:pPr>
        <w:pStyle w:val="TextBody"/>
        <w:bidi w:val="0"/>
        <w:spacing w:lineRule="auto" w:line="288" w:before="0" w:after="240"/>
        <w:jc w:val="both"/>
        <w:rPr/>
      </w:pPr>
      <w:r>
        <w:rPr>
          <w:rFonts w:ascii="Times New Roman;serif" w:hAnsi="Times New Roman;serif"/>
          <w:b w:val="false"/>
          <w:color w:val="000000"/>
          <w:sz w:val="20"/>
        </w:rPr>
        <w:t xml:space="preserve">As of </w:t>
      </w:r>
      <w:r>
        <w:rPr>
          <w:rFonts w:ascii="Times New Roman;serif" w:hAnsi="Times New Roman;serif"/>
          <w:b w:val="false"/>
          <w:color w:val="231F20"/>
          <w:sz w:val="20"/>
        </w:rPr>
        <w:t>March 31, 2026 and 2025</w:t>
      </w:r>
      <w:r>
        <w:rPr>
          <w:rFonts w:ascii="Times New Roman;serif" w:hAnsi="Times New Roman;serif"/>
          <w:b w:val="false"/>
          <w:color w:val="000000"/>
          <w:sz w:val="20"/>
        </w:rPr>
        <w:t>, balances included in other receivables pertain to lease deposits and other receivables.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Convertible Loans Receivable</w:t>
      </w:r>
    </w:p>
    <w:p>
      <w:pPr>
        <w:pStyle w:val="TextBody"/>
        <w:bidi w:val="0"/>
        <w:spacing w:lineRule="auto" w:line="288" w:before="120" w:after="240"/>
        <w:jc w:val="both"/>
        <w:rPr/>
      </w:pPr>
      <w:r>
        <w:rPr>
          <w:rFonts w:ascii="Times New Roman;serif" w:hAnsi="Times New Roman;serif"/>
          <w:b w:val="false"/>
          <w:color w:val="231F20"/>
          <w:sz w:val="20"/>
        </w:rPr>
        <w:t>In December 2021, the Company acquired a $29.0 million principal balance convertible loan in Ampere</w:t>
      </w:r>
      <w:r>
        <w:rPr>
          <w:rFonts w:ascii="Times New Roman;serif" w:hAnsi="Times New Roman;serif"/>
          <w:b w:val="false"/>
          <w:color w:val="000000"/>
          <w:sz w:val="20"/>
        </w:rPr>
        <w:t>, which is included in other non-current assets on the Consolidated Balance Sheets</w:t>
      </w:r>
      <w:r>
        <w:rPr>
          <w:rFonts w:ascii="Times New Roman;serif" w:hAnsi="Times New Roman;serif"/>
          <w:b w:val="false"/>
          <w:color w:val="231F20"/>
          <w:sz w:val="20"/>
        </w:rPr>
        <w:t xml:space="preserve">. The Company elected the fair value option to measure this convertible loan receivable for which changes in fair value are recorded in other non-operating income (loss), net in the Consolidated Income Statements. </w:t>
      </w:r>
      <w:r>
        <w:rPr>
          <w:rFonts w:ascii="Times New Roman;serif" w:hAnsi="Times New Roman;serif"/>
          <w:b w:val="false"/>
          <w:color w:val="231F20"/>
          <w:sz w:val="20"/>
          <w:shd w:fill="FFFFFF" w:val="clear"/>
        </w:rPr>
        <w:t>In December 2025</w:t>
      </w:r>
      <w:r>
        <w:rPr>
          <w:rFonts w:ascii="Times New Roman;serif" w:hAnsi="Times New Roman;serif"/>
          <w:b w:val="false"/>
          <w:color w:val="000000"/>
          <w:sz w:val="20"/>
          <w:shd w:fill="FFFFFF" w:val="clear"/>
        </w:rPr>
        <w:t xml:space="preserve">, the Company received </w:t>
      </w:r>
      <w:r>
        <w:rPr>
          <w:rFonts w:ascii="Times New Roman;serif" w:hAnsi="Times New Roman;serif"/>
          <w:b w:val="false"/>
          <w:color w:val="000000"/>
          <w:sz w:val="20"/>
        </w:rPr>
        <w:t>$39.3 million</w:t>
      </w:r>
      <w:r>
        <w:rPr>
          <w:color w:val="000000"/>
          <w:shd w:fill="FFFFFF" w:val="clear"/>
        </w:rPr>
        <w:t xml:space="preserve"> </w:t>
      </w:r>
      <w:r>
        <w:rPr>
          <w:rFonts w:ascii="Times New Roman;serif" w:hAnsi="Times New Roman;serif"/>
          <w:b w:val="false"/>
          <w:color w:val="000000"/>
          <w:sz w:val="20"/>
          <w:shd w:fill="FFFFFF" w:val="clear"/>
        </w:rPr>
        <w:t>from the settlement of the convertible loan in Ampere.</w:t>
      </w:r>
      <w:r>
        <w:rPr>
          <w:color w:val="000000"/>
        </w:rPr>
        <w:t xml:space="preserve"> </w:t>
      </w:r>
      <w:r>
        <w:rPr>
          <w:rFonts w:ascii="Times New Roman;serif" w:hAnsi="Times New Roman;serif"/>
          <w:b w:val="false"/>
          <w:color w:val="000000"/>
          <w:sz w:val="20"/>
        </w:rPr>
        <w:t>For the fiscal years ended March 31, 2026, 2025 and 2024</w:t>
      </w:r>
      <w:r>
        <w:rPr>
          <w:rFonts w:ascii="Times New Roman;serif" w:hAnsi="Times New Roman;serif"/>
          <w:b w:val="false"/>
          <w:color w:val="231F20"/>
          <w:sz w:val="20"/>
        </w:rPr>
        <w:t xml:space="preserve">, the Company recognized gains on this convertible loan receivable of </w:t>
      </w:r>
      <w:r>
        <w:rPr>
          <w:rFonts w:ascii="Times New Roman;serif" w:hAnsi="Times New Roman;serif"/>
          <w:b w:val="false"/>
          <w:color w:val="000000"/>
          <w:sz w:val="20"/>
        </w:rPr>
        <w:t>$5.3 million, $1.8 million and $1.0 million</w:t>
      </w:r>
      <w:r>
        <w:rPr>
          <w:rFonts w:ascii="Times New Roman;serif" w:hAnsi="Times New Roman;serif"/>
          <w:b w:val="false"/>
          <w:color w:val="231F20"/>
          <w:sz w:val="20"/>
        </w:rPr>
        <w:t xml:space="preserve">, </w:t>
      </w:r>
      <w:r>
        <w:rPr>
          <w:rFonts w:ascii="Times New Roman;serif" w:hAnsi="Times New Roman;serif"/>
          <w:b w:val="false"/>
          <w:color w:val="000000"/>
          <w:sz w:val="20"/>
        </w:rPr>
        <w:t>respectively</w:t>
      </w:r>
      <w:r>
        <w:rPr>
          <w:rFonts w:ascii="Times New Roman;serif" w:hAnsi="Times New Roman;serif"/>
          <w:b w:val="false"/>
          <w:color w:val="231F2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4"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163</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Available-For-Sale Debt Securities</w:t>
      </w:r>
    </w:p>
    <w:p>
      <w:pPr>
        <w:pStyle w:val="TextBody"/>
        <w:bidi w:val="0"/>
        <w:spacing w:lineRule="auto" w:line="288" w:before="0" w:after="240"/>
        <w:jc w:val="both"/>
        <w:rPr/>
      </w:pPr>
      <w:r>
        <w:rPr>
          <w:rFonts w:ascii="Times New Roman;serif" w:hAnsi="Times New Roman;serif"/>
          <w:b w:val="false"/>
          <w:color w:val="000000"/>
          <w:sz w:val="20"/>
        </w:rPr>
        <w:t xml:space="preserve">In December 2025, the Company completed a transaction to acquire an equity stake in a private entity by subscribing to its preferred shares and paid total consideration of </w:t>
      </w:r>
      <w:r>
        <w:rPr>
          <w:rFonts w:ascii="Times New Roman;serif" w:hAnsi="Times New Roman;serif"/>
          <w:b w:val="false"/>
          <w:color w:val="231F20"/>
          <w:sz w:val="20"/>
        </w:rPr>
        <w:t xml:space="preserve">$13.8 million. </w:t>
      </w:r>
      <w:r>
        <w:rPr>
          <w:rFonts w:ascii="Times New Roman;serif" w:hAnsi="Times New Roman;serif"/>
          <w:b w:val="false"/>
          <w:color w:val="000000"/>
          <w:sz w:val="20"/>
        </w:rPr>
        <w:t xml:space="preserve">The Company recorded this investment as an available-for-sale debt security in other non-current assets on the Consolidated Balance Sheets since the preferred shares purchased by the Company are redeemable at the option of the Company and are not in the substance of common stock. As of </w:t>
      </w:r>
      <w:r>
        <w:rPr>
          <w:rFonts w:ascii="Times New Roman;serif" w:hAnsi="Times New Roman;serif"/>
          <w:b w:val="false"/>
          <w:color w:val="231F20"/>
          <w:sz w:val="20"/>
          <w:shd w:fill="FFFFFF" w:val="clear"/>
        </w:rPr>
        <w:t xml:space="preserve">March 31, 2026, the fair value of </w:t>
      </w:r>
      <w:r>
        <w:rPr>
          <w:rFonts w:ascii="Times New Roman;serif" w:hAnsi="Times New Roman;serif"/>
          <w:b w:val="false"/>
          <w:color w:val="000000"/>
          <w:sz w:val="20"/>
        </w:rPr>
        <w:t xml:space="preserve">available-for-sale debt security is </w:t>
      </w:r>
      <w:r>
        <w:rPr>
          <w:rFonts w:ascii="Times New Roman;serif" w:hAnsi="Times New Roman;serif"/>
          <w:b w:val="false"/>
          <w:color w:val="231F20"/>
          <w:sz w:val="20"/>
        </w:rPr>
        <w:t>$13.2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12 - Derivatives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As of March 31, 2026, the notional value of outstanding foreign currency forward contracts designated as cash flow hedges was £405.0 million and the fair value was $(9.5) million. As of March 31, 2026, the Company did not have any foreign currency contracts held without a hedge designation.</w:t>
      </w:r>
    </w:p>
    <w:p>
      <w:pPr>
        <w:pStyle w:val="TextBody"/>
        <w:bidi w:val="0"/>
        <w:spacing w:lineRule="auto" w:line="288" w:before="120" w:after="240"/>
        <w:jc w:val="both"/>
        <w:rPr/>
      </w:pPr>
      <w:r>
        <w:rPr>
          <w:rFonts w:ascii="Times New Roman;serif" w:hAnsi="Times New Roman;serif"/>
          <w:b w:val="false"/>
          <w:color w:val="000000"/>
          <w:sz w:val="20"/>
        </w:rPr>
        <w:t>As of March 31, 2025, the notional value of outstanding foreign currency forward contracts designated as cash flow hedges was £335.0 million and the fair value was $4.7 million. As of March 31, 2025, the notional value of outstanding foreign currency contracts held without a hedge designation was €5.0 million</w:t>
      </w:r>
      <w:r>
        <w:rPr>
          <w:color w:val="000000"/>
          <w:shd w:fill="FFFFFF" w:val="clear"/>
        </w:rPr>
        <w:t xml:space="preserve"> </w:t>
      </w:r>
      <w:r>
        <w:rPr>
          <w:rFonts w:ascii="Times New Roman;serif" w:hAnsi="Times New Roman;serif"/>
          <w:b w:val="false"/>
          <w:color w:val="000000"/>
          <w:sz w:val="20"/>
        </w:rPr>
        <w:t>and the fair value was $0.0 million.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notional amounts of the Company’s outstanding derivative instruments:</w:t>
      </w:r>
    </w:p>
    <w:tbl>
      <w:tblPr>
        <w:tblW w:w="6518" w:type="dxa"/>
        <w:jc w:val="left"/>
        <w:tblInd w:w="0" w:type="dxa"/>
        <w:tblLayout w:type="fixed"/>
        <w:tblCellMar>
          <w:top w:w="28" w:type="dxa"/>
          <w:left w:w="28" w:type="dxa"/>
          <w:bottom w:w="28" w:type="dxa"/>
          <w:right w:w="28" w:type="dxa"/>
        </w:tblCellMar>
      </w:tblPr>
      <w:tblGrid>
        <w:gridCol w:w="1065"/>
        <w:gridCol w:w="934"/>
        <w:gridCol w:w="941"/>
        <w:gridCol w:w="109"/>
        <w:gridCol w:w="109"/>
        <w:gridCol w:w="109"/>
        <w:gridCol w:w="386"/>
        <w:gridCol w:w="854"/>
        <w:gridCol w:w="199"/>
        <w:gridCol w:w="109"/>
        <w:gridCol w:w="109"/>
        <w:gridCol w:w="109"/>
        <w:gridCol w:w="377"/>
        <w:gridCol w:w="833"/>
        <w:gridCol w:w="275"/>
      </w:tblGrid>
      <w:tr>
        <w:trPr/>
        <w:tc>
          <w:tcPr>
            <w:tcW w:w="10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294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Designated as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Non-designated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fair value of the Company’s outstanding derivative instruments: </w:t>
      </w:r>
    </w:p>
    <w:tbl>
      <w:tblPr>
        <w:tblW w:w="7182" w:type="dxa"/>
        <w:jc w:val="left"/>
        <w:tblInd w:w="0" w:type="dxa"/>
        <w:tblLayout w:type="fixed"/>
        <w:tblCellMar>
          <w:top w:w="28" w:type="dxa"/>
          <w:left w:w="28" w:type="dxa"/>
          <w:bottom w:w="28" w:type="dxa"/>
          <w:right w:w="28" w:type="dxa"/>
        </w:tblCellMar>
      </w:tblPr>
      <w:tblGrid>
        <w:gridCol w:w="1064"/>
        <w:gridCol w:w="933"/>
        <w:gridCol w:w="942"/>
        <w:gridCol w:w="109"/>
        <w:gridCol w:w="109"/>
        <w:gridCol w:w="109"/>
        <w:gridCol w:w="211"/>
        <w:gridCol w:w="406"/>
        <w:gridCol w:w="109"/>
        <w:gridCol w:w="109"/>
        <w:gridCol w:w="109"/>
        <w:gridCol w:w="109"/>
        <w:gridCol w:w="211"/>
        <w:gridCol w:w="256"/>
        <w:gridCol w:w="109"/>
        <w:gridCol w:w="109"/>
        <w:gridCol w:w="109"/>
        <w:gridCol w:w="109"/>
        <w:gridCol w:w="254"/>
        <w:gridCol w:w="435"/>
        <w:gridCol w:w="131"/>
        <w:gridCol w:w="131"/>
        <w:gridCol w:w="131"/>
        <w:gridCol w:w="131"/>
        <w:gridCol w:w="254"/>
        <w:gridCol w:w="308"/>
        <w:gridCol w:w="185"/>
      </w:tblGrid>
      <w:tr>
        <w:trPr/>
        <w:tc>
          <w:tcPr>
            <w:tcW w:w="106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Derivative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Derivative Liabilities</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March 31,</w:t>
            </w:r>
          </w:p>
        </w:tc>
      </w:tr>
      <w:tr>
        <w:trPr/>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Designated as cash flow hedges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5"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164</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ind w:left="0" w:right="0" w:hanging="270"/>
        <w:jc w:val="both"/>
        <w:rPr>
          <w:rFonts w:ascii="Times New Roman;serif" w:hAnsi="Times New Roman;serif"/>
          <w:b/>
          <w:i/>
          <w:color w:val="000000"/>
          <w:sz w:val="20"/>
        </w:rPr>
      </w:pPr>
      <w:r>
        <w:rPr>
          <w:rFonts w:ascii="Times New Roman;serif" w:hAnsi="Times New Roman;serif"/>
          <w:b/>
          <w:i/>
          <w:color w:val="000000"/>
          <w:sz w:val="20"/>
        </w:rPr>
        <w:t>Cash Flow Hedge Gains (Losses)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net gains (losses) on foreign currency forward contracts designated as cash flow hedges: </w:t>
      </w:r>
    </w:p>
    <w:tbl>
      <w:tblPr>
        <w:tblW w:w="10205" w:type="dxa"/>
        <w:jc w:val="left"/>
        <w:tblInd w:w="0" w:type="dxa"/>
        <w:tblLayout w:type="fixed"/>
        <w:tblCellMar>
          <w:top w:w="28" w:type="dxa"/>
          <w:left w:w="28" w:type="dxa"/>
          <w:bottom w:w="28" w:type="dxa"/>
          <w:right w:w="28" w:type="dxa"/>
        </w:tblCellMar>
      </w:tblPr>
      <w:tblGrid>
        <w:gridCol w:w="2598"/>
        <w:gridCol w:w="2280"/>
        <w:gridCol w:w="2305"/>
        <w:gridCol w:w="109"/>
        <w:gridCol w:w="109"/>
        <w:gridCol w:w="109"/>
        <w:gridCol w:w="211"/>
        <w:gridCol w:w="417"/>
        <w:gridCol w:w="109"/>
        <w:gridCol w:w="109"/>
        <w:gridCol w:w="109"/>
        <w:gridCol w:w="109"/>
        <w:gridCol w:w="211"/>
        <w:gridCol w:w="256"/>
        <w:gridCol w:w="109"/>
        <w:gridCol w:w="109"/>
        <w:gridCol w:w="109"/>
        <w:gridCol w:w="109"/>
        <w:gridCol w:w="211"/>
        <w:gridCol w:w="361"/>
        <w:gridCol w:w="156"/>
      </w:tblGrid>
      <w:tr>
        <w:trPr/>
        <w:tc>
          <w:tcPr>
            <w:tcW w:w="2598"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r>
      <w:tr>
        <w:trPr/>
        <w:tc>
          <w:tcPr>
            <w:tcW w:w="718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gains (losses) recognized in accumulated other comprehensive income (loss) on cash flow hedge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reclassified from accumulated other comprehensive income (loss) into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Net change in fair value of the effective portion of designated cash flow hedges, net of tax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Income Statements,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20"/>
        </w:rPr>
        <w:t>All amounts reported in accumulated other comprehensive income at the reporting date are expected to be reclassified into earnings within the next 12 months.</w:t>
      </w:r>
    </w:p>
    <w:p>
      <w:pPr>
        <w:pStyle w:val="TextBody"/>
        <w:bidi w:val="0"/>
        <w:spacing w:lineRule="auto" w:line="288" w:before="120" w:after="240"/>
        <w:jc w:val="both"/>
        <w:rPr/>
      </w:pPr>
      <w:r>
        <w:rPr>
          <w:rFonts w:ascii="Times New Roman;serif" w:hAnsi="Times New Roman;serif"/>
          <w:b w:val="false"/>
          <w:color w:val="231F20"/>
          <w:sz w:val="20"/>
        </w:rPr>
        <w:t xml:space="preserve">For the </w:t>
      </w:r>
      <w:r>
        <w:rPr>
          <w:rFonts w:ascii="Times New Roman;serif" w:hAnsi="Times New Roman;serif"/>
          <w:b w:val="false"/>
          <w:color w:val="000000"/>
          <w:sz w:val="20"/>
        </w:rPr>
        <w:t>fiscal years ended March 31, 2026, 2025</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 xml:space="preserve">2024, the Company’s cash flow hedges were highly effective with immaterial amounts of ineffectiveness recorded in the Consolidated Income Statements for these designated cash flow hedges, and all components of each derivative instrument’s gain or loss were included in the assessment of hedge effectiveness.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Non-designated Hedging Instrument Gains (Losses)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net gains (losses) on derivatives not designated as hedging instruments recorded in other non-operating income (loss), net in the Consolidated Income Statements: </w:t>
      </w:r>
    </w:p>
    <w:tbl>
      <w:tblPr>
        <w:tblW w:w="6068" w:type="dxa"/>
        <w:jc w:val="left"/>
        <w:tblInd w:w="0" w:type="dxa"/>
        <w:tblLayout w:type="fixed"/>
        <w:tblCellMar>
          <w:top w:w="28" w:type="dxa"/>
          <w:left w:w="28" w:type="dxa"/>
          <w:bottom w:w="28" w:type="dxa"/>
          <w:right w:w="28" w:type="dxa"/>
        </w:tblCellMar>
      </w:tblPr>
      <w:tblGrid>
        <w:gridCol w:w="1064"/>
        <w:gridCol w:w="934"/>
        <w:gridCol w:w="941"/>
        <w:gridCol w:w="109"/>
        <w:gridCol w:w="109"/>
        <w:gridCol w:w="109"/>
        <w:gridCol w:w="211"/>
        <w:gridCol w:w="406"/>
        <w:gridCol w:w="109"/>
        <w:gridCol w:w="109"/>
        <w:gridCol w:w="109"/>
        <w:gridCol w:w="109"/>
        <w:gridCol w:w="211"/>
        <w:gridCol w:w="406"/>
        <w:gridCol w:w="109"/>
        <w:gridCol w:w="109"/>
        <w:gridCol w:w="109"/>
        <w:gridCol w:w="109"/>
        <w:gridCol w:w="211"/>
        <w:gridCol w:w="331"/>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r>
      <w:tr>
        <w:trPr/>
        <w:tc>
          <w:tcPr>
            <w:tcW w:w="293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pPr>
      <w:r>
        <w:rPr>
          <w:rFonts w:ascii="Times New Roman;serif" w:hAnsi="Times New Roman;serif"/>
          <w:b w:val="false"/>
          <w:color w:val="000000"/>
          <w:sz w:val="20"/>
        </w:rPr>
        <w:t>The Company classifies foreign currency forward contracts as Level 2 fair value measurements pursuant to the fair value hierarchy. See</w:t>
      </w:r>
      <w:r>
        <w:rPr>
          <w:color w:val="000000"/>
        </w:rPr>
        <w:t xml:space="preserve"> </w:t>
      </w:r>
      <w:r>
        <w:rPr>
          <w:rFonts w:ascii="Times New Roman;serif" w:hAnsi="Times New Roman;serif"/>
          <w:b w:val="false"/>
          <w:i/>
          <w:color w:val="000000"/>
          <w:sz w:val="20"/>
        </w:rPr>
        <w:t>Note 13 - Fair Value</w:t>
      </w:r>
      <w:r>
        <w:rPr>
          <w:rFonts w:ascii="Times New Roman;serif" w:hAnsi="Times New Roman;serif"/>
          <w:b w:val="false"/>
          <w:color w:val="000000"/>
          <w:sz w:val="20"/>
        </w:rPr>
        <w:t xml:space="preserve">,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 Fair Value</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To provide an indication about the reliability of the inputs used in determining fair value, the Company classifies its fair value financial instruments into the three levels prescribed under GAAP. An explanation of each level follows the tables and qualitative disclosures below. There were no transfers between fair value measurement levels for any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6"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165</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The following table presents the Company’s fair value hierarchy for assets and liabilities measured and recognized at fair value, excluding investments where the NAV practical expedient has been elected, on a recurring basis:</w:t>
      </w:r>
    </w:p>
    <w:tbl>
      <w:tblPr>
        <w:tblW w:w="10945" w:type="dxa"/>
        <w:jc w:val="left"/>
        <w:tblInd w:w="0" w:type="dxa"/>
        <w:tblLayout w:type="fixed"/>
        <w:tblCellMar>
          <w:top w:w="28" w:type="dxa"/>
          <w:left w:w="28" w:type="dxa"/>
          <w:bottom w:w="28" w:type="dxa"/>
          <w:right w:w="28" w:type="dxa"/>
        </w:tblCellMar>
      </w:tblPr>
      <w:tblGrid>
        <w:gridCol w:w="799"/>
        <w:gridCol w:w="522"/>
        <w:gridCol w:w="255"/>
        <w:gridCol w:w="109"/>
        <w:gridCol w:w="109"/>
        <w:gridCol w:w="109"/>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466"/>
        <w:gridCol w:w="109"/>
        <w:gridCol w:w="109"/>
        <w:gridCol w:w="109"/>
        <w:gridCol w:w="109"/>
        <w:gridCol w:w="211"/>
        <w:gridCol w:w="616"/>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March 31, 2025</w:t>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Short-term investments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Equity investments </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loans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Short-term investments represent term deposits with banks with a maturity between 3 and 12 months.</w:t>
      </w:r>
    </w:p>
    <w:p>
      <w:pPr>
        <w:pStyle w:val="TextBody"/>
        <w:bidi w:val="0"/>
        <w:spacing w:lineRule="auto" w:line="288" w:before="60" w:after="24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 xml:space="preserve">In accordance with ASC Subtopic 820-10, </w:t>
      </w:r>
      <w:r>
        <w:rPr>
          <w:rFonts w:ascii="Times New Roman;serif" w:hAnsi="Times New Roman;serif"/>
          <w:b w:val="false"/>
          <w:i/>
          <w:color w:val="000000"/>
          <w:sz w:val="20"/>
        </w:rPr>
        <w:t xml:space="preserve">Fair Value Measurements, </w:t>
      </w:r>
      <w:r>
        <w:rPr>
          <w:rFonts w:ascii="Times New Roman;serif" w:hAnsi="Times New Roman;serif"/>
          <w:b w:val="false"/>
          <w:color w:val="000000"/>
          <w:sz w:val="20"/>
        </w:rPr>
        <w:t>investments that are measured at fair value using the NAV practical expedient are not classified in the fair value hierarchy.</w:t>
      </w:r>
    </w:p>
    <w:p>
      <w:pPr>
        <w:pStyle w:val="TextBody"/>
        <w:bidi w:val="0"/>
        <w:spacing w:lineRule="auto" w:line="288" w:before="120" w:after="240"/>
        <w:jc w:val="both"/>
        <w:rPr/>
      </w:pPr>
      <w:r>
        <w:rPr>
          <w:rFonts w:ascii="Times New Roman;serif" w:hAnsi="Times New Roman;serif"/>
          <w:b w:val="false"/>
          <w:color w:val="231F20"/>
          <w:sz w:val="20"/>
        </w:rPr>
        <w:t xml:space="preserve">The following tables summarize changes in the fair value, along with other activity associated with the Company’s Level 3 financial assets and liabilities. </w:t>
      </w:r>
      <w:r>
        <w:rPr>
          <w:rFonts w:ascii="Times New Roman;serif" w:hAnsi="Times New Roman;serif"/>
          <w:b w:val="false"/>
          <w:color w:val="231F20"/>
          <w:sz w:val="20"/>
          <w:shd w:fill="FFFFFF" w:val="clear"/>
        </w:rPr>
        <w:t>See below for a description of the valuation techniques and inputs used in the fair value measurement of Level 3 investments including equity method investments, convertible loans receivable, and currency exchange contracts.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Equity Method Investments</w:t>
      </w:r>
    </w:p>
    <w:tbl>
      <w:tblPr>
        <w:tblW w:w="9009" w:type="dxa"/>
        <w:jc w:val="left"/>
        <w:tblInd w:w="0" w:type="dxa"/>
        <w:tblLayout w:type="fixed"/>
        <w:tblCellMar>
          <w:top w:w="28" w:type="dxa"/>
          <w:left w:w="28" w:type="dxa"/>
          <w:bottom w:w="28" w:type="dxa"/>
          <w:right w:w="28" w:type="dxa"/>
        </w:tblCellMar>
      </w:tblPr>
      <w:tblGrid>
        <w:gridCol w:w="2037"/>
        <w:gridCol w:w="1787"/>
        <w:gridCol w:w="1801"/>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2037"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r>
      <w:tr>
        <w:trPr/>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Fair value of financial assets at the 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losses recognized in the Consolidated Income Statements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 of equity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Fair value at the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pPr>
      <w:r>
        <w:rPr>
          <w:rFonts w:ascii="Times New Roman;serif" w:hAnsi="Times New Roman;serif"/>
          <w:b w:val="false"/>
          <w:color w:val="000000"/>
          <w:sz w:val="20"/>
        </w:rPr>
        <w:t xml:space="preserve">In December 2025, the Company, as a minority shareholder of Ampere, received $143.4 million in gross proceeds for its equity interest in Ampere. </w:t>
      </w:r>
      <w:r>
        <w:rPr>
          <w:rFonts w:ascii="Times New Roman;serif" w:hAnsi="Times New Roman;serif"/>
          <w:b w:val="false"/>
          <w:color w:val="000000"/>
          <w:sz w:val="20"/>
          <w:shd w:fill="FFFFFF" w:val="clear"/>
        </w:rPr>
        <w:t>See</w:t>
      </w:r>
      <w:r>
        <w:rPr>
          <w:color w:val="000000"/>
          <w:shd w:fill="FFFFFF" w:val="clear"/>
        </w:rPr>
        <w:t xml:space="preserve"> </w:t>
      </w:r>
      <w:r>
        <w:rPr>
          <w:rFonts w:ascii="Times New Roman;serif" w:hAnsi="Times New Roman;serif"/>
          <w:b w:val="false"/>
          <w:i/>
          <w:color w:val="000000"/>
          <w:sz w:val="20"/>
          <w:shd w:fill="FFFFFF" w:val="clear"/>
        </w:rPr>
        <w:t xml:space="preserve">Note </w:t>
      </w:r>
      <w:r>
        <w:rPr>
          <w:rFonts w:ascii="Times New Roman;serif" w:hAnsi="Times New Roman;serif"/>
          <w:b w:val="false"/>
          <w:i/>
          <w:color w:val="000000"/>
          <w:sz w:val="20"/>
        </w:rPr>
        <w:t>10 - Equity Investments</w:t>
      </w:r>
      <w:r>
        <w:rPr>
          <w:rFonts w:ascii="Times New Roman;serif" w:hAnsi="Times New Roman;serif"/>
          <w:b w:val="false"/>
          <w:color w:val="000000"/>
          <w:sz w:val="20"/>
          <w:shd w:fill="FFFFFF" w:val="clear"/>
        </w:rPr>
        <w:t xml:space="preserve">, for further details. </w:t>
      </w:r>
    </w:p>
    <w:p>
      <w:pPr>
        <w:pStyle w:val="TextBody"/>
        <w:bidi w:val="0"/>
        <w:spacing w:lineRule="auto" w:line="288" w:before="0" w:after="240"/>
        <w:jc w:val="both"/>
        <w:rPr/>
      </w:pPr>
      <w:r>
        <w:rPr>
          <w:rFonts w:ascii="Times New Roman;serif" w:hAnsi="Times New Roman;serif"/>
          <w:b w:val="false"/>
          <w:color w:val="000000"/>
          <w:sz w:val="20"/>
        </w:rPr>
        <w:t xml:space="preserve">The Company elected the fair value option in accordance with the guidance in ASC 825, </w:t>
      </w:r>
      <w:r>
        <w:rPr>
          <w:rFonts w:ascii="Times New Roman;serif" w:hAnsi="Times New Roman;serif"/>
          <w:b w:val="false"/>
          <w:i/>
          <w:color w:val="000000"/>
          <w:sz w:val="20"/>
        </w:rPr>
        <w:t>Financial Instruments</w:t>
      </w:r>
      <w:r>
        <w:rPr>
          <w:color w:val="000000"/>
        </w:rPr>
        <w:t xml:space="preserve"> </w:t>
      </w:r>
      <w:r>
        <w:rPr>
          <w:rFonts w:ascii="Times New Roman;serif" w:hAnsi="Times New Roman;serif"/>
          <w:b w:val="false"/>
          <w:color w:val="000000"/>
          <w:sz w:val="20"/>
        </w:rPr>
        <w:t>(“ASC 825”) for its investments in Acetone Limited and Ampere. The Company initially computed the fair value for its investments consistent with the methodology and assumptions that market participants would use in their estimates of fair value with the assistance of a third-party valuation specialist or based on inputs from the investee. The fair value computation is updated on a quarterly basis. The investments are classified within Level 3 in the fair value hierarchy because the Company estimates the fair value of the investments using the (i) the market-calibration approach based on the guideline public company method, (ii) subject to availability of sufficient information, the income approach based on the discounted cash flow method, or (iii) the probability-weighted, expected return (“PWER”) approach.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7" name="Frame1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166</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market-calibration approach considers valuation multiples that are calibrated to the valuation as of the prior valuation date (i.e., quarterly) based on: (a) changes in the broader market or industry; (b) changes in the guideline public companies; and (c) changes in the company’s operating and financial performance. The fair value computation under this approach includes a key assumption for the range of valuation multiples (i.e., enterprise value or revenue), which requires significant professional judgment by the valuation specialist and is based on observable inputs (e.g., market data) and unobservable inputs (e.g., market participant assumptions). </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PWER approach is based on discrete future exit scenarios to determine the value of various equity securities. Under the PWER approach, the share value today is based on the probability-weighted, present value of expected future distributions, taking into account the rights and preferences of each debt and equity class. The Company considers an initial public offering scenario, a sale scenario, and a scenario assuming continued operation as a private entity for future exit scenarios. The fair value computation under this approach includes key assumptions for time to liquidity outcomes, discount rate, and present value factors.</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The following tables provide quantitative information related to certain key assumptions utilized in the valuation of equity method investments accounted for under the fair value option:</w:t>
      </w:r>
    </w:p>
    <w:tbl>
      <w:tblPr>
        <w:tblW w:w="10205" w:type="dxa"/>
        <w:jc w:val="left"/>
        <w:tblInd w:w="0" w:type="dxa"/>
        <w:tblLayout w:type="fixed"/>
        <w:tblCellMar>
          <w:top w:w="28" w:type="dxa"/>
          <w:left w:w="28" w:type="dxa"/>
          <w:bottom w:w="28" w:type="dxa"/>
          <w:right w:w="28" w:type="dxa"/>
        </w:tblCellMar>
      </w:tblPr>
      <w:tblGrid>
        <w:gridCol w:w="616"/>
        <w:gridCol w:w="540"/>
        <w:gridCol w:w="548"/>
        <w:gridCol w:w="109"/>
        <w:gridCol w:w="109"/>
        <w:gridCol w:w="109"/>
        <w:gridCol w:w="261"/>
        <w:gridCol w:w="261"/>
        <w:gridCol w:w="263"/>
        <w:gridCol w:w="109"/>
        <w:gridCol w:w="109"/>
        <w:gridCol w:w="109"/>
        <w:gridCol w:w="1116"/>
        <w:gridCol w:w="1116"/>
        <w:gridCol w:w="1096"/>
        <w:gridCol w:w="109"/>
        <w:gridCol w:w="109"/>
        <w:gridCol w:w="109"/>
        <w:gridCol w:w="582"/>
        <w:gridCol w:w="582"/>
        <w:gridCol w:w="583"/>
        <w:gridCol w:w="109"/>
        <w:gridCol w:w="109"/>
        <w:gridCol w:w="109"/>
        <w:gridCol w:w="388"/>
        <w:gridCol w:w="388"/>
        <w:gridCol w:w="557"/>
      </w:tblGrid>
      <w:tr>
        <w:trPr/>
        <w:tc>
          <w:tcPr>
            <w:tcW w:w="61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of March 31, 2026</w:t>
            </w:r>
          </w:p>
        </w:tc>
      </w:tr>
      <w:tr>
        <w:trPr/>
        <w:tc>
          <w:tcPr>
            <w:tcW w:w="1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Valuation Technique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Range of Estimates</w:t>
            </w:r>
          </w:p>
        </w:tc>
      </w:tr>
      <w:tr>
        <w:trPr/>
        <w:tc>
          <w:tcPr>
            <w:tcW w:w="1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Equity Method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Acetone Limited – Market-Calibration or discounted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LTM Revenue Multiple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0.9x - 1.1x</w:t>
            </w:r>
          </w:p>
        </w:tc>
      </w:tr>
      <w:tr>
        <w:trPr/>
        <w:tc>
          <w:tcPr>
            <w:tcW w:w="1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of March 31, 2025</w:t>
            </w:r>
          </w:p>
        </w:tc>
      </w:tr>
      <w:tr>
        <w:trPr/>
        <w:tc>
          <w:tcPr>
            <w:tcW w:w="1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Valuation Technique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Range of Estimates</w:t>
            </w:r>
          </w:p>
        </w:tc>
      </w:tr>
      <w:tr>
        <w:trPr/>
        <w:tc>
          <w:tcPr>
            <w:tcW w:w="170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Equity Method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Acetone Limited – Market-Calibration or discounted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LTM Revenue Multiple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1.1x - 1.3x</w:t>
            </w:r>
          </w:p>
        </w:tc>
      </w:tr>
      <w:tr>
        <w:trPr/>
        <w:tc>
          <w:tcPr>
            <w:tcW w:w="170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Ampere – PWER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Probability of exit event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70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Time to future exit scenario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0.8 years</w:t>
            </w:r>
          </w:p>
        </w:tc>
      </w:tr>
    </w:tbl>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Convertible Loans Receivable</w:t>
      </w:r>
    </w:p>
    <w:tbl>
      <w:tblPr>
        <w:tblW w:w="8693" w:type="dxa"/>
        <w:jc w:val="left"/>
        <w:tblInd w:w="0" w:type="dxa"/>
        <w:tblLayout w:type="fixed"/>
        <w:tblCellMar>
          <w:top w:w="28" w:type="dxa"/>
          <w:left w:w="28" w:type="dxa"/>
          <w:bottom w:w="28" w:type="dxa"/>
          <w:right w:w="28" w:type="dxa"/>
        </w:tblCellMar>
      </w:tblPr>
      <w:tblGrid>
        <w:gridCol w:w="2020"/>
        <w:gridCol w:w="1772"/>
        <w:gridCol w:w="1787"/>
        <w:gridCol w:w="109"/>
        <w:gridCol w:w="109"/>
        <w:gridCol w:w="109"/>
        <w:gridCol w:w="211"/>
        <w:gridCol w:w="406"/>
        <w:gridCol w:w="109"/>
        <w:gridCol w:w="109"/>
        <w:gridCol w:w="109"/>
        <w:gridCol w:w="109"/>
        <w:gridCol w:w="211"/>
        <w:gridCol w:w="361"/>
        <w:gridCol w:w="109"/>
        <w:gridCol w:w="109"/>
        <w:gridCol w:w="109"/>
        <w:gridCol w:w="109"/>
        <w:gridCol w:w="211"/>
        <w:gridCol w:w="361"/>
        <w:gridCol w:w="154"/>
      </w:tblGrid>
      <w:tr>
        <w:trPr/>
        <w:tc>
          <w:tcPr>
            <w:tcW w:w="2020"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r>
      <w:tr>
        <w:trPr/>
        <w:tc>
          <w:tcPr>
            <w:tcW w:w="5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Fair value of financial assets at the beginning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convertible note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gains recognized in the Consolidated Income Statements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Fair value at the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Times New Roman;serif" w:hAnsi="Times New Roman;serif"/>
          <w:b w:val="false"/>
          <w:color w:val="000000"/>
          <w:sz w:val="20"/>
        </w:rPr>
        <w:t xml:space="preserve">In December 2021, the Company acquired a $29.0 million convertible promissory note in Ampere, which was included in other non-current assets on the Consolidated Balance Sheets. </w:t>
      </w:r>
      <w:r>
        <w:rPr>
          <w:rFonts w:ascii="Times New Roman;serif" w:hAnsi="Times New Roman;serif"/>
          <w:b w:val="false"/>
          <w:color w:val="231F20"/>
          <w:sz w:val="20"/>
          <w:shd w:fill="FFFFFF" w:val="clear"/>
        </w:rPr>
        <w:t>In December 2025</w:t>
      </w:r>
      <w:r>
        <w:rPr>
          <w:rFonts w:ascii="Times New Roman;serif" w:hAnsi="Times New Roman;serif"/>
          <w:b w:val="false"/>
          <w:color w:val="000000"/>
          <w:sz w:val="20"/>
          <w:shd w:fill="FFFFFF" w:val="clear"/>
        </w:rPr>
        <w:t xml:space="preserve">, the Company received </w:t>
      </w:r>
      <w:r>
        <w:rPr>
          <w:rFonts w:ascii="Times New Roman;serif" w:hAnsi="Times New Roman;serif"/>
          <w:b w:val="false"/>
          <w:color w:val="000000"/>
          <w:sz w:val="20"/>
        </w:rPr>
        <w:t>$39.3 million</w:t>
      </w:r>
      <w:r>
        <w:rPr>
          <w:color w:val="000000"/>
          <w:shd w:fill="FFFFFF" w:val="clear"/>
        </w:rPr>
        <w:t xml:space="preserve"> </w:t>
      </w:r>
      <w:r>
        <w:rPr>
          <w:rFonts w:ascii="Times New Roman;serif" w:hAnsi="Times New Roman;serif"/>
          <w:b w:val="false"/>
          <w:color w:val="000000"/>
          <w:sz w:val="20"/>
          <w:shd w:fill="FFFFFF" w:val="clear"/>
        </w:rPr>
        <w:t xml:space="preserve">from the settlement of the convertible loan in Ampere. </w:t>
      </w: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March 31, 2025</w:t>
      </w:r>
      <w:r>
        <w:rPr>
          <w:rFonts w:ascii="Times New Roman;serif" w:hAnsi="Times New Roman;serif"/>
          <w:b w:val="false"/>
          <w:color w:val="000000"/>
          <w:sz w:val="20"/>
        </w:rPr>
        <w:t xml:space="preserve">, the Company’s maximum exposure to loss is the amounts invested in, and advanced to, Ampere. As of </w:t>
      </w:r>
      <w:r>
        <w:rPr>
          <w:rFonts w:ascii="Times New Roman;serif" w:hAnsi="Times New Roman;serif"/>
          <w:b w:val="false"/>
          <w:color w:val="000000"/>
          <w:sz w:val="20"/>
          <w:shd w:fill="FFFFFF" w:val="clear"/>
        </w:rPr>
        <w:t>March 31, 2025</w:t>
      </w:r>
      <w:r>
        <w:rPr>
          <w:rFonts w:ascii="Times New Roman;serif" w:hAnsi="Times New Roman;serif"/>
          <w:b w:val="false"/>
          <w:color w:val="000000"/>
          <w:sz w:val="20"/>
        </w:rPr>
        <w:t>, the Company has not converted any of its convertible promissory note into equity</w:t>
      </w:r>
      <w:r>
        <w:rPr>
          <w:color w:val="000000"/>
          <w:shd w:fill="FFFFFF" w:val="clear"/>
        </w:rPr>
        <w:t xml:space="preserve"> </w:t>
      </w:r>
      <w:r>
        <w:rPr>
          <w:rFonts w:ascii="Times New Roman;serif" w:hAnsi="Times New Roman;serif"/>
          <w:b w:val="false"/>
          <w:color w:val="000000"/>
          <w:sz w:val="20"/>
          <w:shd w:fill="FFFFFF" w:val="clear"/>
        </w:rPr>
        <w:t xml:space="preserve">and did </w:t>
      </w:r>
      <w:r>
        <w:rPr>
          <w:rFonts w:ascii="Times New Roman;serif" w:hAnsi="Times New Roman;serif"/>
          <w:b w:val="false"/>
          <w:color w:val="000000"/>
          <w:sz w:val="20"/>
        </w:rPr>
        <w:t>not</w:t>
      </w:r>
      <w:r>
        <w:rPr>
          <w:color w:val="000000"/>
          <w:shd w:fill="FFFFFF" w:val="clear"/>
        </w:rPr>
        <w:t xml:space="preserve"> </w:t>
      </w:r>
      <w:r>
        <w:rPr>
          <w:rFonts w:ascii="Times New Roman;serif" w:hAnsi="Times New Roman;serif"/>
          <w:b w:val="false"/>
          <w:color w:val="000000"/>
          <w:sz w:val="20"/>
          <w:shd w:fill="FFFFFF" w:val="clear"/>
        </w:rPr>
        <w:t>recognize any credit losses related to this convertible loan</w:t>
      </w:r>
      <w:r>
        <w:rPr>
          <w:rFonts w:ascii="Times New Roman;serif" w:hAnsi="Times New Roman;serif"/>
          <w:b w:val="false"/>
          <w:color w:val="000000"/>
          <w:sz w:val="20"/>
        </w:rPr>
        <w:t>.</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fair value of the Ampere convertible loan, prior to settlement, was based upon significant unobservable inputs, including the use of a probability weighted discounted cash flows model, requiring the Company to develop its own assumptions. Therefore, the Company has categorized this asset as a Level 3 financial asset.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68"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167</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fair value calculated using significant unobservable inputs did not differ materially from the amortized cost basis prior to settlement in December 2025 and as of March 31, 2025.</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Currency Exchange Contracts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For currency exchange contracts, these contracts are valued at the present value of future cash flows based on forward exchange rates at the balance sheet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14 - Shareholders’ Equity</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Employee Benefit Trust</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2023, the Company established the EBT, constituted by a trust deed entered into by the Company and a professional trustee, with the principal purpose to facilitate the efficient and flexible settlement of share-based compensation arrangements with employees. The Company has the power to appoint and remove the trustee and therefore, consolidates the trust. The EBT may acquire newly issued ordinary shares or ADSs at a nominal value or the trustee of the EBT has the power to acquire ordinary shares or ADSs of the Company in the open market, which purchases may be funded by one or more loans from the Company to the EBT or non-repayable gifts made by the Company to the EBT. As of March 31, 2026 and 2025, the EBT held a nominal number of ADSs, which were purchased from the Company at par value. The market value of ADSs held by the EBT as of March 31, 2026 and 2025 was $2.2 million and $0.2 million, respectively. The ADSs held by the EBT as of March 31, 2025 were, and the ADSs held by the EBT as of March 31, 2026 are expected to be, transferred out of the EBT in order to settle vesting of share-based compensation for employees. As the EBT is consolidated by the Company, ordinary shares or ADSs held by the EBT are considered authorized and issued but not outstanding for the computation of earnings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15 - Share-based Compensation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Company had the following share-based payment arrangements during the periods presented: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Restricted Share Units—2019 AEP</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In December 2019, an RSU plan was established for all employees of the Company. Vesting of these RSUs under the 2019 AEP requires the continuous service of the employees through the vesting date, is subject to the achievement of a market condition target, and vesting occurs on the earliest of the following: (1) the occurrence of one of various events comprising a change in control of the Company, (2) an initial public offering, or (3) the passage of time with the date being March 9, 2026. The Company also maintains a subplan for employees of its subsidiary, Arm Israel, in which RSUs will be settled in cash at the vesting. Employees may elect not to participate in the 2019 AEP. For all periods presented prior to the IPO, a change in control or an initial public offering is generally not considered probable until it has occurred. These awards were expected to be cash settled and therefore were liability-classified. Post-IPO, the 2019 AEP vested on the occurrence of an “exit event” to the extent that the relevant vesting hurdle was met or exceeded. As of October 25, 2023, the Company had determined that the market condition for the 2019 AEP had been met and, therefore, all awards under the 2019 AEP vested at 100% in March 2024. The equity-classified awards were settled in ordinary shares of the Company at the vesting date and neither carry rights to dividends nor voting rights. The liability-classified awards for Arm Israel were settled in cash. The awards were forfeited if an employee left the Company before the RSUs vested. For all periods presented prior to IPO, the aggregate nominal amount of shares over which the Remuneration Committee of the Company’s Board of Directors (the “Remuneration Committee”) was able to grant awards under the 2019 AEP was limited so that awards did not exceed, at any time, an amount equal to 2.2 percent of the aggregate nominal amount of the Company’s fully diluted equity share capital. The Company did not grant further awards under the 2019 AEP after the IPO. As of March 31, 2026 and 2025, all RSUs under the 2019 AEP were vested and settled.</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For the fiscal year ended March 31, 2024, the Company had $18.2 million payments arising from normal course vesting events for liability-classified share-based awards, representing the fair value of the vested RSUs.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9" name="Frame1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168</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pPr>
      <w:r>
        <w:rPr>
          <w:rFonts w:ascii="Times New Roman;serif" w:hAnsi="Times New Roman;serif"/>
          <w:b w:val="false"/>
          <w:color w:val="000000"/>
          <w:sz w:val="20"/>
        </w:rPr>
        <w:t xml:space="preserve">In connection with the IPO, all RSUs previously issued under the 2019 AEP were modified to be settled in ordinary shares of the Company except for those awards granted to employees of </w:t>
      </w:r>
      <w:r>
        <w:rPr>
          <w:rFonts w:ascii="Times New Roman;serif" w:hAnsi="Times New Roman;serif"/>
          <w:b w:val="false"/>
          <w:color w:val="000000"/>
          <w:sz w:val="20"/>
          <w:shd w:fill="FFFFFF" w:val="clear"/>
        </w:rPr>
        <w:t xml:space="preserve">Arm </w:t>
      </w:r>
      <w:r>
        <w:rPr>
          <w:rFonts w:ascii="Times New Roman;serif" w:hAnsi="Times New Roman;serif"/>
          <w:b w:val="false"/>
          <w:color w:val="000000"/>
          <w:sz w:val="20"/>
        </w:rPr>
        <w:t xml:space="preserve">Israel. For those RSUs to be settled in ordinary shares, the Company accounted for this change as a modification in accordance with ASC 718, </w:t>
      </w:r>
      <w:r>
        <w:rPr>
          <w:rFonts w:ascii="Times New Roman;serif" w:hAnsi="Times New Roman;serif"/>
          <w:b w:val="false"/>
          <w:i/>
          <w:color w:val="000000"/>
          <w:sz w:val="20"/>
        </w:rPr>
        <w:t>Compensation—Stock Compensation</w:t>
      </w:r>
      <w:r>
        <w:rPr>
          <w:color w:val="000000"/>
        </w:rPr>
        <w:t xml:space="preserve"> </w:t>
      </w:r>
      <w:r>
        <w:rPr>
          <w:rFonts w:ascii="Times New Roman;serif" w:hAnsi="Times New Roman;serif"/>
          <w:b w:val="false"/>
          <w:color w:val="000000"/>
          <w:sz w:val="20"/>
        </w:rPr>
        <w:t xml:space="preserve">(“ASC 718”) and changed the classification of the awards from liability-classified to equity-classified. During the fiscal year ended March 31, 2024, as a result of the modification, the Company reclassified $306.6 million from the non-current portion of accrued compensation and share-based compensation to additional paid-in capital on the Consolidated Balance Sheets. The modification resulted in the incremental and accelerated share-based compensation cost of $217.2 million at the modification date which affected 5,251 employees. For the remaining RSUs granted to employees of Arm Israel, these awards remain liability-classified and the Company remeasured the RSUs at fair value at each reporting period through the date of settlement. </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For the periods prior to the IPO, the weighted average fair value of the RSUs was measured using the Monte Carlo simulation model. The Monte Carlo methodology incorporates into the valuation all possible outcomes that could result in the vesting of the awards. Where relevant, the expected term used in the model has been adjusted based on the Company’s best estimate for the effects of non-transferability and exercise restrictions (including the probability of meeting market conditions attached to the RSUs).</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assumptions used for the RSUs under the 2019 AEP in the periods prior to IPO in the fiscal year ended March 31, 2024:</w:t>
      </w:r>
    </w:p>
    <w:tbl>
      <w:tblPr>
        <w:tblW w:w="5427" w:type="dxa"/>
        <w:jc w:val="left"/>
        <w:tblInd w:w="0" w:type="dxa"/>
        <w:tblLayout w:type="fixed"/>
        <w:tblCellMar>
          <w:top w:w="28" w:type="dxa"/>
          <w:left w:w="28" w:type="dxa"/>
          <w:bottom w:w="28" w:type="dxa"/>
          <w:right w:w="28" w:type="dxa"/>
        </w:tblCellMar>
      </w:tblPr>
      <w:tblGrid>
        <w:gridCol w:w="1229"/>
        <w:gridCol w:w="1077"/>
        <w:gridCol w:w="1084"/>
        <w:gridCol w:w="109"/>
        <w:gridCol w:w="109"/>
        <w:gridCol w:w="109"/>
        <w:gridCol w:w="315"/>
        <w:gridCol w:w="922"/>
        <w:gridCol w:w="473"/>
      </w:tblGrid>
      <w:tr>
        <w:trPr/>
        <w:tc>
          <w:tcPr>
            <w:tcW w:w="122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2024</w:t>
            </w:r>
          </w:p>
        </w:tc>
      </w:tr>
      <w:tr>
        <w:trPr/>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56.10 </w:t>
            </w:r>
          </w:p>
        </w:tc>
        <w:tc>
          <w:tcPr>
            <w:tcW w:w="4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until liquidity event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47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Time to liquidity event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3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0.00</w:t>
            </w:r>
          </w:p>
        </w:tc>
        <w:tc>
          <w:tcPr>
            <w:tcW w:w="47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w:t>
            </w:r>
          </w:p>
        </w:tc>
        <w:tc>
          <w:tcPr>
            <w:tcW w:w="47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Restricted Share Units—2019 EIP</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2020, a RSU plan was put in place for certain of our executive officers. The vesting of these RSUs under the 2019 EIP requires the continuous service of the employees through the vesting date, was originally subjected to the achievement of a market-condition target, and vesting occurs on the earliest of the following: (1) the occurrence of one of various events comprising a change in control of the Company, (2) an initial public offering, or (3) the passage of time with the date being March 9, 2026. At inception of the plan, the market condition target was tied to the valuation of the Company upon vesting. In September 2022, the Company modified the 2019 EIP to remove the market conditions. Employees may elect not to participate in the 2019 EIP. For all periods presented prior to the IPO, a change in control or an initial public offering is generally not considered probable until it has occurred. These awards were expected to be cash settled and therefore were liability-classified. In connection with the IPO, the 2019 EIP awards vested and were settled in ordinary shares of the Company and neither carry rights to dividends nor voting rights. The awards were forfeited if an employee left the Company before the RSUs vested. For all periods presented prior to the IPO, the aggregate nominal amount of shares over which the Remuneration Committee was able to grant awards under the 2019 EIP was limited so that awards did not exceed, at any time, an amount equal to 0.3 percent of the aggregate nominal amount of the Company’s fully diluted equity share capital. The Company did not grant further awards under the 2019 EIP after the IPO. As of March 31, 2026 and 2025, all RSUs under the 2019 EIP were vested and settled. </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Company did not have any payments for liability-classified share-based awards under the 2019 EIP Plan for the fiscal years ended March 31, 2026, 2025 and 2024.</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IPO, all RSUs previously issued under the 2019 EIP were modified to be settled in ordinary shares of the Company. The Company accounted for this change as a modification in accordance with ASC 718 and changed the classification of the awards from liability-classified to equity-classified. During the fiscal year ended March 31, 2024, as a result of the modification, the Company reclassified $5.7 million from non-current portion of accrued compensation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70"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169</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share-based compensation to additional paid-in capital on the Consolidated Balance Sheets. Upon the IPO, the awards under the 2019 EIP vested and the Company recognized accelerated share-based compensation cost of $4.1 million for awards outstanding prior to the IPO. </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Prior to the IPO in the fiscal year ended March 31, 2024, the Company used the income approach and market-calibration approach based on comparable publicly traded companies in similar lines of businesses. Cash flow assumptions used in income approach considers historical and forecasted revenue, earnings before interest, taxes, depreciation and amortization (EBITDA) and other relevant factors.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Restricted Share Units—2022 RSU Plan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In June 2022, the 2022 RSU Plan was established to grant RSUs to all employees of the Company (“All Employee Awards”) and to grant two types of executive awards to certain of the Company’s executive officers (such awards, the “Annual Awards” and “Launch Awards” and collectively, the “Executive Awards”). The All Employee Awards and Executive Awards were historically disclosed separately due to pre-IPO presentation differences related to classification, but are now disclosed together as post-IPO all are equity-classified, as discussed in more detail below. The All Employee Awards vest in tranches, require continuous service through the vesting date, and are subject to graded vesting over time. At the time of issuance, the Company intended to settle the All Employee Awards in ordinary shares at the vesting date, and such RSU awards were accounted for as equity-classified awards. Launch Awards vest in tranches and require continuous service through the vesting dates and are subject to graded vesting over a period of three years. Annual Awards include a portion that vests over a three-year continuous service period and another portion that is subject to continuous service and satisfaction of certain Company performance conditions. The time-based portion of the Annual Awards vest over a three-year period. The Annual Awards that are subject to continuous service and satisfaction of certain Company performance conditions vest upon the satisfaction of performance metrics as established for each one-year performance period and have the potential to vest between 0% and 200% of the original fixed monetary amount of the award depending on the achievement of annual performance metrics. The 2022 RSU Plan allows for either cash or share settlement of the RSU awards by tranche at the discretion of the Remuneration Committee. For all periods presented prior to IPO, the aggregate nominal amount of shares over which the Remuneration Committee was able to grant awards under the 2022 RSU Plan was limited so that awards did not exceed, at any time, an amount equal to 4.0 percent of the aggregate nominal amount of the Company’s fully diluted equity share capital. The Company did not grant further awards under the 2022 RSU Plan after the IPO.</w:t>
      </w:r>
    </w:p>
    <w:p>
      <w:pPr>
        <w:pStyle w:val="TextBody"/>
        <w:bidi w:val="0"/>
        <w:spacing w:lineRule="auto" w:line="288" w:before="120" w:after="240"/>
        <w:jc w:val="both"/>
        <w:rPr/>
      </w:pPr>
      <w:r>
        <w:rPr>
          <w:rFonts w:ascii="Times New Roman;serif" w:hAnsi="Times New Roman;serif"/>
          <w:b w:val="false"/>
          <w:color w:val="000000"/>
          <w:sz w:val="20"/>
        </w:rPr>
        <w:t>The 2022 RSU Plan provides vesting schedules applicable prior to and after an initial public offering. Upon the IPO, the All Employee Awards under the 2022 RSU Plan were accounted for using the vesting schedules applicable after an initial public offering which resulted in an acceleration of compensation cost. The Company accounted for the changes as a modification in accordance with ASC 718</w:t>
      </w:r>
      <w:r>
        <w:rPr>
          <w:color w:val="000000"/>
        </w:rPr>
        <w:t xml:space="preserve"> </w:t>
      </w:r>
      <w:r>
        <w:rPr>
          <w:rFonts w:ascii="Times New Roman;serif" w:hAnsi="Times New Roman;serif"/>
          <w:b w:val="false"/>
          <w:color w:val="000000"/>
          <w:sz w:val="20"/>
        </w:rPr>
        <w:t>and recorded $17.7 million of accelerated share-based compensation cost at the modification date which affected 5,041 employees.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IPO, all Executive Awards previously issued under the 2022 RSU Plan were modified to be settled in ordinary shares of the Company. Given the awards were no longer expected to be settled in cash but rather expected to be settled in ordinary shares based on the IPO price of $51.00 per ADS, the modification resulted in a change to the classification of the Executive Awards from liability-classified to equity-classified. The Company accounted for this change as a modification in accordance with ASC 718. As a result of the modification, the Company reclassified $9.1 million and $20.2 million in current portion of accrued compensation and benefits and share-based compensation and non-current portion of accrued compensation and share-based compensation, respectively, to additional paid-in capital on the Consolidated Balance Sheets. The modification resulted in an issuance of 1,875,202 RSUs equal to the fixed monetary amount of all Executive Awards outstanding under the 2022 RSU Plan. Upon the occurrence of the IPO, the Company recognized accelerated share-based compensation cost of $9.8 million, for which the service-based vesting condition was satisfied or partially satisfied, at the modification date which affected 14 employees. As of March 31, 2026 and 2025, all the 2022 RSU Plan awards were expected to be settled in ordinary shares at the vesting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71" name="Frame1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170</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table below identifies the award activity under the 2022 RSU Plan:</w:t>
      </w:r>
    </w:p>
    <w:tbl>
      <w:tblPr>
        <w:tblW w:w="10205" w:type="dxa"/>
        <w:jc w:val="left"/>
        <w:tblInd w:w="0" w:type="dxa"/>
        <w:tblLayout w:type="fixed"/>
        <w:tblCellMar>
          <w:top w:w="28" w:type="dxa"/>
          <w:left w:w="28" w:type="dxa"/>
          <w:bottom w:w="28" w:type="dxa"/>
          <w:right w:w="28" w:type="dxa"/>
        </w:tblCellMar>
      </w:tblPr>
      <w:tblGrid>
        <w:gridCol w:w="1617"/>
        <w:gridCol w:w="1405"/>
        <w:gridCol w:w="1411"/>
        <w:gridCol w:w="109"/>
        <w:gridCol w:w="109"/>
        <w:gridCol w:w="109"/>
        <w:gridCol w:w="250"/>
        <w:gridCol w:w="250"/>
        <w:gridCol w:w="251"/>
        <w:gridCol w:w="109"/>
        <w:gridCol w:w="109"/>
        <w:gridCol w:w="109"/>
        <w:gridCol w:w="939"/>
        <w:gridCol w:w="2741"/>
        <w:gridCol w:w="687"/>
      </w:tblGrid>
      <w:tr>
        <w:trPr/>
        <w:tc>
          <w:tcPr>
            <w:tcW w:w="1617"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millions, except per award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Weighted Average Grant Date Fair Value Per Award</w:t>
            </w:r>
          </w:p>
        </w:tc>
      </w:tr>
      <w:tr>
        <w:trPr/>
        <w:tc>
          <w:tcPr>
            <w:tcW w:w="4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color w:val="000000"/>
                <w:sz w:val="20"/>
              </w:rPr>
              <w:t>Outstanding as of March 31, 2025</w:t>
            </w:r>
            <w:r>
              <w:rPr>
                <w:color w:val="000000"/>
              </w:rPr>
              <w:t xml:space="preserv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47.34 </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7" w:type="dxa"/>
            <w:gridSpan w:val="3"/>
            <w:tcBorders/>
            <w:vAlign w:val="center"/>
          </w:tcPr>
          <w:p>
            <w:pPr>
              <w:pStyle w:val="TableContents"/>
              <w:bidi w:val="0"/>
              <w:spacing w:before="0" w:after="283"/>
              <w:jc w:val="left"/>
              <w:rPr>
                <w:sz w:val="4"/>
                <w:szCs w:val="4"/>
              </w:rPr>
            </w:pPr>
            <w:r>
              <w:rPr>
                <w:sz w:val="4"/>
                <w:szCs w:val="4"/>
              </w:rPr>
            </w:r>
          </w:p>
        </w:tc>
      </w:tr>
      <w:tr>
        <w:trPr/>
        <w:tc>
          <w:tcPr>
            <w:tcW w:w="443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741"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49.55 </w:t>
            </w:r>
          </w:p>
        </w:tc>
        <w:tc>
          <w:tcPr>
            <w:tcW w:w="6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7" w:type="dxa"/>
            <w:gridSpan w:val="3"/>
            <w:tcBorders/>
            <w:vAlign w:val="center"/>
          </w:tcPr>
          <w:p>
            <w:pPr>
              <w:pStyle w:val="TableContents"/>
              <w:bidi w:val="0"/>
              <w:spacing w:before="0" w:after="283"/>
              <w:jc w:val="left"/>
              <w:rPr>
                <w:sz w:val="4"/>
                <w:szCs w:val="4"/>
              </w:rPr>
            </w:pPr>
            <w:r>
              <w:rPr>
                <w:sz w:val="4"/>
                <w:szCs w:val="4"/>
              </w:rPr>
            </w:r>
          </w:p>
        </w:tc>
      </w:tr>
      <w:tr>
        <w:trPr/>
        <w:tc>
          <w:tcPr>
            <w:tcW w:w="443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Outstanding and expected to vest 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741"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59.59 </w:t>
            </w:r>
          </w:p>
        </w:tc>
        <w:tc>
          <w:tcPr>
            <w:tcW w:w="6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20"/>
        </w:rPr>
        <w:t xml:space="preserve">Awards and weighted average grant date per share exclude shares related to certain executive awards that currently have no grant date as the future performance objectives have not yet been defined and/or communicated to participants of the plan. </w:t>
      </w:r>
    </w:p>
    <w:p>
      <w:pPr>
        <w:pStyle w:val="TextBody"/>
        <w:bidi w:val="0"/>
        <w:spacing w:lineRule="auto" w:line="288" w:before="120" w:after="240"/>
        <w:jc w:val="both"/>
        <w:rPr/>
      </w:pPr>
      <w:r>
        <w:rPr>
          <w:rFonts w:ascii="Times New Roman;serif" w:hAnsi="Times New Roman;serif"/>
          <w:b w:val="false"/>
          <w:color w:val="000000"/>
          <w:sz w:val="20"/>
          <w:shd w:fill="FFFFFF" w:val="clear"/>
        </w:rPr>
        <w:t>As of March 31, 2026, there wa</w:t>
      </w:r>
      <w:r>
        <w:rPr>
          <w:rFonts w:ascii="Times New Roman;serif" w:hAnsi="Times New Roman;serif"/>
          <w:b w:val="false"/>
          <w:color w:val="000000"/>
          <w:sz w:val="20"/>
        </w:rPr>
        <w:t>s $31.1 million of total unrecognized compensation cost related to awards issued under the 2022 RSU Plan, which are expected to be recognized over a weighted-average period of 0.1 years and there were no liability-classified RSUs under the 2022 RSU Plan.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Prior to the IPO in the fiscal year ended March 31, 2024, the Company used the income approach and market-calibration approach based on comparable publicly traded companies in similar lines of businesses. Cash flow assumptions used in the income approach considers historical and forecasted revenue, earnings before interest, taxes, depreciation and amortization (EBITDA) and other relevant factors.</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assumptions used for the RSUs under the 2022 RSU Plan in the periods prior to IPO in the fiscal year ended March 31, 2024:</w:t>
      </w:r>
    </w:p>
    <w:tbl>
      <w:tblPr>
        <w:tblW w:w="4947" w:type="dxa"/>
        <w:jc w:val="left"/>
        <w:tblInd w:w="0" w:type="dxa"/>
        <w:tblLayout w:type="fixed"/>
        <w:tblCellMar>
          <w:top w:w="28" w:type="dxa"/>
          <w:left w:w="28" w:type="dxa"/>
          <w:bottom w:w="28" w:type="dxa"/>
          <w:right w:w="28" w:type="dxa"/>
        </w:tblCellMar>
      </w:tblPr>
      <w:tblGrid>
        <w:gridCol w:w="1053"/>
        <w:gridCol w:w="925"/>
        <w:gridCol w:w="932"/>
        <w:gridCol w:w="109"/>
        <w:gridCol w:w="109"/>
        <w:gridCol w:w="109"/>
        <w:gridCol w:w="349"/>
        <w:gridCol w:w="349"/>
        <w:gridCol w:w="1012"/>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2024</w:t>
            </w:r>
          </w:p>
        </w:tc>
      </w:tr>
      <w:tr>
        <w:trPr/>
        <w:tc>
          <w:tcPr>
            <w:tcW w:w="2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share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$44.52 - $48.18 </w:t>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Transaction costs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1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per 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$43.40 - $46.98 </w:t>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Time to liquidity event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0.5 - 1.0</w:t>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Discount for lack of marketability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0.00% - 7.50% </w:t>
            </w:r>
          </w:p>
        </w:tc>
      </w:tr>
    </w:tbl>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The Arm Non-Executive Directors RSU Award Plan (“NED Plan”)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In September 2022, the Company established the NED Plan for non-executive directors. The RSU awards issued under the NED Plan (the “NED Awards”) are subject to time-based vesting and continued service of the non-executive directors. The NED Plan allows for either cash or share settlement of the awards at the discretion of the Remuneration Committee. As of March 31, 2026 and 2025, all RSUs under the NED Plan were vested and settled.</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number of RSUs granted and outstanding for the fiscal year ended March 31, 2024 was 31,806.</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Omnibus Incentive Plan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2023, the Company’s Board of Directors adopted the Arm Holdings plc 2023 Omnibus Incentive Plan (the “Omnibus Incentive Plan”), which became effective in September 2023. The Omnibus Incentive Plan allows for the grant of incentive awards to employees, executive directors, and non-employees, including non-employee directors and consultants of the Company and its subsidiaries. Participants may elect not to participate in the plan. The types of incentive awards granted under the Omnibus Incentive Plan is determined by the Company’s Board of Directors and the Remuneration Committee, and the Omnibus Incentive Plan allows for the grant of stock options, share appreciation rights (“SARs”), restricted shares, RSUs, performance stock units (“PSUs”), other awards of cash, shares or other property (which may include a specified cash amount that is payable in cash or shares, or awards tied to the appreciation in the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72" name="Frame1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171</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of shares), dividends and dividend equivalents. Vesting conditions applicable to awards may be based on continued service, achievement of company, business unit or other performance objectives, or such other criteria as the Remuneration Committee may establish. The maximum number of ordinary shares that may be issued under the Omnibus Incentive Plan as approved at the time of adoption of the Omnibus Incentive Plan was equal to the sum of (i) 20,500,000 ordinary shares and (ii) an annual increase on April 1 of each year beginning on April 1, 2024 and ending on April 1, 2028, equal to the lesser of (A) 2% of the aggregate number of ordinary shares outstanding on March 31 of the immediately preceding fiscal year and (B) such smaller number of ordinary shares as determined by our Board of Directors or our Remuneration Committee. No more than 20,500,000 ordinary shares may be issued under the Omnibus Incentive Plan upon the exercise of incentive stock options.</w:t>
      </w:r>
    </w:p>
    <w:p>
      <w:pPr>
        <w:pStyle w:val="TextBody"/>
        <w:bidi w:val="0"/>
        <w:spacing w:lineRule="auto" w:line="288" w:before="120" w:after="240"/>
        <w:jc w:val="both"/>
        <w:rPr/>
      </w:pPr>
      <w:r>
        <w:rPr>
          <w:rFonts w:ascii="Times New Roman;serif" w:hAnsi="Times New Roman;serif"/>
          <w:b w:val="false"/>
          <w:color w:val="000000"/>
          <w:sz w:val="20"/>
        </w:rPr>
        <w:t xml:space="preserve">In October 2023, the Company started to grant RSUs and PSUs under the Omnibus Incentive Plan to employees, including executives of the Company. The RSUs and PSUs granted neither carry rights to dividends nor voting rights until the shares are issued or transferred to the recipient. The Omnibus Incentive Plan allows for either cash or share settlement of the awards by tranche, if applicable, at the discretion of the Remuneration Committee. At the time of issuance, the Company intended to settle the RSUs and PSUs in shares at the vesting date and such awards are accounted for as equity-classified awards. The RSUs were granted to existing employees and new hires of the Company and its subsidiaries, Arm Israel and Arm France SAS and vest in tranches, require continuous service through the vesting date and are subject to graded vesting over a period of three to four years. RSUs granted to employees and new hires of subsidiaries in Israel and France substantially share the same terms as the existing RSUs under the 2022 RSU Plan with </w:t>
      </w:r>
      <w:r>
        <w:rPr>
          <w:rFonts w:ascii="Times New Roman;serif" w:hAnsi="Times New Roman;serif"/>
          <w:b w:val="false"/>
          <w:color w:val="000000"/>
          <w:sz w:val="20"/>
          <w:shd w:fill="FFFFFF" w:val="clear"/>
        </w:rPr>
        <w:t>differences limited to the vesting sc</w:t>
      </w:r>
      <w:r>
        <w:rPr>
          <w:rFonts w:ascii="Times New Roman;serif" w:hAnsi="Times New Roman;serif"/>
          <w:b w:val="false"/>
          <w:color w:val="000000"/>
          <w:sz w:val="20"/>
        </w:rPr>
        <w:t xml:space="preserve">hedules and, in the case of grants to hires of subsidiaries in France, holding period. PSUs were awarded to executives of the Company and include a portion that vests over a three-year continuous service period and another portion that is subject to continuous service and satisfaction of certain Company performance conditions. The time-based portion of the PSUs vest over a three-year period. The PSUs that are subject to continuous service and satisfaction of certain Company performance conditions vest upon the satisfaction of performance metrics as established for each one-year performance period and have the potential to vest between 0% and 200% of the original award amount depending on the achievement of annual performance metrics. </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In accordance with the terms of the Omnibus Incentive Plan, on April 1, 2025, the total number of ordinary shares available for issuance under the Omnibus Incentive Plan and the ESPP (as defined below) increased by an aggregate of 8,452,110 ordinary shares, or 0.8% of the aggregate number of ordinary shares outstanding as of March 31, 2025, as determined by the Remuneration Committee.</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Except for performance awards with specific performance criteria, the Company recognizes share based compensation cost using the straight-line method over the requisite service period of the award, net of estimated forfeitures. Awards are forfeited if an employee leaves the Company before the awards vest. </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During the fiscal year ended March 31, 2026, the Company granted PSUs under the Omnibus Incentive Plan with financial, strategic, and relative total shareholder return (“Relative TSR”) as the performance measures. The portion of PSUs granted with Relative TSR as the performance measures are assessed over a three-year performance period relative to the S&amp;P 500 IT Sector Index and have the potential to vest between 0% and 200% of the original award amount depending on the Relative TSR achievement. To determine the grant date fair value of the market conditions component of the awards with Relative TSR-based performance measures, a Monte Carlo simulation model is used. The Company recognizes compensation cost for the Relative TSR awards over the requisite service period based on the grant date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73" name="Frame1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172</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The table below identifies all award activity under the Omnibus Incentive Plan:</w:t>
      </w:r>
    </w:p>
    <w:tbl>
      <w:tblPr>
        <w:tblW w:w="10205" w:type="dxa"/>
        <w:jc w:val="left"/>
        <w:tblInd w:w="0" w:type="dxa"/>
        <w:tblLayout w:type="fixed"/>
        <w:tblCellMar>
          <w:top w:w="28" w:type="dxa"/>
          <w:left w:w="28" w:type="dxa"/>
          <w:bottom w:w="28" w:type="dxa"/>
          <w:right w:w="28" w:type="dxa"/>
        </w:tblCellMar>
      </w:tblPr>
      <w:tblGrid>
        <w:gridCol w:w="1537"/>
        <w:gridCol w:w="1326"/>
        <w:gridCol w:w="1332"/>
        <w:gridCol w:w="109"/>
        <w:gridCol w:w="109"/>
        <w:gridCol w:w="109"/>
        <w:gridCol w:w="311"/>
        <w:gridCol w:w="311"/>
        <w:gridCol w:w="313"/>
        <w:gridCol w:w="109"/>
        <w:gridCol w:w="109"/>
        <w:gridCol w:w="109"/>
        <w:gridCol w:w="858"/>
        <w:gridCol w:w="2934"/>
        <w:gridCol w:w="629"/>
      </w:tblGrid>
      <w:tr>
        <w:trPr/>
        <w:tc>
          <w:tcPr>
            <w:tcW w:w="1537"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419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millions, except per award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 xml:space="preserve">Awards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3"/>
            <w:tcBorders/>
            <w:tcMar>
              <w:top w:w="0" w:type="dxa"/>
              <w:left w:w="0" w:type="dxa"/>
              <w:bottom w:w="0" w:type="dxa"/>
              <w:right w:w="0" w:type="dxa"/>
            </w:tcMar>
            <w:vAlign w:val="center"/>
          </w:tcPr>
          <w:p>
            <w:pPr>
              <w:pStyle w:val="TableContents"/>
              <w:bidi w:val="0"/>
              <w:spacing w:lineRule="auto" w:line="288" w:before="0" w:after="240"/>
              <w:jc w:val="center"/>
              <w:rPr/>
            </w:pPr>
            <w:r>
              <w:rPr>
                <w:rFonts w:ascii="Times New Roman;serif" w:hAnsi="Times New Roman;serif"/>
                <w:b/>
                <w:color w:val="000000"/>
                <w:sz w:val="20"/>
              </w:rPr>
              <w:t xml:space="preserve">Weighted Average Grant Date Fair Value Per Award </w:t>
            </w:r>
            <w:r>
              <w:rPr>
                <w:rFonts w:ascii="Times New Roman;serif" w:hAnsi="Times New Roman;serif"/>
                <w:b/>
                <w:color w:val="000000"/>
                <w:sz w:val="13"/>
              </w:rPr>
              <w:t>(1)</w:t>
            </w:r>
          </w:p>
        </w:tc>
      </w:tr>
      <w:tr>
        <w:trPr/>
        <w:tc>
          <w:tcPr>
            <w:tcW w:w="4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9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118.24 </w:t>
            </w:r>
          </w:p>
        </w:tc>
        <w:tc>
          <w:tcPr>
            <w:tcW w:w="6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934"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121.69 </w:t>
            </w:r>
          </w:p>
        </w:tc>
        <w:tc>
          <w:tcPr>
            <w:tcW w:w="6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934"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117.34 </w:t>
            </w:r>
          </w:p>
        </w:tc>
        <w:tc>
          <w:tcPr>
            <w:tcW w:w="6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and forfeited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934"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124.91 </w:t>
            </w:r>
          </w:p>
        </w:tc>
        <w:tc>
          <w:tcPr>
            <w:tcW w:w="6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and expected to vest 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934"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120.64 </w:t>
            </w:r>
          </w:p>
        </w:tc>
        <w:tc>
          <w:tcPr>
            <w:tcW w:w="6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20"/>
          <w:shd w:fill="FFFFFF" w:val="clear"/>
        </w:rPr>
        <w:t>Awards and weighted average grant date per award exclude shares related to PSUs that currently have no grant date as the future performance objectives have not yet been defined and/or communicated to participants of the plan.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Other than PSUs with Relative TSR-based performance measures, the Company uses the closing ADS price of the Company on the date of grant as the fair value of awards. As of March 31, 2026, there was $1,719.3 million of total unrecognized compensation cost related to awards issued under the Omnibus Incentive Plan, which is expected to be recognized over a weighted-average period of 1.2 years.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In August 2024 and September 2024, the Company’s Board of Directors adopted and the Company’s shareholders approved, respectively, the ESPP. The maximum number of shares that may be granted under the ESPP is equal to the number of shares available for issuance under the Omnibus Incentive Plan, and each share granted under the ESPP reduces the number of shares available for issuance under the Omnibus Incentive Plan and its sub-plans by one share. The ESPP provides for one or more offering periods, and each offering will be for any period of between six and 24 calendar months as determined by the Remuneration Committee. Subject to any limitations contained therein, the ESPP allows eligible employees to purchase the Company’s ordinary shares or ADSs through payroll deductions of up to 10% of eligible compensation, subject to a cap of $25,000 per year (as calculated based on applicable tax rules). Eligible employees may be granted ESPP options to acquire ordinary shares or ADSs at a fixed price, which may be set at a discount of up to 15% of the lesser of (1) the fair market value of the ordinary shares or ADSs on the day before the offering period start date or (2) the fair market value of the ordinary shares or ADSs on the day before the purchase date at the end of the offering period. Employees may withdraw from the ESPP during specified periods and receive a full refund of accumulated payroll contributions. Employees who cease working at the Company during an offering period are treated as withdrawing from the ESPP.</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Company used the Black-Scholes valuation model for the fiscal year ended March 31, 2026 to estimate the grant date fair value of shares granted to employees under the ESPP. The following table presents the assumptions used to estimate fair value:</w:t>
      </w:r>
    </w:p>
    <w:tbl>
      <w:tblPr>
        <w:tblW w:w="4826" w:type="dxa"/>
        <w:jc w:val="left"/>
        <w:tblInd w:w="0" w:type="dxa"/>
        <w:tblLayout w:type="fixed"/>
        <w:tblCellMar>
          <w:top w:w="28" w:type="dxa"/>
          <w:left w:w="28" w:type="dxa"/>
          <w:bottom w:w="28" w:type="dxa"/>
          <w:right w:w="28" w:type="dxa"/>
        </w:tblCellMar>
      </w:tblPr>
      <w:tblGrid>
        <w:gridCol w:w="1065"/>
        <w:gridCol w:w="936"/>
        <w:gridCol w:w="939"/>
        <w:gridCol w:w="109"/>
        <w:gridCol w:w="109"/>
        <w:gridCol w:w="109"/>
        <w:gridCol w:w="315"/>
        <w:gridCol w:w="315"/>
        <w:gridCol w:w="929"/>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holding period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3.79% - 4.01%</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stock price volatility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55.00% - 60.00%</w:t>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929"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first purchase period under the ESPP commenced on March 1, 2025 and ended on August 31, 2025. As of March 31, 2026, there was $13.3 million of total unrecognized compensation cost related to the ESPP expected to be recognized over the remaining term of the offering period ending on August 31, 2026. As of March 31, 2026, 0.7 million ordinary shares or ADSs have been purchased under the ESPP.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74" name="Frame1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173</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Share-based Compensation Cost</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A summary of share-based compensation cost recognized in the Consolidated Income Statements is as follows:</w:t>
      </w:r>
    </w:p>
    <w:tbl>
      <w:tblPr>
        <w:tblW w:w="6924" w:type="dxa"/>
        <w:jc w:val="left"/>
        <w:tblInd w:w="0" w:type="dxa"/>
        <w:tblLayout w:type="fixed"/>
        <w:tblCellMar>
          <w:top w:w="28" w:type="dxa"/>
          <w:left w:w="28" w:type="dxa"/>
          <w:bottom w:w="28" w:type="dxa"/>
          <w:right w:w="28" w:type="dxa"/>
        </w:tblCellMar>
      </w:tblPr>
      <w:tblGrid>
        <w:gridCol w:w="1171"/>
        <w:gridCol w:w="1028"/>
        <w:gridCol w:w="1041"/>
        <w:gridCol w:w="109"/>
        <w:gridCol w:w="109"/>
        <w:gridCol w:w="109"/>
        <w:gridCol w:w="211"/>
        <w:gridCol w:w="616"/>
        <w:gridCol w:w="109"/>
        <w:gridCol w:w="109"/>
        <w:gridCol w:w="109"/>
        <w:gridCol w:w="109"/>
        <w:gridCol w:w="211"/>
        <w:gridCol w:w="466"/>
        <w:gridCol w:w="109"/>
        <w:gridCol w:w="109"/>
        <w:gridCol w:w="109"/>
        <w:gridCol w:w="109"/>
        <w:gridCol w:w="211"/>
        <w:gridCol w:w="616"/>
        <w:gridCol w:w="154"/>
      </w:tblGrid>
      <w:tr>
        <w:trPr/>
        <w:tc>
          <w:tcPr>
            <w:tcW w:w="117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Fiscal Year Ended March 31,</w:t>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Pre-tax share-based compensation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Less: income 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share-based compensation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income tax benefit recognized related to awards vested during the fiscal years ended March 31, 2026, 2025 and 2024 was $48.2 million, $108.7 million and $206.2 million, respectively.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fiscal year ended March 31, 2026, $3.8 million of share</w:t>
        <w:noBreakHyphen/>
        <w:t>based compensation cost was capitalized as internal</w:t>
        <w:noBreakHyphen/>
        <w:t>use software. No share-based compensation cost was capitalized for the fiscal years ended March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16 - Income Taxes</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The components of income before provision for income taxes are as follows:</w:t>
      </w:r>
    </w:p>
    <w:tbl>
      <w:tblPr>
        <w:tblW w:w="7164" w:type="dxa"/>
        <w:jc w:val="center"/>
        <w:tblInd w:w="0" w:type="dxa"/>
        <w:tblLayout w:type="fixed"/>
        <w:tblCellMar>
          <w:top w:w="28" w:type="dxa"/>
          <w:left w:w="28" w:type="dxa"/>
          <w:bottom w:w="28" w:type="dxa"/>
          <w:right w:w="28" w:type="dxa"/>
        </w:tblCellMar>
      </w:tblPr>
      <w:tblGrid>
        <w:gridCol w:w="1316"/>
        <w:gridCol w:w="1152"/>
        <w:gridCol w:w="1162"/>
        <w:gridCol w:w="109"/>
        <w:gridCol w:w="109"/>
        <w:gridCol w:w="109"/>
        <w:gridCol w:w="211"/>
        <w:gridCol w:w="616"/>
        <w:gridCol w:w="109"/>
        <w:gridCol w:w="109"/>
        <w:gridCol w:w="109"/>
        <w:gridCol w:w="109"/>
        <w:gridCol w:w="211"/>
        <w:gridCol w:w="466"/>
        <w:gridCol w:w="109"/>
        <w:gridCol w:w="109"/>
        <w:gridCol w:w="109"/>
        <w:gridCol w:w="109"/>
        <w:gridCol w:w="211"/>
        <w:gridCol w:w="466"/>
        <w:gridCol w:w="154"/>
      </w:tblGrid>
      <w:tr>
        <w:trPr/>
        <w:tc>
          <w:tcPr>
            <w:tcW w:w="131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231F20"/>
                <w:sz w:val="20"/>
              </w:rPr>
            </w:pPr>
            <w:r>
              <w:rPr>
                <w:rFonts w:ascii="Times New Roman;serif" w:hAnsi="Times New Roman;serif"/>
                <w:b/>
                <w:color w:val="231F20"/>
                <w:sz w:val="20"/>
              </w:rPr>
              <w:t>Income before provision for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The benefit (expense) for income taxes consists of the following:</w:t>
      </w:r>
    </w:p>
    <w:tbl>
      <w:tblPr>
        <w:tblW w:w="6609" w:type="dxa"/>
        <w:jc w:val="center"/>
        <w:tblInd w:w="0" w:type="dxa"/>
        <w:tblLayout w:type="fixed"/>
        <w:tblCellMar>
          <w:top w:w="28" w:type="dxa"/>
          <w:left w:w="28" w:type="dxa"/>
          <w:bottom w:w="28" w:type="dxa"/>
          <w:right w:w="28" w:type="dxa"/>
        </w:tblCellMar>
      </w:tblPr>
      <w:tblGrid>
        <w:gridCol w:w="1088"/>
        <w:gridCol w:w="952"/>
        <w:gridCol w:w="960"/>
        <w:gridCol w:w="109"/>
        <w:gridCol w:w="109"/>
        <w:gridCol w:w="109"/>
        <w:gridCol w:w="211"/>
        <w:gridCol w:w="541"/>
        <w:gridCol w:w="109"/>
        <w:gridCol w:w="109"/>
        <w:gridCol w:w="109"/>
        <w:gridCol w:w="109"/>
        <w:gridCol w:w="211"/>
        <w:gridCol w:w="541"/>
        <w:gridCol w:w="109"/>
        <w:gridCol w:w="109"/>
        <w:gridCol w:w="109"/>
        <w:gridCol w:w="109"/>
        <w:gridCol w:w="211"/>
        <w:gridCol w:w="541"/>
        <w:gridCol w:w="154"/>
      </w:tblGrid>
      <w:tr>
        <w:trPr/>
        <w:tc>
          <w:tcPr>
            <w:tcW w:w="108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tax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income tax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4605" cy="14605"/>
                <wp:effectExtent l="0" t="0" r="0" b="0"/>
                <wp:wrapNone/>
                <wp:docPr id="175" name="Frame174"/>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174</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 xml:space="preserve">A reconciliation of the United Kingdom statutory income tax rate to our effective tax rate after the prospective adoption of ASU 2023-09 is as follows: </w:t>
      </w:r>
    </w:p>
    <w:tbl>
      <w:tblPr>
        <w:tblW w:w="8154" w:type="dxa"/>
        <w:jc w:val="left"/>
        <w:tblInd w:w="0" w:type="dxa"/>
        <w:tblLayout w:type="fixed"/>
        <w:tblCellMar>
          <w:top w:w="28" w:type="dxa"/>
          <w:left w:w="28" w:type="dxa"/>
          <w:bottom w:w="28" w:type="dxa"/>
          <w:right w:w="28" w:type="dxa"/>
        </w:tblCellMar>
      </w:tblPr>
      <w:tblGrid>
        <w:gridCol w:w="1817"/>
        <w:gridCol w:w="1599"/>
        <w:gridCol w:w="1609"/>
        <w:gridCol w:w="109"/>
        <w:gridCol w:w="109"/>
        <w:gridCol w:w="109"/>
        <w:gridCol w:w="321"/>
        <w:gridCol w:w="825"/>
        <w:gridCol w:w="166"/>
        <w:gridCol w:w="166"/>
        <w:gridCol w:w="166"/>
        <w:gridCol w:w="166"/>
        <w:gridCol w:w="255"/>
        <w:gridCol w:w="256"/>
        <w:gridCol w:w="481"/>
      </w:tblGrid>
      <w:tr>
        <w:trPr/>
        <w:tc>
          <w:tcPr>
            <w:tcW w:w="1817"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Percent</w:t>
            </w:r>
          </w:p>
        </w:tc>
      </w:tr>
      <w:tr>
        <w:trPr/>
        <w:tc>
          <w:tcPr>
            <w:tcW w:w="5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 statutory income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taxes, net of federal income 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48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8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48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8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8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48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8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South Korea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8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Taiwan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8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8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48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48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48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deduction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8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8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48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Patent box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48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tax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76" name="Frame1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175</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A reconciliation of the tax benefit (expense) at the United Kingdom statutory income tax rate to the actual tax benefit (expense) prior to the adoption of ASU 2023-09 is as follows:</w:t>
      </w:r>
    </w:p>
    <w:tbl>
      <w:tblPr>
        <w:tblW w:w="8385" w:type="dxa"/>
        <w:jc w:val="left"/>
        <w:tblInd w:w="0" w:type="dxa"/>
        <w:tblLayout w:type="fixed"/>
        <w:tblCellMar>
          <w:top w:w="28" w:type="dxa"/>
          <w:left w:w="28" w:type="dxa"/>
          <w:bottom w:w="28" w:type="dxa"/>
          <w:right w:w="28" w:type="dxa"/>
        </w:tblCellMar>
      </w:tblPr>
      <w:tblGrid>
        <w:gridCol w:w="1890"/>
        <w:gridCol w:w="1658"/>
        <w:gridCol w:w="1672"/>
        <w:gridCol w:w="109"/>
        <w:gridCol w:w="109"/>
        <w:gridCol w:w="109"/>
        <w:gridCol w:w="109"/>
        <w:gridCol w:w="109"/>
        <w:gridCol w:w="278"/>
        <w:gridCol w:w="714"/>
        <w:gridCol w:w="143"/>
        <w:gridCol w:w="143"/>
        <w:gridCol w:w="143"/>
        <w:gridCol w:w="143"/>
        <w:gridCol w:w="278"/>
        <w:gridCol w:w="575"/>
        <w:gridCol w:w="203"/>
      </w:tblGrid>
      <w:tr>
        <w:trPr/>
        <w:tc>
          <w:tcPr>
            <w:tcW w:w="1890"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r>
      <w:tr>
        <w:trPr/>
        <w:tc>
          <w:tcPr>
            <w:tcW w:w="5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 at statutory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203"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rate differential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0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0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0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Non-deductible/non-taxable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0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Patent box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0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Contingency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U.K. rate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0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20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Gains exempt from U.K.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03"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Windfall tax benefit associated with share-based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0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tax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The significant components of deferred tax assets and liabilities are as follows:</w:t>
      </w:r>
    </w:p>
    <w:tbl>
      <w:tblPr>
        <w:tblW w:w="7927" w:type="dxa"/>
        <w:jc w:val="center"/>
        <w:tblInd w:w="0" w:type="dxa"/>
        <w:tblLayout w:type="fixed"/>
        <w:tblCellMar>
          <w:top w:w="28" w:type="dxa"/>
          <w:left w:w="28" w:type="dxa"/>
          <w:bottom w:w="28" w:type="dxa"/>
          <w:right w:w="28" w:type="dxa"/>
        </w:tblCellMar>
      </w:tblPr>
      <w:tblGrid>
        <w:gridCol w:w="1573"/>
        <w:gridCol w:w="1379"/>
        <w:gridCol w:w="1397"/>
        <w:gridCol w:w="109"/>
        <w:gridCol w:w="109"/>
        <w:gridCol w:w="109"/>
        <w:gridCol w:w="386"/>
        <w:gridCol w:w="854"/>
        <w:gridCol w:w="199"/>
        <w:gridCol w:w="109"/>
        <w:gridCol w:w="109"/>
        <w:gridCol w:w="109"/>
        <w:gridCol w:w="377"/>
        <w:gridCol w:w="833"/>
        <w:gridCol w:w="275"/>
      </w:tblGrid>
      <w:tr>
        <w:trPr/>
        <w:tc>
          <w:tcPr>
            <w:tcW w:w="1573"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4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losses and research and development 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Fixed assets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gross deferred tax assets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 net of valuation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Outside basis differences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27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7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intangibles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deferred tax assets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pPr>
      <w:r>
        <w:rPr>
          <w:rFonts w:ascii="Times New Roman;serif" w:hAnsi="Times New Roman;serif"/>
          <w:b w:val="false"/>
          <w:color w:val="000000"/>
          <w:sz w:val="20"/>
        </w:rPr>
        <w:t xml:space="preserve">As of March 31, 2026, the valuation allowance was </w:t>
      </w:r>
      <w:r>
        <w:rPr>
          <w:rFonts w:ascii="Times New Roman;serif" w:hAnsi="Times New Roman;serif"/>
          <w:b w:val="false"/>
          <w:color w:val="231F20"/>
          <w:sz w:val="20"/>
        </w:rPr>
        <w:t>$11.3 million</w:t>
      </w:r>
      <w:r>
        <w:rPr>
          <w:rFonts w:ascii="Times New Roman;serif" w:hAnsi="Times New Roman;serif"/>
          <w:b w:val="false"/>
          <w:color w:val="000000"/>
          <w:sz w:val="20"/>
        </w:rPr>
        <w:t xml:space="preserve">, mostly related to certain U.K. tax loss carryforwards. As of March 31, 2025, the valuation allowance was </w:t>
      </w:r>
      <w:r>
        <w:rPr>
          <w:rFonts w:ascii="Times New Roman;serif" w:hAnsi="Times New Roman;serif"/>
          <w:b w:val="false"/>
          <w:color w:val="231F20"/>
          <w:sz w:val="20"/>
        </w:rPr>
        <w:t>$26.4 million</w:t>
      </w:r>
      <w:r>
        <w:rPr>
          <w:rFonts w:ascii="Times New Roman;serif" w:hAnsi="Times New Roman;serif"/>
          <w:b w:val="false"/>
          <w:color w:val="000000"/>
          <w:sz w:val="20"/>
        </w:rPr>
        <w:t xml:space="preserve">, mostly related to certain U.K. tax losses and certain state research and development tax credit carryforwards. During the fiscal year ended March 31, 2026, the valuation allowance on our net deferred tax assets decreased by </w:t>
      </w:r>
      <w:r>
        <w:rPr>
          <w:rFonts w:ascii="Times New Roman;serif" w:hAnsi="Times New Roman;serif"/>
          <w:b w:val="false"/>
          <w:color w:val="231F20"/>
          <w:sz w:val="20"/>
        </w:rPr>
        <w:t>$15.1 million</w:t>
      </w:r>
      <w:r>
        <w:rPr>
          <w:rFonts w:ascii="Times New Roman;serif" w:hAnsi="Times New Roman;serif"/>
          <w:b w:val="false"/>
          <w:color w:val="000000"/>
          <w:sz w:val="20"/>
        </w:rPr>
        <w:t>.</w:t>
      </w:r>
    </w:p>
    <w:p>
      <w:pPr>
        <w:pStyle w:val="TextBody"/>
        <w:bidi w:val="0"/>
        <w:spacing w:lineRule="auto" w:line="288" w:before="0" w:after="240"/>
        <w:jc w:val="both"/>
        <w:rPr/>
      </w:pPr>
      <w:r>
        <w:rPr>
          <w:rFonts w:ascii="Times New Roman;serif" w:hAnsi="Times New Roman;serif"/>
          <w:b w:val="false"/>
          <w:color w:val="000000"/>
          <w:sz w:val="20"/>
        </w:rPr>
        <w:t xml:space="preserve">As of March 31, 2026, the Company’s U.K. trading loss and R&amp;D expenditure credit carryforwards were </w:t>
      </w:r>
      <w:r>
        <w:rPr>
          <w:rFonts w:ascii="Times New Roman;serif" w:hAnsi="Times New Roman;serif"/>
          <w:b w:val="false"/>
          <w:color w:val="231F20"/>
          <w:sz w:val="20"/>
        </w:rPr>
        <w:t>$338.9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231F20"/>
          <w:sz w:val="20"/>
        </w:rPr>
        <w:t>$120.7 million, respectively</w:t>
      </w:r>
      <w:r>
        <w:rPr>
          <w:rFonts w:ascii="Times New Roman;serif" w:hAnsi="Times New Roman;serif"/>
          <w:b w:val="false"/>
          <w:color w:val="000000"/>
          <w:sz w:val="20"/>
        </w:rPr>
        <w:t xml:space="preserve">. These have no expiration date. The Company also has U.S. federal net operating loss carryforwards of </w:t>
      </w:r>
      <w:r>
        <w:rPr>
          <w:rFonts w:ascii="Times New Roman;serif" w:hAnsi="Times New Roman;serif"/>
          <w:b w:val="false"/>
          <w:color w:val="231F20"/>
          <w:sz w:val="20"/>
        </w:rPr>
        <w:t>$420.0 million</w:t>
      </w:r>
      <w:r>
        <w:rPr>
          <w:rFonts w:ascii="Times New Roman;serif" w:hAnsi="Times New Roman;serif"/>
          <w:b w:val="false"/>
          <w:color w:val="000000"/>
          <w:sz w:val="20"/>
        </w:rPr>
        <w:t xml:space="preserve">, of which </w:t>
      </w:r>
      <w:r>
        <w:rPr>
          <w:rFonts w:ascii="Times New Roman;serif" w:hAnsi="Times New Roman;serif"/>
          <w:b w:val="false"/>
          <w:color w:val="231F20"/>
          <w:sz w:val="20"/>
        </w:rPr>
        <w:t>$414.1 million</w:t>
      </w:r>
      <w:r>
        <w:rPr>
          <w:color w:val="000000"/>
        </w:rPr>
        <w:t xml:space="preserve"> </w:t>
      </w:r>
      <w:r>
        <w:rPr>
          <w:rFonts w:ascii="Times New Roman;serif" w:hAnsi="Times New Roman;serif"/>
          <w:b w:val="false"/>
          <w:color w:val="000000"/>
          <w:sz w:val="20"/>
        </w:rPr>
        <w:t xml:space="preserve">has no expiration date and </w:t>
      </w:r>
      <w:r>
        <w:rPr>
          <w:rFonts w:ascii="Times New Roman;serif" w:hAnsi="Times New Roman;serif"/>
          <w:b w:val="false"/>
          <w:color w:val="231F20"/>
          <w:sz w:val="20"/>
        </w:rPr>
        <w:t>$5.9 million</w:t>
      </w:r>
      <w:r>
        <w:rPr>
          <w:color w:val="000000"/>
        </w:rPr>
        <w:t xml:space="preserve"> </w:t>
      </w:r>
      <w:r>
        <w:rPr>
          <w:rFonts w:ascii="Times New Roman;serif" w:hAnsi="Times New Roman;serif"/>
          <w:b w:val="false"/>
          <w:color w:val="000000"/>
          <w:sz w:val="20"/>
        </w:rPr>
        <w:t xml:space="preserve">will expire between fiscal years 2034 and 2037. The Company also has state net operating loss carryforwards of </w:t>
      </w:r>
      <w:r>
        <w:rPr>
          <w:rFonts w:ascii="Times New Roman;serif" w:hAnsi="Times New Roman;serif"/>
          <w:b w:val="false"/>
          <w:color w:val="231F20"/>
          <w:sz w:val="20"/>
        </w:rPr>
        <w:t>$301.8 million</w:t>
      </w:r>
      <w:r>
        <w:rPr>
          <w:rFonts w:ascii="Times New Roman;serif" w:hAnsi="Times New Roman;serif"/>
          <w:b w:val="false"/>
          <w:color w:val="000000"/>
          <w:sz w:val="20"/>
        </w:rPr>
        <w:t xml:space="preserve">, which will expire at various dates through fiscal year 2047. The Company also has U.S. federal research and development tax credit carryforwards of approximately </w:t>
      </w:r>
      <w:r>
        <w:rPr>
          <w:rFonts w:ascii="Times New Roman;serif" w:hAnsi="Times New Roman;serif"/>
          <w:b w:val="false"/>
          <w:color w:val="231F20"/>
          <w:sz w:val="20"/>
        </w:rPr>
        <w:t>$257.1 million</w:t>
      </w:r>
      <w:r>
        <w:rPr>
          <w:rFonts w:ascii="Times New Roman;serif" w:hAnsi="Times New Roman;serif"/>
          <w:b w:val="false"/>
          <w:color w:val="000000"/>
          <w:sz w:val="20"/>
        </w:rPr>
        <w:t xml:space="preserve">, which will expire between fiscal years 2034 and 2046. In addition,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77" name="Frame1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176</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both"/>
        <w:rPr/>
      </w:pPr>
      <w:r>
        <w:rPr>
          <w:rFonts w:ascii="Times New Roman;serif" w:hAnsi="Times New Roman;serif"/>
          <w:b w:val="false"/>
          <w:color w:val="000000"/>
          <w:sz w:val="20"/>
        </w:rPr>
        <w:t xml:space="preserve">Company has state research and development tax credit carryforwards of approximately </w:t>
      </w:r>
      <w:r>
        <w:rPr>
          <w:rFonts w:ascii="Times New Roman;serif" w:hAnsi="Times New Roman;serif"/>
          <w:b w:val="false"/>
          <w:color w:val="231F20"/>
          <w:sz w:val="20"/>
        </w:rPr>
        <w:t>$145.7 million</w:t>
      </w:r>
      <w:r>
        <w:rPr>
          <w:rFonts w:ascii="Times New Roman;serif" w:hAnsi="Times New Roman;serif"/>
          <w:b w:val="false"/>
          <w:color w:val="000000"/>
          <w:sz w:val="20"/>
        </w:rPr>
        <w:t xml:space="preserve">, of which </w:t>
      </w:r>
      <w:r>
        <w:rPr>
          <w:rFonts w:ascii="Times New Roman;serif" w:hAnsi="Times New Roman;serif"/>
          <w:b w:val="false"/>
          <w:color w:val="231F20"/>
          <w:sz w:val="20"/>
        </w:rPr>
        <w:t>$39.1 million</w:t>
      </w:r>
      <w:r>
        <w:rPr>
          <w:color w:val="000000"/>
        </w:rPr>
        <w:t xml:space="preserve"> </w:t>
      </w:r>
      <w:r>
        <w:rPr>
          <w:rFonts w:ascii="Times New Roman;serif" w:hAnsi="Times New Roman;serif"/>
          <w:b w:val="false"/>
          <w:color w:val="000000"/>
          <w:sz w:val="20"/>
        </w:rPr>
        <w:t xml:space="preserve">has no expiration date and </w:t>
      </w:r>
      <w:r>
        <w:rPr>
          <w:rFonts w:ascii="Times New Roman;serif" w:hAnsi="Times New Roman;serif"/>
          <w:b w:val="false"/>
          <w:color w:val="231F20"/>
          <w:sz w:val="20"/>
        </w:rPr>
        <w:t>$106.6 million</w:t>
      </w:r>
      <w:r>
        <w:rPr>
          <w:color w:val="000000"/>
        </w:rPr>
        <w:t xml:space="preserve"> </w:t>
      </w:r>
      <w:r>
        <w:rPr>
          <w:rFonts w:ascii="Times New Roman;serif" w:hAnsi="Times New Roman;serif"/>
          <w:b w:val="false"/>
          <w:color w:val="000000"/>
          <w:sz w:val="20"/>
        </w:rPr>
        <w:t>will expire between fiscal years 2033 and 2046.</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Utilization of the U.S. federal net operating loss and research and development tax credit carryforwards may be subject to annual limitations due to the ownership change limitations provided by the U.S. Internal Revenue Code of 1986, as amended, and similar state provisions. Such annual limitations could result in the expiration of the net operating loss and tax credit carryforwards before their utilization. The events that may cause ownership changes include, but are not limited to, a cumulative stock ownership change of greater than 50% over a three-year period.</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The following table reflects changes in gross unrecognized tax benefits:</w:t>
      </w:r>
    </w:p>
    <w:tbl>
      <w:tblPr>
        <w:tblW w:w="7313" w:type="dxa"/>
        <w:jc w:val="center"/>
        <w:tblInd w:w="0" w:type="dxa"/>
        <w:tblLayout w:type="fixed"/>
        <w:tblCellMar>
          <w:top w:w="28" w:type="dxa"/>
          <w:left w:w="28" w:type="dxa"/>
          <w:bottom w:w="28" w:type="dxa"/>
          <w:right w:w="28" w:type="dxa"/>
        </w:tblCellMar>
      </w:tblPr>
      <w:tblGrid>
        <w:gridCol w:w="1443"/>
        <w:gridCol w:w="1267"/>
        <w:gridCol w:w="1279"/>
        <w:gridCol w:w="109"/>
        <w:gridCol w:w="109"/>
        <w:gridCol w:w="109"/>
        <w:gridCol w:w="211"/>
        <w:gridCol w:w="481"/>
        <w:gridCol w:w="109"/>
        <w:gridCol w:w="109"/>
        <w:gridCol w:w="109"/>
        <w:gridCol w:w="109"/>
        <w:gridCol w:w="211"/>
        <w:gridCol w:w="481"/>
        <w:gridCol w:w="109"/>
        <w:gridCol w:w="109"/>
        <w:gridCol w:w="109"/>
        <w:gridCol w:w="109"/>
        <w:gridCol w:w="211"/>
        <w:gridCol w:w="376"/>
        <w:gridCol w:w="154"/>
      </w:tblGrid>
      <w:tr>
        <w:trPr/>
        <w:tc>
          <w:tcPr>
            <w:tcW w:w="1443"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r>
      <w:tr>
        <w:trPr/>
        <w:tc>
          <w:tcPr>
            <w:tcW w:w="3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unrecognized tax benefits—April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increases—tax positions in prior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decreases—tax positions in prior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increases—tax positions in current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Lapse of statute of limitations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unrecognized tax benefits—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101</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83</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pPr>
      <w:r>
        <w:rPr>
          <w:rFonts w:ascii="Times New Roman;serif" w:hAnsi="Times New Roman;serif"/>
          <w:b w:val="false"/>
          <w:color w:val="231F20"/>
          <w:sz w:val="20"/>
        </w:rPr>
        <w:t xml:space="preserve">Included in the balance of unrecognized tax benefits as of </w:t>
      </w:r>
      <w:r>
        <w:rPr>
          <w:rFonts w:ascii="Times New Roman;serif" w:hAnsi="Times New Roman;serif"/>
          <w:b w:val="false"/>
          <w:color w:val="000000"/>
          <w:sz w:val="20"/>
        </w:rPr>
        <w:t>March 31, 2026</w:t>
      </w:r>
      <w:r>
        <w:rPr>
          <w:rFonts w:ascii="Times New Roman;serif" w:hAnsi="Times New Roman;serif"/>
          <w:b w:val="false"/>
          <w:color w:val="231F20"/>
          <w:sz w:val="20"/>
        </w:rPr>
        <w:t xml:space="preserve">, </w:t>
      </w:r>
      <w:r>
        <w:rPr>
          <w:rFonts w:ascii="Times New Roman;serif" w:hAnsi="Times New Roman;serif"/>
          <w:b w:val="false"/>
          <w:color w:val="000000"/>
          <w:sz w:val="20"/>
        </w:rPr>
        <w:t>2025</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2024,</w:t>
      </w:r>
      <w:r>
        <w:rPr>
          <w:color w:val="231F20"/>
        </w:rPr>
        <w:t xml:space="preserve"> </w:t>
      </w:r>
      <w:r>
        <w:rPr>
          <w:rFonts w:ascii="Times New Roman;serif" w:hAnsi="Times New Roman;serif"/>
          <w:b w:val="false"/>
          <w:color w:val="231F20"/>
          <w:sz w:val="20"/>
        </w:rPr>
        <w:t xml:space="preserve">are $171.8 million, </w:t>
      </w:r>
      <w:r>
        <w:rPr>
          <w:rFonts w:ascii="Times New Roman;serif" w:hAnsi="Times New Roman;serif"/>
          <w:b w:val="false"/>
          <w:color w:val="231F20"/>
          <w:sz w:val="20"/>
          <w:shd w:fill="FFFFFF" w:val="clear"/>
        </w:rPr>
        <w:t>$76.0 million</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231F20"/>
          <w:sz w:val="20"/>
          <w:shd w:fill="FFFFFF" w:val="clear"/>
        </w:rPr>
        <w:t>$71.9 million</w:t>
      </w:r>
      <w:r>
        <w:rPr>
          <w:rFonts w:ascii="Times New Roman;serif" w:hAnsi="Times New Roman;serif"/>
          <w:b w:val="false"/>
          <w:color w:val="231F20"/>
          <w:sz w:val="20"/>
        </w:rPr>
        <w:t>, respectively, of tax benefits that, if recognized, would affect the effective tax rate.</w:t>
      </w:r>
    </w:p>
    <w:p>
      <w:pPr>
        <w:pStyle w:val="TextBody"/>
        <w:bidi w:val="0"/>
        <w:spacing w:lineRule="auto" w:line="288" w:before="120" w:after="240"/>
        <w:jc w:val="both"/>
        <w:rPr/>
      </w:pPr>
      <w:r>
        <w:rPr>
          <w:rFonts w:ascii="Times New Roman;serif" w:hAnsi="Times New Roman;serif"/>
          <w:b w:val="false"/>
          <w:color w:val="231F20"/>
          <w:sz w:val="20"/>
        </w:rPr>
        <w:t>The Company recognizes interest accrued related to unrecognized tax benefits and penalties as income tax expense. The Company recognized (benefit) expense of $2.8 million</w:t>
      </w:r>
      <w:r>
        <w:rPr>
          <w:rFonts w:ascii="Times New Roman;serif" w:hAnsi="Times New Roman;serif"/>
          <w:b w:val="false"/>
          <w:color w:val="231F20"/>
          <w:sz w:val="20"/>
          <w:shd w:fill="FFFFFF" w:val="clear"/>
        </w:rPr>
        <w:t>, $(13.8) million</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231F20"/>
          <w:sz w:val="20"/>
          <w:shd w:fill="FFFFFF" w:val="clear"/>
        </w:rPr>
        <w:t>$1.8 million</w:t>
      </w:r>
      <w:r>
        <w:rPr>
          <w:color w:val="231F20"/>
        </w:rPr>
        <w:t xml:space="preserve"> </w:t>
      </w:r>
      <w:r>
        <w:rPr>
          <w:rFonts w:ascii="Times New Roman;serif" w:hAnsi="Times New Roman;serif"/>
          <w:b w:val="false"/>
          <w:color w:val="231F20"/>
          <w:sz w:val="20"/>
        </w:rPr>
        <w:t xml:space="preserve">for interest and penalties associated with income tax liabilities as of </w:t>
      </w:r>
      <w:r>
        <w:rPr>
          <w:rFonts w:ascii="Times New Roman;serif" w:hAnsi="Times New Roman;serif"/>
          <w:b w:val="false"/>
          <w:color w:val="000000"/>
          <w:sz w:val="20"/>
        </w:rPr>
        <w:t>March 31, 2026</w:t>
      </w:r>
      <w:r>
        <w:rPr>
          <w:rFonts w:ascii="Times New Roman;serif" w:hAnsi="Times New Roman;serif"/>
          <w:b w:val="false"/>
          <w:color w:val="231F20"/>
          <w:sz w:val="20"/>
        </w:rPr>
        <w:t xml:space="preserve">, </w:t>
      </w:r>
      <w:r>
        <w:rPr>
          <w:rFonts w:ascii="Times New Roman;serif" w:hAnsi="Times New Roman;serif"/>
          <w:b w:val="false"/>
          <w:color w:val="000000"/>
          <w:sz w:val="20"/>
        </w:rPr>
        <w:t>2025</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2024</w:t>
      </w:r>
      <w:r>
        <w:rPr>
          <w:rFonts w:ascii="Times New Roman;serif" w:hAnsi="Times New Roman;serif"/>
          <w:b w:val="false"/>
          <w:color w:val="231F20"/>
          <w:sz w:val="20"/>
        </w:rPr>
        <w:t xml:space="preserve">, respectively. As of </w:t>
      </w:r>
      <w:r>
        <w:rPr>
          <w:rFonts w:ascii="Times New Roman;serif" w:hAnsi="Times New Roman;serif"/>
          <w:b w:val="false"/>
          <w:color w:val="000000"/>
          <w:sz w:val="20"/>
        </w:rPr>
        <w:t>March 31, 2026</w:t>
      </w:r>
      <w:r>
        <w:rPr>
          <w:rFonts w:ascii="Times New Roman;serif" w:hAnsi="Times New Roman;serif"/>
          <w:b w:val="false"/>
          <w:color w:val="231F20"/>
          <w:sz w:val="20"/>
        </w:rPr>
        <w:t xml:space="preserve">, </w:t>
      </w:r>
      <w:r>
        <w:rPr>
          <w:rFonts w:ascii="Times New Roman;serif" w:hAnsi="Times New Roman;serif"/>
          <w:b w:val="false"/>
          <w:color w:val="000000"/>
          <w:sz w:val="20"/>
        </w:rPr>
        <w:t>2025</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2024</w:t>
      </w:r>
      <w:r>
        <w:rPr>
          <w:rFonts w:ascii="Times New Roman;serif" w:hAnsi="Times New Roman;serif"/>
          <w:b w:val="false"/>
          <w:color w:val="231F20"/>
          <w:sz w:val="20"/>
        </w:rPr>
        <w:t>, the Company had total accrued interest and penalties of $4.4 million</w:t>
      </w:r>
      <w:r>
        <w:rPr>
          <w:rFonts w:ascii="Times New Roman;serif" w:hAnsi="Times New Roman;serif"/>
          <w:b w:val="false"/>
          <w:color w:val="000000"/>
          <w:sz w:val="20"/>
        </w:rPr>
        <w:t xml:space="preserve">, </w:t>
      </w:r>
      <w:r>
        <w:rPr>
          <w:rFonts w:ascii="Times New Roman;serif" w:hAnsi="Times New Roman;serif"/>
          <w:b w:val="false"/>
          <w:color w:val="231F20"/>
          <w:sz w:val="20"/>
          <w:shd w:fill="FFFFFF" w:val="clear"/>
        </w:rPr>
        <w:t>$1.6 million</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231F20"/>
          <w:sz w:val="20"/>
          <w:shd w:fill="FFFFFF" w:val="clear"/>
        </w:rPr>
        <w:t>$15.5 million</w:t>
      </w:r>
      <w:r>
        <w:rPr>
          <w:rFonts w:ascii="Times New Roman;serif" w:hAnsi="Times New Roman;serif"/>
          <w:b w:val="false"/>
          <w:color w:val="231F20"/>
          <w:sz w:val="20"/>
        </w:rPr>
        <w:t>, respectively, which is included in other non-current liabilities on the Consolidated Balance Sheets.</w:t>
      </w:r>
    </w:p>
    <w:p>
      <w:pPr>
        <w:pStyle w:val="TextBody"/>
        <w:bidi w:val="0"/>
        <w:spacing w:lineRule="auto" w:line="288" w:before="120" w:after="240"/>
        <w:jc w:val="both"/>
        <w:rPr/>
      </w:pPr>
      <w:r>
        <w:rPr>
          <w:rFonts w:ascii="Times New Roman;serif" w:hAnsi="Times New Roman;serif"/>
          <w:b w:val="false"/>
          <w:color w:val="231F20"/>
          <w:sz w:val="20"/>
        </w:rPr>
        <w:t xml:space="preserve">While the Company believes it has adequately provided for all tax positions, amounts asserted by tax authorities could be greater or less than the position. Accordingly, provisions on federal, state and foreign tax-related matters to be recorded in the future may change as revised estimates are made or the underlying matters are settled or otherwise resolved. As of </w:t>
      </w:r>
      <w:r>
        <w:rPr>
          <w:rFonts w:ascii="Times New Roman;serif" w:hAnsi="Times New Roman;serif"/>
          <w:b w:val="false"/>
          <w:color w:val="000000"/>
          <w:sz w:val="20"/>
        </w:rPr>
        <w:t>March 31, 2026</w:t>
      </w:r>
      <w:r>
        <w:rPr>
          <w:rFonts w:ascii="Times New Roman;serif" w:hAnsi="Times New Roman;serif"/>
          <w:b w:val="false"/>
          <w:color w:val="231F20"/>
          <w:sz w:val="20"/>
        </w:rPr>
        <w:t xml:space="preserve">, the Company has </w:t>
      </w:r>
      <w:r>
        <w:rPr>
          <w:rFonts w:ascii="Times New Roman;serif" w:hAnsi="Times New Roman;serif"/>
          <w:b w:val="false"/>
          <w:color w:val="000000"/>
          <w:sz w:val="20"/>
        </w:rPr>
        <w:t>not</w:t>
      </w:r>
      <w:r>
        <w:rPr>
          <w:color w:val="231F20"/>
        </w:rPr>
        <w:t xml:space="preserve"> </w:t>
      </w:r>
      <w:r>
        <w:rPr>
          <w:rFonts w:ascii="Times New Roman;serif" w:hAnsi="Times New Roman;serif"/>
          <w:b w:val="false"/>
          <w:color w:val="231F20"/>
          <w:sz w:val="20"/>
        </w:rPr>
        <w:t xml:space="preserve">identified any positions for which it is reasonably possible that the total amounts of unrecognized tax benefits will significantly increase or decrease within the next </w:t>
      </w:r>
      <w:r>
        <w:rPr>
          <w:rFonts w:ascii="Times New Roman;serif" w:hAnsi="Times New Roman;serif"/>
          <w:b w:val="false"/>
          <w:color w:val="000000"/>
          <w:sz w:val="20"/>
        </w:rPr>
        <w:t>twelve months</w:t>
      </w:r>
      <w:r>
        <w:rPr>
          <w:rFonts w:ascii="Times New Roman;serif" w:hAnsi="Times New Roman;serif"/>
          <w:b w:val="false"/>
          <w:color w:val="231F20"/>
          <w:sz w:val="20"/>
        </w:rPr>
        <w:t>.</w:t>
      </w:r>
    </w:p>
    <w:p>
      <w:pPr>
        <w:pStyle w:val="TextBody"/>
        <w:bidi w:val="0"/>
        <w:spacing w:lineRule="auto" w:line="288" w:before="120" w:after="240"/>
        <w:jc w:val="both"/>
        <w:rPr/>
      </w:pPr>
      <w:r>
        <w:rPr>
          <w:rFonts w:ascii="Times New Roman;serif" w:hAnsi="Times New Roman;serif"/>
          <w:b w:val="false"/>
          <w:color w:val="231F20"/>
          <w:sz w:val="20"/>
        </w:rPr>
        <w:t xml:space="preserve">The Company is subject to taxation in the United Kingdom and various foreign jurisdictions. As of </w:t>
      </w:r>
      <w:r>
        <w:rPr>
          <w:rFonts w:ascii="Times New Roman;serif" w:hAnsi="Times New Roman;serif"/>
          <w:b w:val="false"/>
          <w:color w:val="000000"/>
          <w:sz w:val="20"/>
        </w:rPr>
        <w:t>March 31, 2026</w:t>
      </w:r>
      <w:r>
        <w:rPr>
          <w:rFonts w:ascii="Times New Roman;serif" w:hAnsi="Times New Roman;serif"/>
          <w:b w:val="false"/>
          <w:color w:val="231F20"/>
          <w:sz w:val="20"/>
        </w:rPr>
        <w:t>, our U.K. tax returns for fiscal year 2019 and all subsequent years remain subject to examination. Our U.S. Federal tax returns remain subject to examination for the calendar year 2003 and most subsequent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78" name="Frame1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177</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received) by jurisdiction pursuant to the disclosure requirements of ASU 2023-09 for the fiscal year ended March 31, 2026 is as follows:</w:t>
      </w:r>
    </w:p>
    <w:tbl>
      <w:tblPr>
        <w:tblW w:w="5816" w:type="dxa"/>
        <w:jc w:val="left"/>
        <w:tblInd w:w="0" w:type="dxa"/>
        <w:tblLayout w:type="fixed"/>
        <w:tblCellMar>
          <w:top w:w="28" w:type="dxa"/>
          <w:left w:w="28" w:type="dxa"/>
          <w:bottom w:w="28" w:type="dxa"/>
          <w:right w:w="28" w:type="dxa"/>
        </w:tblCellMar>
      </w:tblPr>
      <w:tblGrid>
        <w:gridCol w:w="1039"/>
        <w:gridCol w:w="909"/>
        <w:gridCol w:w="917"/>
        <w:gridCol w:w="109"/>
        <w:gridCol w:w="109"/>
        <w:gridCol w:w="109"/>
        <w:gridCol w:w="666"/>
        <w:gridCol w:w="1472"/>
        <w:gridCol w:w="486"/>
      </w:tblGrid>
      <w:tr>
        <w:trPr/>
        <w:tc>
          <w:tcPr>
            <w:tcW w:w="103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Taiwan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South Korea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cash paid for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4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79" name="Frame1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178</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17 - Net Income (Loss) Per Share</w:t>
      </w:r>
    </w:p>
    <w:p>
      <w:pPr>
        <w:pStyle w:val="TextBody"/>
        <w:bidi w:val="0"/>
        <w:spacing w:lineRule="auto" w:line="288" w:before="120" w:after="240"/>
        <w:jc w:val="both"/>
        <w:rPr/>
      </w:pPr>
      <w:r>
        <w:rPr>
          <w:rFonts w:ascii="Times New Roman;serif" w:hAnsi="Times New Roman;serif"/>
          <w:b w:val="false"/>
          <w:color w:val="231F20"/>
          <w:sz w:val="20"/>
          <w:shd w:fill="FFFFFF" w:val="clear"/>
        </w:rPr>
        <w:t>The following table presents a reconciliation of basic and diluted earnings per</w:t>
      </w:r>
      <w:r>
        <w:rPr>
          <w:color w:val="231F20"/>
        </w:rPr>
        <w:t xml:space="preserve"> </w:t>
      </w:r>
      <w:r>
        <w:rPr>
          <w:rFonts w:ascii="Times New Roman;serif" w:hAnsi="Times New Roman;serif"/>
          <w:b w:val="false"/>
          <w:color w:val="231F20"/>
          <w:sz w:val="20"/>
        </w:rPr>
        <w:t>share computations for the periods presented:</w:t>
      </w:r>
    </w:p>
    <w:tbl>
      <w:tblPr>
        <w:tblW w:w="10205" w:type="dxa"/>
        <w:jc w:val="left"/>
        <w:tblInd w:w="0" w:type="dxa"/>
        <w:tblLayout w:type="fixed"/>
        <w:tblCellMar>
          <w:top w:w="28" w:type="dxa"/>
          <w:left w:w="28" w:type="dxa"/>
          <w:bottom w:w="28" w:type="dxa"/>
          <w:right w:w="28" w:type="dxa"/>
        </w:tblCellMar>
      </w:tblPr>
      <w:tblGrid>
        <w:gridCol w:w="2585"/>
        <w:gridCol w:w="2046"/>
        <w:gridCol w:w="2053"/>
        <w:gridCol w:w="109"/>
        <w:gridCol w:w="109"/>
        <w:gridCol w:w="109"/>
        <w:gridCol w:w="211"/>
        <w:gridCol w:w="511"/>
        <w:gridCol w:w="109"/>
        <w:gridCol w:w="109"/>
        <w:gridCol w:w="109"/>
        <w:gridCol w:w="109"/>
        <w:gridCol w:w="211"/>
        <w:gridCol w:w="511"/>
        <w:gridCol w:w="109"/>
        <w:gridCol w:w="109"/>
        <w:gridCol w:w="109"/>
        <w:gridCol w:w="109"/>
        <w:gridCol w:w="211"/>
        <w:gridCol w:w="511"/>
        <w:gridCol w:w="156"/>
      </w:tblGrid>
      <w:tr>
        <w:trPr/>
        <w:tc>
          <w:tcPr>
            <w:tcW w:w="2585"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Fiscal Year Ended March 31,</w:t>
            </w:r>
          </w:p>
        </w:tc>
      </w:tr>
      <w:tr>
        <w:trPr/>
        <w:tc>
          <w:tcPr>
            <w:tcW w:w="66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 share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Income (loss) attributable to ordinary shareholders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tcMar>
              <w:top w:w="0" w:type="dxa"/>
              <w:left w:w="0" w:type="dxa"/>
              <w:bottom w:w="0" w:type="dxa"/>
              <w:right w:w="0" w:type="dxa"/>
            </w:tcMar>
            <w:vAlign w:val="center"/>
          </w:tcPr>
          <w:p>
            <w:pPr>
              <w:pStyle w:val="TableContents"/>
              <w:bidi w:val="0"/>
              <w:spacing w:lineRule="auto" w:line="268" w:before="0" w:after="0"/>
              <w:ind w:left="0" w:right="0" w:hanging="180"/>
              <w:jc w:val="left"/>
              <w:rPr/>
            </w:pPr>
            <w:r>
              <w:rPr>
                <w:rFonts w:ascii="Times New Roman;serif" w:hAnsi="Times New Roman;serif"/>
                <w:b/>
                <w:color w:val="000000"/>
                <w:sz w:val="20"/>
              </w:rPr>
              <w:t xml:space="preserve">Weighted average ordinary shares used to calculate income (loss) per share — basic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1,027</w:t>
            </w:r>
          </w:p>
        </w:tc>
      </w:tr>
      <w:tr>
        <w:trPr/>
        <w:tc>
          <w:tcPr>
            <w:tcW w:w="66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Equity-classified share-based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66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Weighted average ordinary shares used to calculate income (loss)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1,044</w:t>
            </w:r>
          </w:p>
        </w:tc>
      </w:tr>
      <w:tr>
        <w:trPr/>
        <w:tc>
          <w:tcPr>
            <w:tcW w:w="66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Income (loss) per share attributable to ordinary shareholders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ordinary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Income (loss) per share attributable to ordinary shareholders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ordinary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Securities excluded from diluted net income (loss) per ordinary share because their effect would have been anti-dilutive: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tcMar>
              <w:top w:w="0" w:type="dxa"/>
              <w:left w:w="0" w:type="dxa"/>
              <w:bottom w:w="0" w:type="dxa"/>
              <w:right w:w="0" w:type="dxa"/>
            </w:tcMar>
            <w:vAlign w:val="center"/>
          </w:tcPr>
          <w:p>
            <w:pPr>
              <w:pStyle w:val="TableContents"/>
              <w:bidi w:val="0"/>
              <w:spacing w:lineRule="auto" w:line="264" w:before="33" w:after="283"/>
              <w:jc w:val="left"/>
              <w:rPr>
                <w:rFonts w:ascii="Times New Roman;serif" w:hAnsi="Times New Roman;serif"/>
                <w:b w:val="false"/>
                <w:color w:val="231F20"/>
                <w:sz w:val="20"/>
              </w:rPr>
            </w:pPr>
            <w:r>
              <w:rPr>
                <w:rFonts w:ascii="Times New Roman;serif" w:hAnsi="Times New Roman;serif"/>
                <w:b w:val="false"/>
                <w:color w:val="231F20"/>
                <w:sz w:val="20"/>
              </w:rPr>
              <w:t>Restricted share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270"/>
        <w:jc w:val="both"/>
        <w:rPr/>
      </w:pPr>
      <w:r>
        <w:rPr>
          <w:rFonts w:ascii="Times New Roman;serif" w:hAnsi="Times New Roman;serif"/>
          <w:b w:val="false"/>
          <w:color w:val="000000"/>
          <w:sz w:val="13"/>
        </w:rPr>
        <w:t>(1)    </w:t>
      </w:r>
      <w:r>
        <w:rPr>
          <w:rFonts w:ascii="Times New Roman;serif" w:hAnsi="Times New Roman;serif"/>
          <w:b w:val="false"/>
          <w:color w:val="000000"/>
          <w:sz w:val="20"/>
        </w:rPr>
        <w:t>For the fiscal year ended March 31, 2025, includes weighted average ordinary shares for vested securities without restrictions that were not issued and outstanding as of the end of the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18 - Commitments and Contingencies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may be a party to litigation, government investigations or regulatory proceedings in the ordinary course of business. Because the results of any litigation or other legal proceedings are uncertain, our financial position, results of operations or cash flows could be materially affected by an unfavorable resolution of one or more of these proceedings, claims, or demands. However, management does not currently believe the ultimate resolution of any pending legal matters is reasonably possible to have a material adverse effect on the Company’s financial position, results of operations or cash flows. The Company accrues for loss contingencies when it is both probable that it will incur the loss and when the Company can reasonably estimate the amount of the loss or range of loss. In the fiscal year ended March 31, 2023, the Company recorded a loss contingency related to an offer made by the Company to pay $40.0 million in respect of ongoing contractual disputes between the Company and a non-top five customer. That particular customer’s claims arose from a contract dating to a very early period in the Company’s history and that contract is both non-standard and significantly dissimilar from other customers’ contracts. On September 15, 2023, the Company reached an agreement, in which both parties resolved all contractual disputes and reached a mutual understanding of the contractual rights and obligations under the licensing arrangement. As a result, no amount of cash was paid by the Company to the customer with such agreement. The settlement agreement provided alignment of the rights and obligations which were previously agreed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80" name="Frame1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179</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with the non-top five customer. In the fiscal year ended March 31, 2024, the liability for litigation was reversed resulting in a reduction of selling, general and administrative expenses by $40.0 million.</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No other material amounts related to litigation settlements were recognized in the fiscal years ended March 31, 2026, 2025 and 2024.</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Purchase Obligations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we contract with various third-party service providers for systems and services to perform certain day-to-day business activities. The Company enters into non-cancelable purchase commitments for cloud computing web services, data centers, software, license and services. As of March 31, 2026, the Company had outstanding non-cancelable purchase obligations of approximately $1,056.5 million with a remaining term of 12 months or longer for periods through 2036.</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Arduino Guarantee</w:t>
      </w:r>
    </w:p>
    <w:p>
      <w:pPr>
        <w:pStyle w:val="TextBody"/>
        <w:bidi w:val="0"/>
        <w:spacing w:lineRule="auto" w:line="288" w:before="120" w:after="240"/>
        <w:jc w:val="both"/>
        <w:rPr/>
      </w:pPr>
      <w:r>
        <w:rPr>
          <w:rFonts w:ascii="Times New Roman;serif" w:hAnsi="Times New Roman;serif"/>
          <w:b w:val="false"/>
          <w:color w:val="000000"/>
          <w:sz w:val="20"/>
        </w:rPr>
        <w:t xml:space="preserve">As of March 31, 2025, the Company was guarantor for a $5.4 million credit facility available to Arduino, previously </w:t>
      </w:r>
      <w:r>
        <w:rPr>
          <w:rFonts w:ascii="Times New Roman;serif" w:hAnsi="Times New Roman;serif"/>
          <w:b w:val="false"/>
          <w:color w:val="231F20"/>
          <w:sz w:val="20"/>
        </w:rPr>
        <w:t xml:space="preserve">a related party. The guarantee was terminated in November 2025, and the Company was released from all obligations. As of </w:t>
      </w:r>
      <w:r>
        <w:rPr>
          <w:rFonts w:ascii="Times New Roman;serif" w:hAnsi="Times New Roman;serif"/>
          <w:b w:val="false"/>
          <w:color w:val="000000"/>
          <w:sz w:val="20"/>
          <w:shd w:fill="FFFFFF" w:val="clear"/>
        </w:rPr>
        <w:t>March 31, 2026</w:t>
      </w:r>
      <w:r>
        <w:rPr>
          <w:rFonts w:ascii="Times New Roman;serif" w:hAnsi="Times New Roman;serif"/>
          <w:b w:val="false"/>
          <w:color w:val="000000"/>
          <w:sz w:val="20"/>
        </w:rPr>
        <w:t>, the Company had no remaining obligations under the guarantee</w:t>
      </w:r>
      <w:r>
        <w:rPr>
          <w:rFonts w:ascii="Times New Roman;serif" w:hAnsi="Times New Roman;serif"/>
          <w:b w:val="false"/>
          <w:color w:val="231F20"/>
          <w:sz w:val="20"/>
        </w:rPr>
        <w:t>,</w:t>
      </w:r>
      <w:r>
        <w:rPr>
          <w:color w:val="000000"/>
        </w:rPr>
        <w:t xml:space="preserve"> </w:t>
      </w:r>
      <w:r>
        <w:rPr>
          <w:rFonts w:ascii="Times New Roman;serif" w:hAnsi="Times New Roman;serif"/>
          <w:b w:val="false"/>
          <w:color w:val="000000"/>
          <w:sz w:val="20"/>
        </w:rPr>
        <w:t xml:space="preserve">and no claims were made prior to termination.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19 - Retirement Benefits Plans</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The Company contributes to defined contribution plans substantially covering all employees in Europe and the United States, and to government pension plans for employees in Japan, South Korea, Taiwan, Peoples Republic of China, Israel and India. The Company contributes to these plans based upon various fixed percentages of employee compensation, and such contributions are expensed as incurred.</w:t>
      </w:r>
    </w:p>
    <w:p>
      <w:pPr>
        <w:pStyle w:val="TextBody"/>
        <w:bidi w:val="0"/>
        <w:spacing w:lineRule="auto" w:line="288" w:before="120" w:after="240"/>
        <w:jc w:val="both"/>
        <w:rPr/>
      </w:pPr>
      <w:r>
        <w:rPr>
          <w:rFonts w:ascii="Times New Roman;serif" w:hAnsi="Times New Roman;serif"/>
          <w:b w:val="false"/>
          <w:color w:val="231F20"/>
          <w:sz w:val="20"/>
        </w:rPr>
        <w:t xml:space="preserve">For the </w:t>
      </w:r>
      <w:r>
        <w:rPr>
          <w:rFonts w:ascii="Times New Roman;serif" w:hAnsi="Times New Roman;serif"/>
          <w:b w:val="false"/>
          <w:color w:val="000000"/>
          <w:sz w:val="20"/>
        </w:rPr>
        <w:t>fiscal years ended March 31, 2026</w:t>
      </w:r>
      <w:r>
        <w:rPr>
          <w:rFonts w:ascii="Times New Roman;serif" w:hAnsi="Times New Roman;serif"/>
          <w:b w:val="false"/>
          <w:color w:val="231F20"/>
          <w:sz w:val="20"/>
        </w:rPr>
        <w:t xml:space="preserve">, </w:t>
      </w:r>
      <w:r>
        <w:rPr>
          <w:rFonts w:ascii="Times New Roman;serif" w:hAnsi="Times New Roman;serif"/>
          <w:b w:val="false"/>
          <w:color w:val="000000"/>
          <w:sz w:val="20"/>
        </w:rPr>
        <w:t>2025</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2024</w:t>
      </w:r>
      <w:r>
        <w:rPr>
          <w:rFonts w:ascii="Times New Roman;serif" w:hAnsi="Times New Roman;serif"/>
          <w:b w:val="false"/>
          <w:color w:val="231F20"/>
          <w:sz w:val="20"/>
        </w:rPr>
        <w:t xml:space="preserve">, $138.9 million, $125.7 million and $96.7 million, respectively, was recorded in the Consolidated Income Statements related to contributions payable to these plans by the Company at rates specified in the rules of the plans. As of </w:t>
      </w:r>
      <w:r>
        <w:rPr>
          <w:rFonts w:ascii="Times New Roman;serif" w:hAnsi="Times New Roman;serif"/>
          <w:b w:val="false"/>
          <w:color w:val="000000"/>
          <w:sz w:val="20"/>
        </w:rPr>
        <w:t>March 31, 2026</w:t>
      </w:r>
      <w:r>
        <w:rPr>
          <w:color w:val="231F20"/>
        </w:rPr>
        <w:t xml:space="preserve"> </w:t>
      </w:r>
      <w:r>
        <w:rPr>
          <w:rFonts w:ascii="Times New Roman;serif" w:hAnsi="Times New Roman;serif"/>
          <w:b w:val="false"/>
          <w:color w:val="000000"/>
          <w:sz w:val="20"/>
        </w:rPr>
        <w:t xml:space="preserve">and </w:t>
      </w:r>
      <w:r>
        <w:rPr>
          <w:rFonts w:ascii="Times New Roman;serif" w:hAnsi="Times New Roman;serif"/>
          <w:b w:val="false"/>
          <w:color w:val="231F20"/>
          <w:sz w:val="20"/>
        </w:rPr>
        <w:t>2025, $9.1 million and $15.1 million, respectively, of contributions due had not been paid over to the plans and was recorded in accrued compensation and benefits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20 - Related Party Transactions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Arm China and Acetone Limited</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Following the restructuring of its direct investment in Arm China in the fiscal year ended March 31, 2022, the Company has a 10% non-voting ownership interest in Acetone Limited, whose primary asset is a 48.2% interest in Arm China. The Company has no direct material transactions with Acetone Limited.</w:t>
      </w:r>
    </w:p>
    <w:p>
      <w:pPr>
        <w:pStyle w:val="TextBody"/>
        <w:bidi w:val="0"/>
        <w:spacing w:lineRule="auto" w:line="288" w:before="120" w:after="240"/>
        <w:jc w:val="both"/>
        <w:rPr/>
      </w:pPr>
      <w:r>
        <w:rPr>
          <w:rFonts w:ascii="Times New Roman;serif" w:hAnsi="Times New Roman;serif"/>
          <w:b w:val="false"/>
          <w:color w:val="000000"/>
          <w:sz w:val="20"/>
        </w:rPr>
        <w:t xml:space="preserve">For the fiscal years ended March 31, 2026, 2025 and 2024, the Company recognized revenue under the terms of the IPLA with Arm China of $790.6 million, </w:t>
      </w:r>
      <w:r>
        <w:rPr>
          <w:rFonts w:ascii="Times New Roman;serif" w:hAnsi="Times New Roman;serif"/>
          <w:b w:val="false"/>
          <w:color w:val="000000"/>
          <w:sz w:val="20"/>
          <w:shd w:fill="FFFFFF" w:val="clear"/>
        </w:rPr>
        <w:t>$670.4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$670.8 million</w:t>
      </w:r>
      <w:r>
        <w:rPr>
          <w:rFonts w:ascii="Times New Roman;serif" w:hAnsi="Times New Roman;serif"/>
          <w:b w:val="false"/>
          <w:color w:val="000000"/>
          <w:sz w:val="20"/>
        </w:rPr>
        <w:t xml:space="preserve">, respectively, and recognized expenses under a service share arrangement with Arm China of $63.3 million, </w:t>
      </w:r>
      <w:r>
        <w:rPr>
          <w:rFonts w:ascii="Times New Roman;serif" w:hAnsi="Times New Roman;serif"/>
          <w:b w:val="false"/>
          <w:color w:val="000000"/>
          <w:sz w:val="20"/>
          <w:shd w:fill="FFFFFF" w:val="clear"/>
        </w:rPr>
        <w:t>$59.4 million</w:t>
      </w:r>
      <w:r>
        <w:rPr>
          <w:rFonts w:ascii="Times New Roman;serif" w:hAnsi="Times New Roman;serif"/>
          <w:b w:val="false"/>
          <w:color w:val="000000"/>
          <w:sz w:val="20"/>
        </w:rPr>
        <w:t xml:space="preserve">, and </w:t>
      </w:r>
      <w:r>
        <w:rPr>
          <w:rFonts w:ascii="Times New Roman;serif" w:hAnsi="Times New Roman;serif"/>
          <w:b w:val="false"/>
          <w:color w:val="000000"/>
          <w:sz w:val="20"/>
          <w:shd w:fill="FFFFFF" w:val="clear"/>
        </w:rPr>
        <w:t>$74.1 million</w:t>
      </w:r>
      <w:r>
        <w:rPr>
          <w:rFonts w:ascii="Times New Roman;serif" w:hAnsi="Times New Roman;serif"/>
          <w:b w:val="false"/>
          <w:color w:val="000000"/>
          <w:sz w:val="20"/>
        </w:rPr>
        <w:t xml:space="preserve">, respectively. In the fiscal year ended March 31, 2024, the Company recognized $5.5 million of contract termination costs in disposal, restructuring and other operating expenses, net in the Consolidated Income Statements due to a terminated agreement with Arm China for certain software engineering-related services, which was brought in-house. For the fiscal years ended March 31, 2026 and 2025, the Company did not recognize any contract termination costs in disposal, restructuring, and other operating expenses, net in the Consolidated Income Statements related to Arm China. The Company leases certain assets to Arm China. For the fiscal years ended March 31, 2026, 2025 and 2024, the Company recognized rental income from the assets leased to Arm China of $1.0 million, </w:t>
      </w:r>
      <w:r>
        <w:rPr>
          <w:rFonts w:ascii="Times New Roman;serif" w:hAnsi="Times New Roman;serif"/>
          <w:b w:val="false"/>
          <w:color w:val="000000"/>
          <w:sz w:val="20"/>
          <w:shd w:fill="FFFFFF" w:val="clear"/>
        </w:rPr>
        <w:t>$1.2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$1.7 million</w:t>
      </w:r>
      <w:r>
        <w:rPr>
          <w:rFonts w:ascii="Times New Roman;serif" w:hAnsi="Times New Roman;serif"/>
          <w:b w:val="false"/>
          <w:color w:val="000000"/>
          <w:sz w:val="20"/>
        </w:rPr>
        <w:t>,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81" name="Frame1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180</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pPr>
      <w:r>
        <w:rPr>
          <w:rFonts w:ascii="Times New Roman;serif" w:hAnsi="Times New Roman;serif"/>
          <w:b w:val="false"/>
          <w:color w:val="000000"/>
          <w:sz w:val="20"/>
        </w:rPr>
        <w:t xml:space="preserve">As of March 31, 2026, the Company had an amount due of $276.2 million ($296.5 million receivable less $20.3 million payable) from Arm China. As of March 31, 2026, the Company had current contract liabilities of $30.3 million and non-current portion of contract liabilities of $23.3 million relating to Arm China. As of March 31, 2025, the Company had an amount due of </w:t>
      </w:r>
      <w:r>
        <w:rPr>
          <w:rFonts w:ascii="Times New Roman;serif" w:hAnsi="Times New Roman;serif"/>
          <w:b w:val="false"/>
          <w:color w:val="000000"/>
          <w:sz w:val="20"/>
          <w:shd w:fill="FFFFFF" w:val="clear"/>
        </w:rPr>
        <w:t>$284.6 million</w:t>
      </w:r>
      <w:r>
        <w:rPr>
          <w:color w:val="000000"/>
        </w:rPr>
        <w:t xml:space="preserve"> </w:t>
      </w:r>
      <w:r>
        <w:rPr>
          <w:rFonts w:ascii="Times New Roman;serif" w:hAnsi="Times New Roman;serif"/>
          <w:b w:val="false"/>
          <w:color w:val="000000"/>
          <w:sz w:val="20"/>
        </w:rPr>
        <w:t>(</w:t>
      </w:r>
      <w:r>
        <w:rPr>
          <w:rFonts w:ascii="Times New Roman;serif" w:hAnsi="Times New Roman;serif"/>
          <w:b w:val="false"/>
          <w:color w:val="000000"/>
          <w:sz w:val="20"/>
          <w:shd w:fill="FFFFFF" w:val="clear"/>
        </w:rPr>
        <w:t>$294.5 million</w:t>
      </w:r>
      <w:r>
        <w:rPr>
          <w:color w:val="000000"/>
        </w:rPr>
        <w:t xml:space="preserve"> </w:t>
      </w:r>
      <w:r>
        <w:rPr>
          <w:rFonts w:ascii="Times New Roman;serif" w:hAnsi="Times New Roman;serif"/>
          <w:b w:val="false"/>
          <w:color w:val="000000"/>
          <w:sz w:val="20"/>
        </w:rPr>
        <w:t xml:space="preserve">receivable less </w:t>
      </w:r>
      <w:r>
        <w:rPr>
          <w:rFonts w:ascii="Times New Roman;serif" w:hAnsi="Times New Roman;serif"/>
          <w:b w:val="false"/>
          <w:color w:val="000000"/>
          <w:sz w:val="20"/>
          <w:shd w:fill="FFFFFF" w:val="clear"/>
        </w:rPr>
        <w:t>$9.9 million</w:t>
      </w:r>
      <w:r>
        <w:rPr>
          <w:color w:val="000000"/>
        </w:rPr>
        <w:t xml:space="preserve"> </w:t>
      </w:r>
      <w:r>
        <w:rPr>
          <w:rFonts w:ascii="Times New Roman;serif" w:hAnsi="Times New Roman;serif"/>
          <w:b w:val="false"/>
          <w:color w:val="000000"/>
          <w:sz w:val="20"/>
        </w:rPr>
        <w:t xml:space="preserve">payable) from Arm China. As of March 31, 2025, the Company had current contract liabilities of $80.2 million and non-current portion of contract liabilities of $24.0 million relating to Arm China. </w:t>
      </w:r>
    </w:p>
    <w:p>
      <w:pPr>
        <w:pStyle w:val="TextBody"/>
        <w:bidi w:val="0"/>
        <w:spacing w:lineRule="auto" w:line="288" w:before="120" w:after="240"/>
        <w:jc w:val="both"/>
        <w:rPr/>
      </w:pPr>
      <w:r>
        <w:rPr>
          <w:rFonts w:ascii="Times New Roman;serif" w:hAnsi="Times New Roman;serif"/>
          <w:b w:val="false"/>
          <w:color w:val="000000"/>
          <w:sz w:val="20"/>
        </w:rPr>
        <w:t xml:space="preserve">For the fiscal years ended March 31, 2026 and 2025, the Company recognized $12.3 million and $16.0 million, respectively, for </w:t>
      </w:r>
      <w:r>
        <w:rPr>
          <w:rFonts w:ascii="Times New Roman;serif" w:hAnsi="Times New Roman;serif"/>
          <w:b w:val="false"/>
          <w:color w:val="231F20"/>
          <w:sz w:val="20"/>
        </w:rPr>
        <w:t xml:space="preserve">expected credit losses </w:t>
      </w:r>
      <w:r>
        <w:rPr>
          <w:rFonts w:ascii="Times New Roman;serif" w:hAnsi="Times New Roman;serif"/>
          <w:b w:val="false"/>
          <w:color w:val="000000"/>
          <w:sz w:val="20"/>
        </w:rPr>
        <w:t xml:space="preserve">against earnings relating to Arm China. For the fiscal year ended March 31, 2024, the Company did not recognize any </w:t>
      </w:r>
      <w:r>
        <w:rPr>
          <w:rFonts w:ascii="Times New Roman;serif" w:hAnsi="Times New Roman;serif"/>
          <w:b w:val="false"/>
          <w:color w:val="231F20"/>
          <w:sz w:val="20"/>
        </w:rPr>
        <w:t xml:space="preserve">expected credit losses </w:t>
      </w:r>
      <w:r>
        <w:rPr>
          <w:rFonts w:ascii="Times New Roman;serif" w:hAnsi="Times New Roman;serif"/>
          <w:b w:val="false"/>
          <w:color w:val="000000"/>
          <w:sz w:val="20"/>
        </w:rPr>
        <w:t xml:space="preserve">against earnings relating to Arm China. As of March 31, 2026 and 2025, the Company’s </w:t>
      </w:r>
      <w:r>
        <w:rPr>
          <w:rFonts w:ascii="Times New Roman;serif" w:hAnsi="Times New Roman;serif"/>
          <w:b w:val="false"/>
          <w:color w:val="231F20"/>
          <w:sz w:val="20"/>
        </w:rPr>
        <w:t>allowance for current expected credit losses</w:t>
      </w:r>
      <w:r>
        <w:rPr>
          <w:color w:val="000000"/>
        </w:rPr>
        <w:t xml:space="preserve"> </w:t>
      </w:r>
      <w:r>
        <w:rPr>
          <w:rFonts w:ascii="Times New Roman;serif" w:hAnsi="Times New Roman;serif"/>
          <w:b w:val="false"/>
          <w:color w:val="000000"/>
          <w:sz w:val="20"/>
        </w:rPr>
        <w:t xml:space="preserve">related to Arm China was $28.3 million and $16.0 million, respectively, which is reflected </w:t>
      </w:r>
      <w:r>
        <w:rPr>
          <w:rFonts w:ascii="Times New Roman;serif" w:hAnsi="Times New Roman;serif"/>
          <w:b w:val="false"/>
          <w:color w:val="231F20"/>
          <w:sz w:val="20"/>
        </w:rPr>
        <w:t xml:space="preserve">in accounts receivable, net </w:t>
      </w:r>
      <w:r>
        <w:rPr>
          <w:rFonts w:ascii="Times New Roman;serif" w:hAnsi="Times New Roman;serif"/>
          <w:b w:val="false"/>
          <w:color w:val="000000"/>
          <w:sz w:val="20"/>
        </w:rPr>
        <w:t>on the Consolidated Balance Sheets.</w:t>
      </w:r>
    </w:p>
    <w:p>
      <w:pPr>
        <w:pStyle w:val="TextBody"/>
        <w:bidi w:val="0"/>
        <w:spacing w:lineRule="auto" w:line="288" w:before="120" w:after="240"/>
        <w:jc w:val="both"/>
        <w:rPr/>
      </w:pPr>
      <w:r>
        <w:rPr>
          <w:rFonts w:ascii="Times New Roman;serif" w:hAnsi="Times New Roman;serif"/>
          <w:b w:val="false"/>
          <w:color w:val="000000"/>
          <w:sz w:val="20"/>
        </w:rPr>
        <w:t xml:space="preserve">See </w:t>
      </w:r>
      <w:r>
        <w:rPr>
          <w:rFonts w:ascii="Times New Roman;serif" w:hAnsi="Times New Roman;serif"/>
          <w:b w:val="false"/>
          <w:i/>
          <w:color w:val="000000"/>
          <w:sz w:val="20"/>
        </w:rPr>
        <w:t>Note 10 - Equity Investments</w:t>
      </w:r>
      <w:r>
        <w:rPr>
          <w:rFonts w:ascii="Times New Roman;serif" w:hAnsi="Times New Roman;serif"/>
          <w:b w:val="false"/>
          <w:color w:val="000000"/>
          <w:sz w:val="20"/>
        </w:rPr>
        <w:t xml:space="preserve">, for further details of the impact of Acetone Limited on the Company’s results.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Other Entities Related by Virtue of Common Control by SoftBank Group</w:t>
      </w:r>
    </w:p>
    <w:p>
      <w:pPr>
        <w:pStyle w:val="TextBody"/>
        <w:bidi w:val="0"/>
        <w:spacing w:lineRule="auto" w:line="288" w:before="120" w:after="240"/>
        <w:jc w:val="both"/>
        <w:rPr/>
      </w:pPr>
      <w:r>
        <w:rPr>
          <w:rFonts w:ascii="Times New Roman;serif" w:hAnsi="Times New Roman;serif"/>
          <w:b w:val="false"/>
          <w:color w:val="212121"/>
          <w:sz w:val="20"/>
        </w:rPr>
        <w:t xml:space="preserve">During the </w:t>
      </w:r>
      <w:r>
        <w:rPr>
          <w:rFonts w:ascii="Times New Roman;serif" w:hAnsi="Times New Roman;serif"/>
          <w:b w:val="false"/>
          <w:color w:val="000000"/>
          <w:sz w:val="20"/>
        </w:rPr>
        <w:t>fiscal years ended March 31, 2026 and 2025,</w:t>
      </w:r>
      <w:r>
        <w:rPr>
          <w:color w:val="212121"/>
        </w:rPr>
        <w:t xml:space="preserve"> </w:t>
      </w:r>
      <w:r>
        <w:rPr>
          <w:rFonts w:ascii="Times New Roman;serif" w:hAnsi="Times New Roman;serif"/>
          <w:b w:val="false"/>
          <w:color w:val="212121"/>
          <w:sz w:val="20"/>
        </w:rPr>
        <w:t xml:space="preserve">the Company entered into related party transactions with an affiliate of SoftBank Group relating to licensing and service arrangements under the consulting agreement with SoftBank Group (the “Consulting Agreement”). Pursuant to statements of work entered into under the Consulting Agreement during the </w:t>
      </w:r>
      <w:r>
        <w:rPr>
          <w:rFonts w:ascii="Times New Roman;serif" w:hAnsi="Times New Roman;serif"/>
          <w:b w:val="false"/>
          <w:color w:val="000000"/>
          <w:sz w:val="20"/>
        </w:rPr>
        <w:t>fiscal year ended March 31, 2025</w:t>
      </w:r>
      <w:r>
        <w:rPr>
          <w:rFonts w:ascii="Times New Roman;serif" w:hAnsi="Times New Roman;serif"/>
          <w:b w:val="false"/>
          <w:color w:val="212121"/>
          <w:sz w:val="20"/>
        </w:rPr>
        <w:t xml:space="preserve">, as amended during the </w:t>
      </w:r>
      <w:r>
        <w:rPr>
          <w:rFonts w:ascii="Times New Roman;serif" w:hAnsi="Times New Roman;serif"/>
          <w:b w:val="false"/>
          <w:color w:val="000000"/>
          <w:sz w:val="20"/>
        </w:rPr>
        <w:t>fiscal year ended March 31, 2026</w:t>
      </w:r>
      <w:r>
        <w:rPr>
          <w:rFonts w:ascii="Times New Roman;serif" w:hAnsi="Times New Roman;serif"/>
          <w:b w:val="false"/>
          <w:color w:val="212121"/>
          <w:sz w:val="20"/>
        </w:rPr>
        <w:t xml:space="preserve">, the Company may earn fees for services provided. For the </w:t>
      </w:r>
      <w:r>
        <w:rPr>
          <w:rFonts w:ascii="Times New Roman;serif" w:hAnsi="Times New Roman;serif"/>
          <w:b w:val="false"/>
          <w:color w:val="000000"/>
          <w:sz w:val="20"/>
        </w:rPr>
        <w:t>fiscal years ended March 31, 2026 and 2025</w:t>
      </w:r>
      <w:r>
        <w:rPr>
          <w:rFonts w:ascii="Times New Roman;serif" w:hAnsi="Times New Roman;serif"/>
          <w:b w:val="false"/>
          <w:color w:val="212121"/>
          <w:sz w:val="20"/>
        </w:rPr>
        <w:t xml:space="preserve">, revenue from </w:t>
      </w:r>
      <w:r>
        <w:rPr>
          <w:rFonts w:ascii="Times New Roman;serif" w:hAnsi="Times New Roman;serif"/>
          <w:b w:val="false"/>
          <w:color w:val="000000"/>
          <w:sz w:val="20"/>
        </w:rPr>
        <w:t xml:space="preserve">the licensing and servicing arrangements </w:t>
      </w:r>
      <w:r>
        <w:rPr>
          <w:rFonts w:ascii="Times New Roman;serif" w:hAnsi="Times New Roman;serif"/>
          <w:b w:val="false"/>
          <w:color w:val="212121"/>
          <w:sz w:val="20"/>
        </w:rPr>
        <w:t>was</w:t>
      </w:r>
      <w:r>
        <w:rPr>
          <w:color w:val="000000"/>
        </w:rPr>
        <w:t xml:space="preserve"> </w:t>
      </w:r>
      <w:r>
        <w:rPr>
          <w:rFonts w:ascii="Times New Roman;serif" w:hAnsi="Times New Roman;serif"/>
          <w:b w:val="false"/>
          <w:color w:val="000000"/>
          <w:sz w:val="20"/>
        </w:rPr>
        <w:t>$704.4 million and $145.5 million, respectively. As of March 31, 2026 and 2025,</w:t>
      </w:r>
      <w:r>
        <w:rPr>
          <w:color w:val="212121"/>
        </w:rPr>
        <w:t xml:space="preserve"> </w:t>
      </w:r>
      <w:r>
        <w:rPr>
          <w:rFonts w:ascii="Times New Roman;serif" w:hAnsi="Times New Roman;serif"/>
          <w:b w:val="false"/>
          <w:color w:val="212121"/>
          <w:sz w:val="20"/>
        </w:rPr>
        <w:t xml:space="preserve">the Company had current contract assets of </w:t>
      </w:r>
      <w:r>
        <w:rPr>
          <w:rFonts w:ascii="Times New Roman;serif" w:hAnsi="Times New Roman;serif"/>
          <w:b w:val="false"/>
          <w:color w:val="000000"/>
          <w:sz w:val="20"/>
        </w:rPr>
        <w:t xml:space="preserve">$645.8 million </w:t>
      </w:r>
      <w:r>
        <w:rPr>
          <w:rFonts w:ascii="Times New Roman;serif" w:hAnsi="Times New Roman;serif"/>
          <w:b w:val="false"/>
          <w:color w:val="212121"/>
          <w:sz w:val="20"/>
        </w:rPr>
        <w:t>and</w:t>
      </w:r>
      <w:r>
        <w:rPr>
          <w:color w:val="000000"/>
        </w:rPr>
        <w:t xml:space="preserve"> </w:t>
      </w:r>
      <w:r>
        <w:rPr>
          <w:rFonts w:ascii="Times New Roman;serif" w:hAnsi="Times New Roman;serif"/>
          <w:b w:val="false"/>
          <w:color w:val="000000"/>
          <w:sz w:val="20"/>
        </w:rPr>
        <w:t>$145.5 million, respectively, from the affiliate of SoftBank Group.</w:t>
      </w:r>
    </w:p>
    <w:p>
      <w:pPr>
        <w:pStyle w:val="TextBody"/>
        <w:bidi w:val="0"/>
        <w:spacing w:lineRule="auto" w:line="288" w:before="120" w:after="240"/>
        <w:jc w:val="both"/>
        <w:rPr/>
      </w:pPr>
      <w:r>
        <w:rPr>
          <w:rFonts w:ascii="Times New Roman;serif" w:hAnsi="Times New Roman;serif"/>
          <w:b w:val="false"/>
          <w:color w:val="000000"/>
          <w:sz w:val="20"/>
        </w:rPr>
        <w:t xml:space="preserve">In November 2025, SoftBank Group acquired all of the outstanding equity interests of Ampere, in which the Company previously had an equity investment and over which the Company had significant influence. </w:t>
      </w:r>
      <w:r>
        <w:rPr>
          <w:rFonts w:ascii="Times New Roman;serif" w:hAnsi="Times New Roman;serif"/>
          <w:b w:val="false"/>
          <w:color w:val="000000"/>
          <w:sz w:val="20"/>
          <w:shd w:fill="FFFFFF" w:val="clear"/>
        </w:rPr>
        <w:t>The Company continues to have licensing and servicing arrangements with Ampere for which the Company may earn fees for services provided.</w:t>
      </w:r>
      <w:r>
        <w:rPr>
          <w:color w:val="000000"/>
        </w:rPr>
        <w:t xml:space="preserve"> </w:t>
      </w:r>
      <w:r>
        <w:rPr>
          <w:rFonts w:ascii="Times New Roman;serif" w:hAnsi="Times New Roman;serif"/>
          <w:b w:val="false"/>
          <w:color w:val="000000"/>
          <w:sz w:val="20"/>
        </w:rPr>
        <w:t xml:space="preserve">For the fiscal years ended March 31, 2026, 2025 and 2024, the Company recognized revenue of $3.6 million, $3.5 million and $49.3 million, respectively, from Ampere. </w:t>
      </w:r>
      <w:r>
        <w:rPr>
          <w:rFonts w:ascii="Times New Roman;serif" w:hAnsi="Times New Roman;serif"/>
          <w:b w:val="false"/>
          <w:color w:val="000000"/>
          <w:sz w:val="20"/>
          <w:shd w:fill="FFFFFF" w:val="clear"/>
        </w:rPr>
        <w:t xml:space="preserve">Effective March 2026, the Company entered into a development agreement with Ampere (the “Ampere Development Agreement”), enabling Ampere to provide development services to the Company under one or more statements of work. </w:t>
      </w:r>
      <w:r>
        <w:rPr>
          <w:rFonts w:ascii="Times New Roman;serif" w:hAnsi="Times New Roman;serif"/>
          <w:b w:val="false"/>
          <w:color w:val="000000"/>
          <w:sz w:val="20"/>
        </w:rPr>
        <w:t xml:space="preserve">For the fiscal year ended March 31, 2026, the Company did not recognize </w:t>
      </w:r>
      <w:r>
        <w:rPr>
          <w:rFonts w:ascii="Times New Roman;serif" w:hAnsi="Times New Roman;serif"/>
          <w:b w:val="false"/>
          <w:color w:val="000000"/>
          <w:sz w:val="20"/>
          <w:shd w:fill="FFFFFF" w:val="clear"/>
        </w:rPr>
        <w:t>expenses under the Ampere Development Agreement</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As of March 31, 2026, the Company had accounts receivable of </w:t>
      </w:r>
      <w:r>
        <w:rPr>
          <w:rFonts w:ascii="Times New Roman;serif" w:hAnsi="Times New Roman;serif"/>
          <w:b w:val="false"/>
          <w:color w:val="000000"/>
          <w:sz w:val="20"/>
        </w:rPr>
        <w:t xml:space="preserve">$0.5 million, current </w:t>
      </w:r>
      <w:r>
        <w:rPr>
          <w:rFonts w:ascii="Times New Roman;serif" w:hAnsi="Times New Roman;serif"/>
          <w:b w:val="false"/>
          <w:color w:val="000000"/>
          <w:sz w:val="20"/>
          <w:shd w:fill="FFFFFF" w:val="clear"/>
        </w:rPr>
        <w:t xml:space="preserve">contract assets of </w:t>
      </w:r>
      <w:r>
        <w:rPr>
          <w:rFonts w:ascii="Times New Roman;serif" w:hAnsi="Times New Roman;serif"/>
          <w:b w:val="false"/>
          <w:color w:val="000000"/>
          <w:sz w:val="20"/>
        </w:rPr>
        <w:t>$0.5 million</w:t>
      </w:r>
      <w:r>
        <w:rPr>
          <w:rFonts w:ascii="Times New Roman;serif" w:hAnsi="Times New Roman;serif"/>
          <w:b w:val="false"/>
          <w:color w:val="000000"/>
          <w:sz w:val="20"/>
          <w:shd w:fill="FFFFFF" w:val="clear"/>
        </w:rPr>
        <w:t xml:space="preserve">, and current contract liabilities of </w:t>
      </w:r>
      <w:r>
        <w:rPr>
          <w:rFonts w:ascii="Times New Roman;serif" w:hAnsi="Times New Roman;serif"/>
          <w:b w:val="false"/>
          <w:color w:val="000000"/>
          <w:sz w:val="20"/>
        </w:rPr>
        <w:t>$5.4 million</w:t>
      </w:r>
      <w:r>
        <w:rPr>
          <w:color w:val="000000"/>
          <w:shd w:fill="FFFFFF" w:val="clear"/>
        </w:rPr>
        <w:t xml:space="preserve"> </w:t>
      </w:r>
      <w:r>
        <w:rPr>
          <w:rFonts w:ascii="Times New Roman;serif" w:hAnsi="Times New Roman;serif"/>
          <w:b w:val="false"/>
          <w:color w:val="000000"/>
          <w:sz w:val="20"/>
          <w:shd w:fill="FFFFFF" w:val="clear"/>
        </w:rPr>
        <w:t xml:space="preserve">related to contracts with Ampere. As of March 31, 2025, the Company had accounts receivable of </w:t>
      </w:r>
      <w:r>
        <w:rPr>
          <w:rFonts w:ascii="Times New Roman;serif" w:hAnsi="Times New Roman;serif"/>
          <w:b w:val="false"/>
          <w:color w:val="000000"/>
          <w:sz w:val="20"/>
        </w:rPr>
        <w:t>$0.7 million</w:t>
      </w:r>
      <w:r>
        <w:rPr>
          <w:rFonts w:ascii="Times New Roman;serif" w:hAnsi="Times New Roman;serif"/>
          <w:b w:val="false"/>
          <w:color w:val="000000"/>
          <w:sz w:val="20"/>
          <w:shd w:fill="FFFFFF" w:val="clear"/>
        </w:rPr>
        <w:t xml:space="preserve">, current contract assets of </w:t>
      </w:r>
      <w:r>
        <w:rPr>
          <w:rFonts w:ascii="Times New Roman;serif" w:hAnsi="Times New Roman;serif"/>
          <w:b w:val="false"/>
          <w:color w:val="000000"/>
          <w:sz w:val="20"/>
        </w:rPr>
        <w:t>$6.3 million</w:t>
      </w:r>
      <w:r>
        <w:rPr>
          <w:rFonts w:ascii="Times New Roman;serif" w:hAnsi="Times New Roman;serif"/>
          <w:b w:val="false"/>
          <w:color w:val="000000"/>
          <w:sz w:val="20"/>
          <w:shd w:fill="FFFFFF" w:val="clear"/>
        </w:rPr>
        <w:t xml:space="preserve">, and current contract liabilities of </w:t>
      </w:r>
      <w:r>
        <w:rPr>
          <w:rFonts w:ascii="Times New Roman;serif" w:hAnsi="Times New Roman;serif"/>
          <w:b w:val="false"/>
          <w:color w:val="000000"/>
          <w:sz w:val="20"/>
        </w:rPr>
        <w:t>$0.7 million</w:t>
      </w:r>
      <w:r>
        <w:rPr>
          <w:color w:val="000000"/>
          <w:shd w:fill="FFFFFF" w:val="clear"/>
        </w:rPr>
        <w:t xml:space="preserve"> </w:t>
      </w:r>
      <w:r>
        <w:rPr>
          <w:rFonts w:ascii="Times New Roman;serif" w:hAnsi="Times New Roman;serif"/>
          <w:b w:val="false"/>
          <w:color w:val="000000"/>
          <w:sz w:val="20"/>
          <w:shd w:fill="FFFFFF" w:val="clear"/>
        </w:rPr>
        <w:t xml:space="preserve">related to contracts with Ampere. </w:t>
      </w:r>
      <w:r>
        <w:rPr>
          <w:rFonts w:ascii="Times New Roman;serif" w:hAnsi="Times New Roman;serif"/>
          <w:b w:val="false"/>
          <w:color w:val="000000"/>
          <w:sz w:val="20"/>
        </w:rPr>
        <w:t xml:space="preserve">See </w:t>
      </w:r>
      <w:r>
        <w:rPr>
          <w:rFonts w:ascii="Times New Roman;serif" w:hAnsi="Times New Roman;serif"/>
          <w:b w:val="false"/>
          <w:i/>
          <w:color w:val="000000"/>
          <w:sz w:val="20"/>
        </w:rPr>
        <w:t>Note 10 - Equity Investments</w:t>
      </w:r>
      <w:r>
        <w:rPr>
          <w:rFonts w:ascii="Times New Roman;serif" w:hAnsi="Times New Roman;serif"/>
          <w:b w:val="false"/>
          <w:color w:val="000000"/>
          <w:sz w:val="20"/>
        </w:rPr>
        <w:t>, for further details on Ampere.</w:t>
      </w:r>
    </w:p>
    <w:p>
      <w:pPr>
        <w:pStyle w:val="TextBody"/>
        <w:bidi w:val="0"/>
        <w:spacing w:lineRule="auto" w:line="288" w:before="120" w:after="240"/>
        <w:jc w:val="both"/>
        <w:rPr/>
      </w:pPr>
      <w:r>
        <w:rPr>
          <w:rFonts w:ascii="Times New Roman;serif" w:hAnsi="Times New Roman;serif"/>
          <w:b w:val="false"/>
          <w:color w:val="000000"/>
          <w:sz w:val="20"/>
        </w:rPr>
        <w:t xml:space="preserve">The Company had revenue transactions with other entities by virtue of common control by SoftBank Group besides </w:t>
      </w:r>
      <w:r>
        <w:rPr>
          <w:rFonts w:ascii="Times New Roman;serif" w:hAnsi="Times New Roman;serif"/>
          <w:b w:val="false"/>
          <w:color w:val="212121"/>
          <w:sz w:val="20"/>
        </w:rPr>
        <w:t>an affiliate of SoftBank Group and Ampere</w:t>
      </w:r>
      <w:r>
        <w:rPr>
          <w:rFonts w:ascii="Times New Roman;serif" w:hAnsi="Times New Roman;serif"/>
          <w:b w:val="false"/>
          <w:color w:val="000000"/>
          <w:sz w:val="20"/>
        </w:rPr>
        <w:t xml:space="preserve">. For the fiscal years ended March 31, 2026 and 2025, the Company did not recognize material revenue or other income from other entities controlled by SoftBank Group besides </w:t>
      </w:r>
      <w:r>
        <w:rPr>
          <w:rFonts w:ascii="Times New Roman;serif" w:hAnsi="Times New Roman;serif"/>
          <w:b w:val="false"/>
          <w:color w:val="212121"/>
          <w:sz w:val="20"/>
        </w:rPr>
        <w:t>an affiliate of SoftBank Group and Ampere</w:t>
      </w:r>
      <w:r>
        <w:rPr>
          <w:rFonts w:ascii="Times New Roman;serif" w:hAnsi="Times New Roman;serif"/>
          <w:b w:val="false"/>
          <w:color w:val="000000"/>
          <w:sz w:val="20"/>
        </w:rPr>
        <w:t>. For the fiscal year ended March 31, 2024, the Company recognized revenue of $4.4 million from other entities controlled by SoftBank Group. As of March 31, 2026 and March 31, 2025, the Company did not have accounts receivable, contract assets, or contract liabilities balances on revenue or other income transactions with other entities by virtue of common control by SoftBank Group besides an affiliate of SoftBank Group and Ampere.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Other Equity Investments</w:t>
      </w:r>
    </w:p>
    <w:p>
      <w:pPr>
        <w:pStyle w:val="TextBody"/>
        <w:bidi w:val="0"/>
        <w:spacing w:lineRule="auto" w:line="288" w:before="12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investments in limited partnerships or certain limited liability companies that maintain a specific ownership account for each investor, for which the Company has more than virtually no influence (i.e., at least 3% to 5% ownership).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82" name="Frame1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181</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pPr>
      <w:r>
        <w:rPr>
          <w:rFonts w:ascii="Times New Roman;serif" w:hAnsi="Times New Roman;serif"/>
          <w:b w:val="false"/>
          <w:color w:val="000000"/>
          <w:sz w:val="20"/>
        </w:rPr>
        <w:t>For the fiscal years ended March 31, 2026, 2025 and 2024, the Company recognized aggregate distributions, including liquidation proceeds, dividends and returns of capital from certain equity investments of $59.9 million, $8.2 million and $6.9 million, respectively.</w:t>
      </w:r>
      <w:r>
        <w:rPr>
          <w:color w:val="000000"/>
          <w:shd w:fill="FFFFFF" w:val="clear"/>
        </w:rPr>
        <w:t xml:space="preserve"> </w:t>
      </w:r>
      <w:r>
        <w:rPr>
          <w:rFonts w:ascii="Times New Roman;serif" w:hAnsi="Times New Roman;serif"/>
          <w:b w:val="false"/>
          <w:color w:val="000000"/>
          <w:sz w:val="20"/>
          <w:shd w:fill="FFFFFF" w:val="clear"/>
        </w:rPr>
        <w:t xml:space="preserve">See </w:t>
      </w:r>
      <w:r>
        <w:rPr>
          <w:rFonts w:ascii="Times New Roman;serif" w:hAnsi="Times New Roman;serif"/>
          <w:b w:val="false"/>
          <w:i/>
          <w:color w:val="000000"/>
          <w:sz w:val="20"/>
          <w:shd w:fill="FFFFFF" w:val="clear"/>
        </w:rPr>
        <w:t>Note 10 - Equity Investments</w:t>
      </w:r>
      <w:r>
        <w:rPr>
          <w:rFonts w:ascii="Times New Roman;serif" w:hAnsi="Times New Roman;serif"/>
          <w:b w:val="false"/>
          <w:color w:val="000000"/>
          <w:sz w:val="20"/>
          <w:shd w:fill="FFFFFF" w:val="clear"/>
        </w:rPr>
        <w:t xml:space="preserve">, for further details.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Linaro Limited</w:t>
      </w:r>
    </w:p>
    <w:p>
      <w:pPr>
        <w:pStyle w:val="TextBody"/>
        <w:bidi w:val="0"/>
        <w:spacing w:lineRule="auto" w:line="288" w:before="120" w:after="240"/>
        <w:jc w:val="both"/>
        <w:rPr/>
      </w:pPr>
      <w:r>
        <w:rPr>
          <w:rFonts w:ascii="Times New Roman;serif" w:hAnsi="Times New Roman;serif"/>
          <w:b w:val="false"/>
          <w:color w:val="000000"/>
          <w:sz w:val="20"/>
        </w:rPr>
        <w:t xml:space="preserve">Linaro Limited (“Linaro”) is a not-for-profit entity in which the Company was a member with significant influence. The Company resigned as a member of Linaro and no longer has significant influence in Linaro effective December 1, 2025. Therefore, Linaro is no longer considered a related party. Linaro continues to be a service partner to the Company. For the fiscal years ended March 31, 2026, 2025 and 2024, prior to resignation, the Company incurred subscription and other costs of $6.1 million, $10.4 million and $10.6 million, respectively, from Linaro. As of </w:t>
      </w:r>
      <w:r>
        <w:rPr>
          <w:rFonts w:ascii="Times New Roman;serif" w:hAnsi="Times New Roman;serif"/>
          <w:b w:val="false"/>
          <w:color w:val="000000"/>
          <w:sz w:val="20"/>
          <w:shd w:fill="FFFFFF" w:val="clear"/>
        </w:rPr>
        <w:t>March 31, 2025</w:t>
      </w:r>
      <w:r>
        <w:rPr>
          <w:rFonts w:ascii="Times New Roman;serif" w:hAnsi="Times New Roman;serif"/>
          <w:b w:val="false"/>
          <w:color w:val="000000"/>
          <w:sz w:val="20"/>
        </w:rPr>
        <w:t xml:space="preserve">, the Company had $0.7 million recorded in other current liabilities on the Consolidated Balance Sheets related to Linaro. </w:t>
      </w:r>
    </w:p>
    <w:p>
      <w:pPr>
        <w:pStyle w:val="TextBody"/>
        <w:bidi w:val="0"/>
        <w:spacing w:lineRule="auto" w:line="288" w:before="120" w:after="240"/>
        <w:jc w:val="both"/>
        <w:rPr/>
      </w:pPr>
      <w:r>
        <w:rPr>
          <w:rFonts w:ascii="Times New Roman;serif" w:hAnsi="Times New Roman;serif"/>
          <w:b w:val="false"/>
          <w:color w:val="000000"/>
          <w:sz w:val="20"/>
        </w:rPr>
        <w:t xml:space="preserve">In February 2023, the Company entered into an agreement with Linaro to sell certain net assets of the Company that meets the definition of a business in exchange for cash consideration of $4.0 million to be paid in equal annual installments over five years. As of </w:t>
      </w:r>
      <w:r>
        <w:rPr>
          <w:rFonts w:ascii="Times New Roman;serif" w:hAnsi="Times New Roman;serif"/>
          <w:b w:val="false"/>
          <w:color w:val="231F20"/>
          <w:sz w:val="20"/>
          <w:shd w:fill="FFFFFF" w:val="clear"/>
        </w:rPr>
        <w:t xml:space="preserve">March 31, 2026, </w:t>
      </w:r>
      <w:r>
        <w:rPr>
          <w:rFonts w:ascii="Times New Roman;serif" w:hAnsi="Times New Roman;serif"/>
          <w:b w:val="false"/>
          <w:color w:val="000000"/>
          <w:sz w:val="20"/>
        </w:rPr>
        <w:t xml:space="preserve">the total unpaid purchase consideration remains in prepaid expenses and other current assets and other non-current assets on the Consolidated Balance Sheets; however, Linaro is no longer considered a related party. As of </w:t>
      </w:r>
      <w:r>
        <w:rPr>
          <w:rFonts w:ascii="Times New Roman;serif" w:hAnsi="Times New Roman;serif"/>
          <w:b w:val="false"/>
          <w:color w:val="000000"/>
          <w:sz w:val="20"/>
          <w:shd w:fill="FFFFFF" w:val="clear"/>
        </w:rPr>
        <w:t>March 31, 2025</w:t>
      </w:r>
      <w:r>
        <w:rPr>
          <w:rFonts w:ascii="Times New Roman;serif" w:hAnsi="Times New Roman;serif"/>
          <w:b w:val="false"/>
          <w:color w:val="000000"/>
          <w:sz w:val="20"/>
        </w:rPr>
        <w:t xml:space="preserve">, the total unpaid purchase consideration was $2.4 million, which was recorded in prepaid expenses and other current assets and other non-current assets on the Consolidated Balance Sheets.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Loans to Related Parties</w:t>
      </w:r>
    </w:p>
    <w:p>
      <w:pPr>
        <w:pStyle w:val="TextBody"/>
        <w:bidi w:val="0"/>
        <w:spacing w:lineRule="auto" w:line="288" w:before="120" w:after="240"/>
        <w:jc w:val="both"/>
        <w:rPr/>
      </w:pPr>
      <w:r>
        <w:rPr>
          <w:rFonts w:ascii="Times New Roman;serif" w:hAnsi="Times New Roman;serif"/>
          <w:b w:val="false"/>
          <w:color w:val="231F20"/>
          <w:sz w:val="20"/>
        </w:rPr>
        <w:t xml:space="preserve">As of </w:t>
      </w:r>
      <w:r>
        <w:rPr>
          <w:rFonts w:ascii="Times New Roman;serif" w:hAnsi="Times New Roman;serif"/>
          <w:b w:val="false"/>
          <w:color w:val="000000"/>
          <w:sz w:val="20"/>
          <w:shd w:fill="FFFFFF" w:val="clear"/>
        </w:rPr>
        <w:t>March 31, 2025</w:t>
      </w:r>
      <w:r>
        <w:rPr>
          <w:rFonts w:ascii="Times New Roman;serif" w:hAnsi="Times New Roman;serif"/>
          <w:b w:val="false"/>
          <w:color w:val="231F20"/>
          <w:sz w:val="20"/>
        </w:rPr>
        <w:t xml:space="preserve">, the Company had a loan receivable of </w:t>
      </w:r>
      <w:r>
        <w:rPr>
          <w:rFonts w:ascii="Times New Roman;serif" w:hAnsi="Times New Roman;serif"/>
          <w:b w:val="false"/>
          <w:color w:val="000000"/>
          <w:sz w:val="20"/>
        </w:rPr>
        <w:t>$16.6 million from</w:t>
      </w:r>
      <w:r>
        <w:rPr>
          <w:color w:val="231F20"/>
        </w:rPr>
        <w:t xml:space="preserve"> </w:t>
      </w:r>
      <w:r>
        <w:rPr>
          <w:rFonts w:ascii="Times New Roman;serif" w:hAnsi="Times New Roman;serif"/>
          <w:b w:val="false"/>
          <w:color w:val="231F20"/>
          <w:sz w:val="20"/>
        </w:rPr>
        <w:t xml:space="preserve">Arduino, previously a related party. </w:t>
      </w:r>
      <w:r>
        <w:rPr>
          <w:rFonts w:ascii="Times New Roman;serif" w:hAnsi="Times New Roman;serif"/>
          <w:b w:val="false"/>
          <w:color w:val="231F20"/>
          <w:sz w:val="20"/>
          <w:shd w:fill="FFFFFF" w:val="clear"/>
        </w:rPr>
        <w:t xml:space="preserve">In October 2025, the Company received </w:t>
      </w:r>
      <w:r>
        <w:rPr>
          <w:rFonts w:ascii="Times New Roman;serif" w:hAnsi="Times New Roman;serif"/>
          <w:b w:val="false"/>
          <w:color w:val="000000"/>
          <w:sz w:val="20"/>
        </w:rPr>
        <w:t xml:space="preserve">$16.9 million for the full repayment of the loan receivable from Arduino in connection with Arduino’s acquisition by a third party. </w:t>
      </w:r>
      <w:r>
        <w:rPr>
          <w:rFonts w:ascii="Times New Roman;serif" w:hAnsi="Times New Roman;serif"/>
          <w:b w:val="false"/>
          <w:color w:val="231F20"/>
          <w:sz w:val="20"/>
          <w:shd w:fill="FFFFFF" w:val="clear"/>
        </w:rPr>
        <w:t xml:space="preserve">Therefore, as of March 31, 2026, the Company did not have a loan receivable with Arduino. </w:t>
      </w:r>
      <w:r>
        <w:rPr>
          <w:rFonts w:ascii="Times New Roman;serif" w:hAnsi="Times New Roman;serif"/>
          <w:b w:val="false"/>
          <w:color w:val="231F20"/>
          <w:sz w:val="20"/>
        </w:rPr>
        <w:t>Du</w:t>
      </w:r>
      <w:r>
        <w:rPr>
          <w:rFonts w:ascii="Times New Roman;serif" w:hAnsi="Times New Roman;serif"/>
          <w:b w:val="false"/>
          <w:color w:val="231F20"/>
          <w:sz w:val="20"/>
          <w:shd w:fill="FFFFFF" w:val="clear"/>
        </w:rPr>
        <w:t xml:space="preserve">ring the </w:t>
      </w:r>
      <w:r>
        <w:rPr>
          <w:rFonts w:ascii="Times New Roman;serif" w:hAnsi="Times New Roman;serif"/>
          <w:b w:val="false"/>
          <w:color w:val="000000"/>
          <w:sz w:val="20"/>
        </w:rPr>
        <w:t>fiscal year ended March 31, 2026</w:t>
      </w:r>
      <w:r>
        <w:rPr>
          <w:rFonts w:ascii="Times New Roman;serif" w:hAnsi="Times New Roman;serif"/>
          <w:b w:val="false"/>
          <w:color w:val="231F20"/>
          <w:sz w:val="20"/>
          <w:shd w:fill="FFFFFF" w:val="clear"/>
        </w:rPr>
        <w:t xml:space="preserve">, the Company recognized a reversal for the current expected credit loss reserve with respect to its loan receivable from Arduino by </w:t>
      </w:r>
      <w:r>
        <w:rPr>
          <w:rFonts w:ascii="Times New Roman;serif" w:hAnsi="Times New Roman;serif"/>
          <w:b w:val="false"/>
          <w:color w:val="000000"/>
          <w:sz w:val="20"/>
        </w:rPr>
        <w:t>$16.8 million in</w:t>
      </w:r>
      <w:r>
        <w:rPr>
          <w:color w:val="231F20"/>
          <w:shd w:fill="FFFFFF" w:val="clear"/>
        </w:rPr>
        <w:t xml:space="preserve"> </w:t>
      </w:r>
      <w:r>
        <w:rPr>
          <w:rFonts w:ascii="Times New Roman;serif" w:hAnsi="Times New Roman;serif"/>
          <w:b w:val="false"/>
          <w:color w:val="231F20"/>
          <w:sz w:val="20"/>
          <w:shd w:fill="FFFFFF" w:val="clear"/>
        </w:rPr>
        <w:t>selling, general, and administrative expenses in the Consolidated Income Statements.</w:t>
      </w:r>
      <w:r>
        <w:rPr>
          <w:color w:val="231F20"/>
        </w:rPr>
        <w:t xml:space="preserve"> </w:t>
      </w:r>
      <w:r>
        <w:rPr>
          <w:rFonts w:ascii="Times New Roman;serif" w:hAnsi="Times New Roman;serif"/>
          <w:b w:val="false"/>
          <w:color w:val="231F20"/>
          <w:sz w:val="20"/>
          <w:shd w:fill="FFFFFF" w:val="clear"/>
        </w:rPr>
        <w:t xml:space="preserve">As of </w:t>
      </w:r>
      <w:r>
        <w:rPr>
          <w:rFonts w:ascii="Times New Roman;serif" w:hAnsi="Times New Roman;serif"/>
          <w:b w:val="false"/>
          <w:color w:val="000000"/>
          <w:sz w:val="20"/>
        </w:rPr>
        <w:t>March 31, 2026</w:t>
      </w:r>
      <w:r>
        <w:rPr>
          <w:color w:val="231F20"/>
          <w:shd w:fill="FFFFFF" w:val="clear"/>
        </w:rPr>
        <w:t xml:space="preserve"> </w:t>
      </w:r>
      <w:r>
        <w:rPr>
          <w:rFonts w:ascii="Times New Roman;serif" w:hAnsi="Times New Roman;serif"/>
          <w:b w:val="false"/>
          <w:color w:val="231F20"/>
          <w:sz w:val="20"/>
          <w:shd w:fill="FFFFFF" w:val="clear"/>
        </w:rPr>
        <w:t xml:space="preserve">and 2025, the Company had </w:t>
      </w:r>
      <w:r>
        <w:rPr>
          <w:rFonts w:ascii="Times New Roman;serif" w:hAnsi="Times New Roman;serif"/>
          <w:b w:val="false"/>
          <w:color w:val="000000"/>
          <w:sz w:val="20"/>
          <w:shd w:fill="FFFFFF" w:val="clear"/>
        </w:rPr>
        <w:t>a loan receivable</w:t>
      </w:r>
      <w:r>
        <w:rPr>
          <w:color w:val="000000"/>
        </w:rPr>
        <w:t xml:space="preserve"> </w:t>
      </w:r>
      <w:r>
        <w:rPr>
          <w:rFonts w:ascii="Times New Roman;serif" w:hAnsi="Times New Roman;serif"/>
          <w:b w:val="false"/>
          <w:color w:val="000000"/>
          <w:sz w:val="20"/>
        </w:rPr>
        <w:t>of $3.2 million</w:t>
      </w:r>
      <w:r>
        <w:rPr>
          <w:color w:val="231F20"/>
        </w:rPr>
        <w:t xml:space="preserve"> </w:t>
      </w:r>
      <w:r>
        <w:rPr>
          <w:rFonts w:ascii="Times New Roman;serif" w:hAnsi="Times New Roman;serif"/>
          <w:b w:val="false"/>
          <w:color w:val="231F20"/>
          <w:sz w:val="20"/>
        </w:rPr>
        <w:t xml:space="preserve">with Cerfe Labs, Inc, a related party. </w:t>
      </w:r>
      <w:r>
        <w:rPr>
          <w:rFonts w:ascii="Times New Roman;serif" w:hAnsi="Times New Roman;serif"/>
          <w:b w:val="false"/>
          <w:color w:val="000000"/>
          <w:sz w:val="20"/>
          <w:shd w:fill="FFFFFF" w:val="clear"/>
        </w:rPr>
        <w:t xml:space="preserve">The loan receivable with Cerfe Labs </w:t>
      </w:r>
      <w:r>
        <w:rPr>
          <w:rFonts w:ascii="Times New Roman;serif" w:hAnsi="Times New Roman;serif"/>
          <w:b w:val="false"/>
          <w:color w:val="231F20"/>
          <w:sz w:val="20"/>
          <w:shd w:fill="FFFFFF" w:val="clear"/>
        </w:rPr>
        <w:t>was fully reserved for under current expected credit loss reserve for the periods presented</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 xml:space="preserve">See </w:t>
      </w:r>
      <w:r>
        <w:rPr>
          <w:rFonts w:ascii="Times New Roman;serif" w:hAnsi="Times New Roman;serif"/>
          <w:b w:val="false"/>
          <w:i/>
          <w:color w:val="000000"/>
          <w:sz w:val="20"/>
        </w:rPr>
        <w:t>Note 11 - Financial Instruments</w:t>
      </w:r>
      <w:r>
        <w:rPr>
          <w:rFonts w:ascii="Times New Roman;serif" w:hAnsi="Times New Roman;serif"/>
          <w:b w:val="false"/>
          <w:color w:val="000000"/>
          <w:sz w:val="20"/>
        </w:rPr>
        <w:t>, for further details regarding these loans.</w:t>
      </w:r>
      <w:r>
        <w:rPr>
          <w:color w:val="000000"/>
        </w:rPr>
        <w:t xml:space="preserve"> </w:t>
      </w:r>
    </w:p>
    <w:p>
      <w:pPr>
        <w:pStyle w:val="TextBody"/>
        <w:bidi w:val="0"/>
        <w:spacing w:lineRule="auto" w:line="288" w:before="120" w:after="240"/>
        <w:jc w:val="both"/>
        <w:rPr/>
      </w:pPr>
      <w:r>
        <w:rPr>
          <w:rFonts w:ascii="Times New Roman;serif" w:hAnsi="Times New Roman;serif"/>
          <w:b w:val="false"/>
          <w:color w:val="231F20"/>
          <w:sz w:val="20"/>
          <w:shd w:fill="FFFFFF" w:val="clear"/>
        </w:rPr>
        <w:t>In December 2025</w:t>
      </w:r>
      <w:r>
        <w:rPr>
          <w:rFonts w:ascii="Times New Roman;serif" w:hAnsi="Times New Roman;serif"/>
          <w:b w:val="false"/>
          <w:color w:val="000000"/>
          <w:sz w:val="20"/>
          <w:shd w:fill="FFFFFF" w:val="clear"/>
        </w:rPr>
        <w:t xml:space="preserve">, the Company received </w:t>
      </w:r>
      <w:r>
        <w:rPr>
          <w:rFonts w:ascii="Times New Roman;serif" w:hAnsi="Times New Roman;serif"/>
          <w:b w:val="false"/>
          <w:color w:val="000000"/>
          <w:sz w:val="20"/>
        </w:rPr>
        <w:t>$39.3 million</w:t>
      </w:r>
      <w:r>
        <w:rPr>
          <w:color w:val="000000"/>
          <w:shd w:fill="FFFFFF" w:val="clear"/>
        </w:rPr>
        <w:t xml:space="preserve"> </w:t>
      </w:r>
      <w:r>
        <w:rPr>
          <w:rFonts w:ascii="Times New Roman;serif" w:hAnsi="Times New Roman;serif"/>
          <w:b w:val="false"/>
          <w:color w:val="000000"/>
          <w:sz w:val="20"/>
          <w:shd w:fill="FFFFFF" w:val="clear"/>
        </w:rPr>
        <w:t>from the settlement of the convertible loan in Ampere.</w:t>
      </w:r>
      <w:r>
        <w:rPr>
          <w:color w:val="000000"/>
        </w:rPr>
        <w:t xml:space="preserve"> </w:t>
      </w:r>
      <w:r>
        <w:rPr>
          <w:rFonts w:ascii="Times New Roman;serif" w:hAnsi="Times New Roman;serif"/>
          <w:b w:val="false"/>
          <w:color w:val="000000"/>
          <w:sz w:val="20"/>
          <w:shd w:fill="FFFFFF" w:val="clear"/>
        </w:rPr>
        <w:t>As of March 31, 2025, the outstanding balance of the convertible promissory note issued by Ampere, a related party, was $33.8 million.</w:t>
      </w:r>
      <w:r>
        <w:rPr>
          <w:color w:val="000000"/>
        </w:rPr>
        <w:t xml:space="preserve"> </w:t>
      </w:r>
      <w:r>
        <w:rPr>
          <w:rFonts w:ascii="Times New Roman;serif" w:hAnsi="Times New Roman;serif"/>
          <w:b w:val="false"/>
          <w:color w:val="000000"/>
          <w:sz w:val="20"/>
        </w:rPr>
        <w:t xml:space="preserve">See </w:t>
      </w:r>
      <w:r>
        <w:rPr>
          <w:rFonts w:ascii="Times New Roman;serif" w:hAnsi="Times New Roman;serif"/>
          <w:b w:val="false"/>
          <w:i/>
          <w:color w:val="000000"/>
          <w:sz w:val="20"/>
        </w:rPr>
        <w:t>Note 10 - Equity Investments,</w:t>
      </w:r>
      <w:r>
        <w:rPr>
          <w:color w:val="000000"/>
        </w:rPr>
        <w:t xml:space="preserve"> </w:t>
      </w:r>
      <w:r>
        <w:rPr>
          <w:rFonts w:ascii="Times New Roman;serif" w:hAnsi="Times New Roman;serif"/>
          <w:b w:val="false"/>
          <w:color w:val="000000"/>
          <w:sz w:val="20"/>
        </w:rPr>
        <w:t>for further details on Ampere.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231F20"/>
          <w:sz w:val="20"/>
        </w:rPr>
      </w:pPr>
      <w:r>
        <w:rPr>
          <w:rFonts w:ascii="Times New Roman;serif" w:hAnsi="Times New Roman;serif"/>
          <w:b/>
          <w:color w:val="231F20"/>
          <w:sz w:val="20"/>
        </w:rPr>
        <w:t>21 - Segment and Geographic Information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as a single operating segment. The Company’s chief operating decision maker (“CODM”) is its Chief Executive Officer, who reviews financial information presented on a consolidated basis. The CODM regularly reviews income and expense items at the consolidated company (reporting segment) level and uses both operating income and net income to evaluate income generated to conclude whether and how to reinvest profits into the entity’s operations, shareholder return, acquisitions or otherwise. Both operating income and net income are also used to monitor budget versus actual results, forecasted information and in competitive analysis.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83" name="Frame1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182</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selected financial information with respect to the Company's single operating segment for the fiscal years ended March 31, 2026, 2025 and 2024:</w:t>
      </w:r>
    </w:p>
    <w:tbl>
      <w:tblPr>
        <w:tblW w:w="10205" w:type="dxa"/>
        <w:jc w:val="left"/>
        <w:tblInd w:w="0" w:type="dxa"/>
        <w:tblLayout w:type="fixed"/>
        <w:tblCellMar>
          <w:top w:w="28" w:type="dxa"/>
          <w:left w:w="28" w:type="dxa"/>
          <w:bottom w:w="28" w:type="dxa"/>
          <w:right w:w="28" w:type="dxa"/>
        </w:tblCellMar>
      </w:tblPr>
      <w:tblGrid>
        <w:gridCol w:w="2500"/>
        <w:gridCol w:w="1685"/>
        <w:gridCol w:w="1699"/>
        <w:gridCol w:w="109"/>
        <w:gridCol w:w="109"/>
        <w:gridCol w:w="109"/>
        <w:gridCol w:w="211"/>
        <w:gridCol w:w="616"/>
        <w:gridCol w:w="271"/>
        <w:gridCol w:w="109"/>
        <w:gridCol w:w="109"/>
        <w:gridCol w:w="109"/>
        <w:gridCol w:w="211"/>
        <w:gridCol w:w="616"/>
        <w:gridCol w:w="271"/>
        <w:gridCol w:w="109"/>
        <w:gridCol w:w="109"/>
        <w:gridCol w:w="109"/>
        <w:gridCol w:w="211"/>
        <w:gridCol w:w="616"/>
        <w:gridCol w:w="317"/>
      </w:tblGrid>
      <w:tr>
        <w:trPr/>
        <w:tc>
          <w:tcPr>
            <w:tcW w:w="250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20"/>
              </w:rPr>
            </w:pPr>
            <w:r>
              <w:rPr>
                <w:rFonts w:ascii="Times New Roman;serif" w:hAnsi="Times New Roman;serif"/>
                <w:b/>
                <w:color w:val="231F20"/>
                <w:sz w:val="20"/>
              </w:rPr>
              <w:t>Fiscal Year Ended March 31,</w:t>
            </w:r>
          </w:p>
        </w:tc>
      </w:tr>
      <w:tr>
        <w:trPr/>
        <w:tc>
          <w:tcPr>
            <w:tcW w:w="5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20"/>
              </w:rPr>
            </w:pPr>
            <w:r>
              <w:rPr>
                <w:rFonts w:ascii="Times New Roman;serif" w:hAnsi="Times New Roman;serif"/>
                <w:b/>
                <w:color w:val="231F2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20"/>
              </w:rPr>
            </w:pPr>
            <w:r>
              <w:rPr>
                <w:rFonts w:ascii="Times New Roman;serif" w:hAnsi="Times New Roman;serif"/>
                <w:b/>
                <w:color w:val="231F2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20"/>
              </w:rPr>
            </w:pPr>
            <w:r>
              <w:rPr>
                <w:rFonts w:ascii="Times New Roman;serif" w:hAnsi="Times New Roman;serif"/>
                <w:b/>
                <w:color w:val="231F20"/>
                <w:sz w:val="20"/>
              </w:rPr>
              <w:t>2024</w:t>
            </w:r>
          </w:p>
        </w:tc>
      </w:tr>
      <w:tr>
        <w:trPr/>
        <w:tc>
          <w:tcPr>
            <w:tcW w:w="5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1,839 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3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Royalty Revenue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4,920 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4,007 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3,233 </w:t>
            </w:r>
          </w:p>
        </w:tc>
        <w:tc>
          <w:tcPr>
            <w:tcW w:w="3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Operating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Staff costs: Salaries, bonuses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(1,674)</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Staff costs: Share-based compensation cost (equity settled)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Staff costs: Employer taxes related to share-based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Non-staff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Project materials costs, third-party fees paid to consultants, information technology, research and development expenses (excluding employee-related expenses), accounting and legal professional services fees, advertising expenses, and other corporate-related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non-staff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3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20"/>
              </w:rPr>
            </w:pPr>
            <w:r>
              <w:rPr>
                <w:rFonts w:ascii="Times New Roman;serif" w:hAnsi="Times New Roman;serif"/>
                <w:b w:val="false"/>
                <w:i/>
                <w:color w:val="000000"/>
                <w:sz w:val="20"/>
              </w:rPr>
              <w:t>3 </w:t>
            </w:r>
          </w:p>
        </w:tc>
        <w:tc>
          <w:tcPr>
            <w:tcW w:w="31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5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non-operating income (loss), net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3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benefit (expense)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3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Note</w:t>
      </w:r>
      <w:r>
        <w:rPr>
          <w:color w:val="000000"/>
        </w:rPr>
        <w:t xml:space="preserve"> </w:t>
      </w:r>
      <w:r>
        <w:rPr>
          <w:rFonts w:ascii="Times New Roman;serif" w:hAnsi="Times New Roman;serif"/>
          <w:b w:val="false"/>
          <w:i/>
          <w:color w:val="000000"/>
          <w:sz w:val="20"/>
        </w:rPr>
        <w:t>4 - Revenue</w:t>
      </w:r>
      <w:r>
        <w:rPr>
          <w:color w:val="000000"/>
        </w:rPr>
        <w:t xml:space="preserve"> </w:t>
      </w:r>
      <w:r>
        <w:rPr>
          <w:rFonts w:ascii="Times New Roman;serif" w:hAnsi="Times New Roman;serif"/>
          <w:b w:val="false"/>
          <w:color w:val="000000"/>
          <w:sz w:val="20"/>
        </w:rPr>
        <w:t>for r</w:t>
      </w:r>
      <w:r>
        <w:rPr>
          <w:rFonts w:ascii="Times New Roman;serif" w:hAnsi="Times New Roman;serif"/>
          <w:b w:val="false"/>
          <w:color w:val="231F20"/>
          <w:sz w:val="20"/>
        </w:rPr>
        <w:t>evenue by geographic region.</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Long-lived assets by geographic area are as follows:</w:t>
      </w:r>
    </w:p>
    <w:tbl>
      <w:tblPr>
        <w:tblW w:w="5062" w:type="dxa"/>
        <w:jc w:val="left"/>
        <w:tblInd w:w="0" w:type="dxa"/>
        <w:tblLayout w:type="fixed"/>
        <w:tblCellMar>
          <w:top w:w="28" w:type="dxa"/>
          <w:left w:w="28" w:type="dxa"/>
          <w:bottom w:w="28" w:type="dxa"/>
          <w:right w:w="28" w:type="dxa"/>
        </w:tblCellMar>
      </w:tblPr>
      <w:tblGrid>
        <w:gridCol w:w="538"/>
        <w:gridCol w:w="471"/>
        <w:gridCol w:w="475"/>
        <w:gridCol w:w="109"/>
        <w:gridCol w:w="109"/>
        <w:gridCol w:w="109"/>
        <w:gridCol w:w="324"/>
        <w:gridCol w:w="948"/>
        <w:gridCol w:w="167"/>
        <w:gridCol w:w="109"/>
        <w:gridCol w:w="109"/>
        <w:gridCol w:w="109"/>
        <w:gridCol w:w="377"/>
        <w:gridCol w:w="833"/>
        <w:gridCol w:w="275"/>
      </w:tblGrid>
      <w:tr>
        <w:trPr/>
        <w:tc>
          <w:tcPr>
            <w:tcW w:w="53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countries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1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84" name="Frame1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183</w:t>
                      </w:r>
                    </w:p>
                  </w:txbxContent>
                </v:textbox>
                <w10:wrap type="none"/>
              </v:rect>
            </w:pict>
          </mc:Fallback>
        </mc:AlternateContent>
      </w:r>
    </w:p>
    <w:p>
      <w:pPr>
        <w:pStyle w:val="TextBody"/>
        <w:bidi w:val="0"/>
        <w:spacing w:lineRule="auto" w:line="288" w:before="0" w:after="0"/>
        <w:jc w:val="both"/>
        <w:rPr/>
      </w:pPr>
      <w:hyperlink w:anchor="ib9af17d82a7d413cb442a95770d4890b_4">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22 - Subsequent Events</w:t>
      </w:r>
    </w:p>
    <w:p>
      <w:pPr>
        <w:pStyle w:val="TextBody"/>
        <w:bidi w:val="0"/>
        <w:spacing w:lineRule="auto" w:line="288" w:before="120" w:after="240"/>
        <w:jc w:val="both"/>
        <w:rPr/>
      </w:pPr>
      <w:r>
        <w:rPr>
          <w:rFonts w:ascii="Times New Roman;serif" w:hAnsi="Times New Roman;serif"/>
          <w:b w:val="false"/>
          <w:color w:val="000000"/>
          <w:sz w:val="20"/>
        </w:rPr>
        <w:t>In accordance with the terms of the Omnibus Incentive Plan, the total number of ordinary shares available for issuance under the Omnibus Incentive Plan and the ESPP increased by an aggregate of 13,821,271</w:t>
      </w:r>
      <w:r>
        <w:rPr>
          <w:color w:val="000000"/>
        </w:rPr>
        <w:t xml:space="preserve"> </w:t>
      </w:r>
      <w:r>
        <w:rPr>
          <w:rFonts w:ascii="Times New Roman;serif" w:hAnsi="Times New Roman;serif"/>
          <w:b w:val="false"/>
          <w:color w:val="000000"/>
          <w:sz w:val="20"/>
        </w:rPr>
        <w:t xml:space="preserve">ordinary shares </w:t>
      </w:r>
      <w:r>
        <w:rPr>
          <w:rFonts w:ascii="Times New Roman;serif" w:hAnsi="Times New Roman;serif"/>
          <w:b w:val="false"/>
          <w:color w:val="000000"/>
          <w:sz w:val="22"/>
        </w:rPr>
        <w:t>o</w:t>
      </w:r>
      <w:r>
        <w:rPr>
          <w:rFonts w:ascii="Times New Roman;serif" w:hAnsi="Times New Roman;serif"/>
          <w:b w:val="false"/>
          <w:color w:val="000000"/>
          <w:sz w:val="20"/>
        </w:rPr>
        <w:t>n April 1, 2026, as determined by the Remuneration Committee.</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In April 2026, the Company purchased an additional $67.9 million of Raspberry Pi Holdings plc’s ordinary shares.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In April 2026, the Company entered into an amendment with a cloud computing web services provider to increase the total purchase commitment by $305.0 million through 2029.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185" name="Frame1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pPr>
      <w:r>
        <w:rPr>
          <w:rFonts w:ascii="Times New Roman;serif" w:hAnsi="Times New Roman;serif"/>
          <w:b/>
          <w:color w:val="000000"/>
          <w:sz w:val="20"/>
        </w:rPr>
        <w:t>B.    </w:t>
      </w:r>
      <w:r>
        <w:rPr>
          <w:rFonts w:ascii="Times New Roman;serif" w:hAnsi="Times New Roman;serif"/>
          <w:b/>
          <w:i/>
          <w:color w:val="000000"/>
          <w:sz w:val="20"/>
        </w:rPr>
        <w:t>Significant Changes</w:t>
      </w:r>
    </w:p>
    <w:p>
      <w:pPr>
        <w:pStyle w:val="TextBody"/>
        <w:bidi w:val="0"/>
        <w:spacing w:lineRule="auto" w:line="288" w:before="12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 significant changes have occurred since March 31, 2026, except as otherwise disclosed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Item 9.    The Oﬀer and Listing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erif" w:hAnsi="Times New Roman;serif"/>
          <w:b/>
          <w:color w:val="000000"/>
          <w:sz w:val="20"/>
        </w:rPr>
        <w:t>A.    </w:t>
      </w:r>
      <w:r>
        <w:rPr>
          <w:rFonts w:ascii="Times New Roman;serif" w:hAnsi="Times New Roman;serif"/>
          <w:b/>
          <w:i/>
          <w:color w:val="000000"/>
          <w:sz w:val="20"/>
        </w:rPr>
        <w:t>Oﬀer and listing details</w:t>
      </w:r>
    </w:p>
    <w:p>
      <w:pPr>
        <w:pStyle w:val="TextBody"/>
        <w:bidi w:val="0"/>
        <w:spacing w:lineRule="auto" w:line="288" w:before="12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ADSs have been traded on the Nasdaq Global Select Market under the ticker symbol “ARM” since September 14, 2023. Our ordinary shares are not listed on any exchange.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erif" w:hAnsi="Times New Roman;serif"/>
          <w:b/>
          <w:color w:val="000000"/>
          <w:sz w:val="20"/>
        </w:rPr>
        <w:t>B.    </w:t>
      </w:r>
      <w:r>
        <w:rPr>
          <w:rFonts w:ascii="Times New Roman;serif" w:hAnsi="Times New Roman;serif"/>
          <w:b/>
          <w:i/>
          <w:color w:val="000000"/>
          <w:sz w:val="20"/>
        </w:rPr>
        <w:t>Plan of distribution</w:t>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erif" w:hAnsi="Times New Roman;serif"/>
          <w:b/>
          <w:color w:val="000000"/>
          <w:sz w:val="20"/>
        </w:rPr>
        <w:t>C.    </w:t>
      </w:r>
      <w:r>
        <w:rPr>
          <w:rFonts w:ascii="Times New Roman;serif" w:hAnsi="Times New Roman;serif"/>
          <w:b/>
          <w:i/>
          <w:color w:val="000000"/>
          <w:sz w:val="20"/>
        </w:rPr>
        <w:t>Markets</w:t>
      </w:r>
    </w:p>
    <w:p>
      <w:pPr>
        <w:pStyle w:val="TextBody"/>
        <w:bidi w:val="0"/>
        <w:spacing w:lineRule="auto" w:line="288" w:before="120" w:after="240"/>
        <w:ind w:left="0" w:right="0" w:firstLine="360"/>
        <w:jc w:val="left"/>
        <w:rPr/>
      </w:pPr>
      <w:r>
        <w:rPr>
          <w:rFonts w:ascii="Times New Roman;serif" w:hAnsi="Times New Roman;serif"/>
          <w:b w:val="false"/>
          <w:color w:val="000000"/>
          <w:sz w:val="20"/>
        </w:rPr>
        <w:t>See “</w:t>
      </w:r>
      <w:r>
        <w:rPr>
          <w:rFonts w:ascii="Times New Roman;serif" w:hAnsi="Times New Roman;serif"/>
          <w:b w:val="false"/>
          <w:i/>
          <w:color w:val="000000"/>
          <w:sz w:val="20"/>
        </w:rPr>
        <w:t>Item 9. The Offer and Listing—A. Offer and Listing Details”</w:t>
      </w:r>
      <w:r>
        <w:rPr>
          <w:rFonts w:ascii="Times New Roman;serif" w:hAnsi="Times New Roman;serif"/>
          <w:b w:val="false"/>
          <w:color w:val="000000"/>
          <w:sz w:val="20"/>
        </w:rPr>
        <w:t>,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erif" w:hAnsi="Times New Roman;serif"/>
          <w:b/>
          <w:color w:val="000000"/>
          <w:sz w:val="20"/>
        </w:rPr>
        <w:t>D.    </w:t>
      </w:r>
      <w:r>
        <w:rPr>
          <w:rFonts w:ascii="Times New Roman;serif" w:hAnsi="Times New Roman;serif"/>
          <w:b/>
          <w:i/>
          <w:color w:val="000000"/>
          <w:sz w:val="20"/>
        </w:rPr>
        <w:t xml:space="preserve">Selling shareholders </w:t>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erif" w:hAnsi="Times New Roman;serif"/>
          <w:b/>
          <w:color w:val="000000"/>
          <w:sz w:val="20"/>
        </w:rPr>
        <w:t>E.    </w:t>
      </w:r>
      <w:r>
        <w:rPr>
          <w:rFonts w:ascii="Times New Roman;serif" w:hAnsi="Times New Roman;serif"/>
          <w:b/>
          <w:i/>
          <w:color w:val="000000"/>
          <w:sz w:val="20"/>
        </w:rPr>
        <w:t>Dilution</w:t>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erif" w:hAnsi="Times New Roman;serif"/>
          <w:b/>
          <w:color w:val="000000"/>
          <w:sz w:val="20"/>
        </w:rPr>
        <w:t>F.    </w:t>
      </w:r>
      <w:r>
        <w:rPr>
          <w:rFonts w:ascii="Times New Roman;serif" w:hAnsi="Times New Roman;serif"/>
          <w:b/>
          <w:i/>
          <w:color w:val="000000"/>
          <w:sz w:val="20"/>
        </w:rPr>
        <w:t>Expenses of the issue</w:t>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Item 10.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erif" w:hAnsi="Times New Roman;serif"/>
          <w:b/>
          <w:color w:val="000000"/>
          <w:sz w:val="20"/>
        </w:rPr>
        <w:t>A.    </w:t>
      </w:r>
      <w:r>
        <w:rPr>
          <w:rFonts w:ascii="Times New Roman;serif" w:hAnsi="Times New Roman;serif"/>
          <w:b/>
          <w:i/>
          <w:color w:val="000000"/>
          <w:sz w:val="20"/>
        </w:rPr>
        <w:t>Share capital</w:t>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erif" w:hAnsi="Times New Roman;serif"/>
          <w:b/>
          <w:color w:val="000000"/>
          <w:sz w:val="20"/>
        </w:rPr>
        <w:t>B.    </w:t>
      </w:r>
      <w:r>
        <w:rPr>
          <w:rFonts w:ascii="Times New Roman;serif" w:hAnsi="Times New Roman;serif"/>
          <w:b/>
          <w:i/>
          <w:color w:val="000000"/>
          <w:sz w:val="20"/>
        </w:rPr>
        <w:t>Memorandum and articles of association</w:t>
      </w:r>
    </w:p>
    <w:p>
      <w:pPr>
        <w:pStyle w:val="TextBody"/>
        <w:bidi w:val="0"/>
        <w:spacing w:lineRule="auto" w:line="26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copy of our Articles of Association, as amended (the “Articles”) is attached to this Annual Report as Exhibit 1.1. The information required by Item 10.B of Form 20-F is set forth in Exhibit 2.3 to this Annual Report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erif" w:hAnsi="Times New Roman;serif"/>
          <w:b/>
          <w:color w:val="000000"/>
          <w:sz w:val="20"/>
        </w:rPr>
        <w:t>C.    </w:t>
      </w:r>
      <w:r>
        <w:rPr>
          <w:rFonts w:ascii="Times New Roman;serif" w:hAnsi="Times New Roman;serif"/>
          <w:b/>
          <w:i/>
          <w:color w:val="000000"/>
          <w:sz w:val="20"/>
        </w:rPr>
        <w:t>Material Contracts</w:t>
      </w:r>
    </w:p>
    <w:p>
      <w:pPr>
        <w:pStyle w:val="TextBody"/>
        <w:bidi w:val="0"/>
        <w:spacing w:lineRule="auto" w:line="288" w:before="120" w:after="240"/>
        <w:ind w:left="0" w:right="0" w:firstLine="360"/>
        <w:jc w:val="both"/>
        <w:rPr/>
      </w:pPr>
      <w:r>
        <w:rPr>
          <w:rFonts w:ascii="Times New Roman;serif" w:hAnsi="Times New Roman;serif"/>
          <w:b w:val="false"/>
          <w:color w:val="000000"/>
          <w:sz w:val="20"/>
        </w:rPr>
        <w:t>For the two years immediately preceding the date of this Annual Report, the Company has not entered into any material contracts other than in the ordinary course of business and other than those described in “</w:t>
      </w:r>
      <w:r>
        <w:rPr>
          <w:rFonts w:ascii="Times New Roman;serif" w:hAnsi="Times New Roman;serif"/>
          <w:b w:val="false"/>
          <w:i/>
          <w:color w:val="000000"/>
          <w:sz w:val="20"/>
        </w:rPr>
        <w:t>Item 7. Major Shareholders and Related Party Transactions”</w:t>
      </w:r>
      <w:r>
        <w:rPr>
          <w:color w:val="000000"/>
        </w:rPr>
        <w:t xml:space="preserve"> </w:t>
      </w:r>
      <w:r>
        <w:rPr>
          <w:rFonts w:ascii="Times New Roman;serif" w:hAnsi="Times New Roman;serif"/>
          <w:b w:val="false"/>
          <w:color w:val="000000"/>
          <w:sz w:val="20"/>
        </w:rPr>
        <w:t>or elsewhere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erif" w:hAnsi="Times New Roman;serif"/>
          <w:b/>
          <w:color w:val="000000"/>
          <w:sz w:val="20"/>
        </w:rPr>
        <w:t>D.    </w:t>
      </w:r>
      <w:r>
        <w:rPr>
          <w:rFonts w:ascii="Times New Roman;serif" w:hAnsi="Times New Roman;serif"/>
          <w:b/>
          <w:i/>
          <w:color w:val="000000"/>
          <w:sz w:val="20"/>
        </w:rPr>
        <w:t>Exchange controls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no governmental laws, decrees, regulations or other legislation in the U.K. that may affect the import or export of capital, including the availability of cash and cash equivalents for use by us, or that may affect the remittance of dividends, interest, or other payments by us to non-resident holders of our ordinary shares or ADSs, other than withholding tax requirements. There is no limitation imposed by the laws of England and Wales or in the Articles on the right of non-residents to hold or vote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86" name="Frame1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pPr>
      <w:r>
        <w:rPr>
          <w:rFonts w:ascii="Times New Roman;serif" w:hAnsi="Times New Roman;serif"/>
          <w:b/>
          <w:color w:val="000000"/>
          <w:sz w:val="20"/>
        </w:rPr>
        <w:t>E.    </w:t>
      </w:r>
      <w:r>
        <w:rPr>
          <w:rFonts w:ascii="Times New Roman;serif" w:hAnsi="Times New Roman;serif"/>
          <w:b/>
          <w:i/>
          <w:color w:val="000000"/>
          <w:sz w:val="20"/>
        </w:rPr>
        <w:t>Taxation</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Material U.S. Federal Income Tax Considerations for U.S. Holders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description of the material U.S. federal income tax consequences to U.S. Holders (as defined below) of owning and disposing of our ordinary shares or ADSs. This discussion is not a comprehensive description of all tax considerations that may be relevant to a particular person’s decision to acquire, hold, or dispose of our ordinary shares or ADSs. The discussion is based on the Code, administrative pronouncements, judicial decisions, final, temporary and proposed Treasury Regulations and the income tax treaty between the U.K. and the U.S. (the “Treaty”), all as of the date hereof, changes to any of which may affect the tax consequences described herein—possibly with retroactive effect. The following discussion is not binding on the IRS or any court. Thus, we cannot provide any assurance that the U.S. federal income tax consequences discussed below will not be challenged by the IRS or will be sustained by a court if challenged by the IRS.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discussion applies only to a U.S. Holder that will hold our ordinary shares or ADSs as a capital asset for tax purposes (generally, property held for investment). In addition, it does not describe all of the tax consequences that may be relevant in light of a U.S. Holder’s particular circumstances, including state, local and non-U.S. tax consequences, estate and gift tax consequences, alternative minimum tax consequences, special accounting rules under Section 451(b) of the Code, the potential application of the Medicare contribution tax, and tax consequences applicable to U.S. Holders subject to special rules, such as: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banks, insurance companies and certain other financial institutions;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pension plans;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U.S. expatriates and certain former citizens or long-term residents of the U.S.;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dealers or traders in securities who use a mark-to-market method of tax accounting;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persons holding ordinary shares or ADSs as part of a hedging transaction, “straddle,” wash sale, conversion transaction or integrated transaction or persons entering into a constructive sale with respect to ordinary shares or ADSs;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persons whose “functional currency” for U.S. federal income tax purposes is not the U.S. dollar;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brokers, dealers or traders in securities, commodities or currencies;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tax-exempt entities (including private foundations) or government organizations;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S corporations, partnerships or other entities or arrangements classified as partnerships for U.S. federal income tax purposes (and investors therein);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regulated investment companies or real estate investment trusts;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persons who acquired our ordinary shares or ADSs pursuant to the exercise of any employee stock option or otherwise as compensation;</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persons that own or are deemed to own 10% or more of our shares (by vote or value); and</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color w:val="000000"/>
          <w:sz w:val="20"/>
        </w:rPr>
        <w:t xml:space="preserve">persons holding our ordinary shares or ADSs in connection with a trade or business, permanent establishment or fixed base outside the U.S.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an entity that is classified as a partnership for U.S. federal income tax purposes holds ordinary shares or ADSs, the U.S. federal income tax treatment of a partner will generally depend on the status of the partner and the activities of the partnership. Partnerships holding ordinary shares or ADSs and partners in such partnerships are encouraged to consult their tax advisors as to the particular U.S. federal income tax consequences of holding and disposing of ordinary shares or ADSs.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“U.S. Holder” is a holder who, for U.S. federal income tax purposes, is a beneficial owner of ordinary shares or ADSs who is: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an individual who is a citizen or resident of the U.S.;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a corporation (or other entity taxable as a corporation for U.S. federal income tax purposes) created or organized in or under the laws of the U.S., any state therein or the District of Columbia;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187" name="Frame1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an estate the income of which is subject to U.S. federal income taxation regardless of its source; or</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color w:val="000000"/>
          <w:sz w:val="20"/>
        </w:rPr>
        <w:t xml:space="preserve">a trust if (1) a U.S. court is able to exercise primary supervision over the administration of the trust and one or more U.S. persons have authority to control all substantial decisions of the trust or (2) the trust has a valid election to be treated as a U.S. person under applicable U.S. Treasury Regulations. </w:t>
      </w:r>
    </w:p>
    <w:p>
      <w:pPr>
        <w:pStyle w:val="TextBody"/>
        <w:bidi w:val="0"/>
        <w:spacing w:lineRule="auto" w:line="288" w:before="12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You should consult your own tax advisors concerning the particular U.S. federal income tax consequences to you of the ownership and disposition of our ADSs or ordinary shares in light of your own particular circumstances, as well as the consequences to you arising under other U.S. federal, state and local tax laws and the laws of any other taxing jurisdiction.</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ADSs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discussion below assumes that the representations contained in the deposit agreement are true and that the obligations in the deposit agreement and any related agreement will be complied with in accordance with their terms. Generally, a holder of an ADS is treated for U.S. federal income tax purposes as holding the ordinary shares represented by the ADS. Accordingly, no gain or loss will generally be recognized upon an exchange of ADSs for ordinary shares.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Taxation of Distributions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Subject to the discussion below under “—Passive Foreign Investment Company Rules,” non-liquidating distributions paid to U.S. Holders on ordinary shares or ADSs, other than certain distributions of ordinary shares or ADSs, will generally be treated as foreign-source dividends to the extent paid out of our current or accumulated earnings and profits (as determined under U.S. federal income tax principles). Because we may not calculate our earnings and profits under U.S. federal income tax principles, we expect that distributions generally will be reported to U.S. Holders as dividends. U.S. Holders should consult their tax advisors regarding the creditability or deductibility of any non-U.S. tax generally and in their particular circumstances. Subject to applicable limitations, including conditions relating to holding period and the absence of certain risk reduction transactions, dividends paid to certain non-corporate U.S. Holders may be taxable at the same preferential rates as long-term capital gain on any “qualified dividend income” received from a “qualified foreign corporation.” A non-U.S. corporation will generally be considered a qualified foreign corporation (i) if it is eligible for the benefits of a comprehensive tax treaty with the U.S. which the Secretary of Treasury of the United States determines is satisfactory for purposes of these rules and which includes an exchange of information provision (which includes the Treaty) or (ii) with respect to any dividend it pays on ordinary shares or ADSs which are readily tradable on an established securities market in the U.S. Our ADSs (but not ordinary shares) are listed on Nasdaq, which is a qualified exchange for these purposes. Consequently, if our ADSs continue to be listed on Nasdaq and are regularly traded, we expect to be a qualified foreign corporation for purposes of dividends paid by us with respect to our ADSs constituting qualified dividend income. However, the qualified dividend income treatment will not apply if we are treated as a PFIC with respect to the U.S. Holder for our taxable year of the distribution or the preceding taxable year. The amount of the dividend will be treated as foreign-source dividend income to U.S. Holders and will not be eligible for the dividends received deduction generally available to U.S. corporations under the Code. Dividends will generally be included in a U.S. Holder’s income on the date of the U.S. Holder’s actual or constructive receipt of the dividend. The amount of any dividend income paid in foreign currency will be the U.S. dollar amount calculated by reference to the exchange rate in effect on the date of actual or constructive receipt, regardless of whether the payment is in fact converted into USD. If the dividend is converted into USD on the date of receipt, a U.S. Holder would generally not be required to recognize foreign currency gain or loss in respect of the dividend income. A U.S. Holder may have foreign currency gain or loss if the dividend is converted into USD after the date of receipt. Such gain or loss would generally be treated as U.S.-source ordinary income or loss. The amount of any distribution of property other than cash (and other than certain pro rata distributions of ordinary shares or ADSs or rights to acquire ordinary shares or ADSs) will be the fair market value of such property on the date of distribution. For foreign tax credit purposes, our dividends will generally be treated as passive category income.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Sale or Other Taxable Disposition of Ordinary Shares and ADSs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Subject to the discussion below under “—Passive Foreign Investment Company Rules,” gain or loss realized on the sale or other taxable disposition of our ordinary shares or ADSs will be capital gain or loss, and will be long-term capital gain or loss if the U.S. Holder held the ordinary shares or ADSs for more than one year. The amount of the gain or loss will equal the difference between the U.S. Holder’s tax basis in the ordinary shares or ADSs disposed of and the amount realized on the disposition, in each case as determined in USD. Such gain or loss will generally be U.S.-source gain or loss for foreign tax credit purposes. The deductibility of capital losses is subject to limitations.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188" name="Frame1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consideration received by a U.S. Holder is not paid in USD, the amount realized will be the U.S. dollar value of the payment received determined by reference to the spot rate of exchange on the date of the sale or other disposition. However, if the ordinary shares or ADSs are treated as traded on an “established securities market” and the U.S. Holder is either a cash basis taxpayer or an accrual basis taxpayer that has made a special election (which must be applied consistently from year to year and cannot be changed without the consent of the IRS), the U.S. Holder will determine the U.S. dollar value of the amount realized in a non-U.S. dollar currency by translating the amount received at the spot rate of exchange on the settlement date of the sale. If the U.S. Holder is an accrual basis taxpayer that is not eligible to or does not elect to determine the amount realized using the spot rate on the settlement date, the U.S. Holder will recognize foreign currency gain or loss to the extent of any difference between the U.S. dollar amount realized on the date of sale or disposition and the U.S. dollar value of the currency received at the spot rate on the settlement date. Gain or loss, if any, realized by a U.S. Holder on the sale or other disposition of our ordinary shares generally will be treated as U.S. source gain or loss for U.S. foreign tax credit limitation purposes.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Passive Foreign Investment Company Rules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be a PFIC for any taxable year in which (1) 75% or more of our gross income consists of passive income or (2) 50% or more of the value of our assets (generally determined on the basis of a weighted quarterly average) consists of assets that produce, or are held for the production of, passive income. For purposes of these tests, passive income generally includes dividends, interest, certain gains from the sale or exchange of investment property and certain rents and royalties, and cash and cash-equivalents. In addition, for purposes of the above calculations, a non-U.S. corporation that directly or indirectly owns at least 25% by value of the shares of another corporation is treated as holding and receiving directly its proportionate share of assets and income, respectively, of such other corporation. If we are a PFIC for any taxable year during which a U.S. Holder holds our ordinary shares or ADSs, the U.S. Holder may be subject to adverse tax consequences regardless of whether we continue to qualify as a PFIC, including ineligibility for any preferential tax rates on capital gains or on actual or deemed dividends, interest charges on certain taxes treated as deferred and additional reporting requirements.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upon the value of our assets and the nature and composition of our income and assets, we do not believe that we were a PFIC for the taxable year ended March 31, 2026, and we do not expect to become a PFIC in the foreseeable future. However, the determination of whether we are a PFIC is a fact-intensive determination made on an annual basis by applying principles and methodologies that in some circumstances are unclear and subject to varying interpretation. For instance, for our current and future taxable years, the total value of our assets for PFIC testing purposes (including goodwill) may be determined in part by reference to the market price of our ordinary shares or ADSs from time to time, which may fluctuate considerably. If our market capitalization declines while we hold a substantial amount of cash and cash-equivalents for any taxable year, we may be a PFIC for that taxable year. Furthermore, under the income test, our status as a PFIC depends on the composition of our income for the relevant taxable year, which will depend on the transactions we enter into in the future and our corporate structure. The composition of our income and assets is also affected by how we spend the cash we raise in any offering. Even if we determine that we are not a PFIC for a taxable year, there can be no assurance that the IRS will agree with our conclusion and that the IRS would not successfully challenge our position. Accordingly, we cannot provide any assurances that we will not be a PFIC for the current or any future taxable year, and our U.S. counsel expresses no opinion with respect to our PFIC status.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are classified as a PFIC in any taxable year with respect to which a U.S. Holder owns our ordinary shares or ADSs, we will continue to be treated as a PFIC with respect to such U.S. Holder in all succeeding taxable years during which such U.S. Holder owns our ordinary shares or ADSs, regardless of whether we continue to meet the tests described above, unless we cease to be a PFIC and such U.S. Holder has made a “deemed sale” election under the PFIC rules. If such an election is made, a U.S. Holder will be deemed to have sold the ordinary shares or ADSs the U.S. Holder holds at their fair market value and any gain from such deemed sale would be subject to the rules described below. After the deemed sale election, so long as we do not become a PFIC in a subsequent taxable year, the U.S. Holder’s ordinary shares or ADSs with respect to which such election was made will not be treated as shares in a PFIC and the U.S. Holder will not be subject to the rules described below with respect to any “excess distribution” the U.S. Holder receives from us or any gain from an actual sale or other disposition of our ordinary shares or ADSs. U.S. Holders should consult their tax advisors as to the possibility and consequences of making a deemed sale election if we are a PFIC and cease to be a PFIC and such election becomes available.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each taxable year that we are treated as a PFIC with respect to a U.S. Holder, such U.S. Holder will be subject to special tax rules with respect to any “excess distribution” such U.S. Holder receives from us and any gain such U.S. Holder recognizes from a sale or other disposition (including a pledge) of our ordinary shares or ADSs, unless (i) such U.S. Holder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189" name="Frame1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makes a “qualified electing fund” election (a “QEF Election”), as discussed below, with respect to all taxable years during such U.S. Holder’s holding period in which we are a PFIC or (ii) our ordinary shares or ADSs constitute “marketable stock” and such U.S. Holder makes a mark-to-market election (as discussed below). Distributions a U.S. Holder receives in a taxable year that are greater than 125% of the average annual distributions a U.S. Holder received during the shorter of the three preceding taxable years or the U.S. Holder’s holding period for the ordinary shares or ADSs will be treated as an excess distribution. Under these special tax rules: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the excess distribution or gain will be allocated ratably over a U.S. Holder’s holding period for the ordinary shares or ADSs;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the amount allocated to the current taxable year, and any taxable year prior to the first taxable year in which we became a PFIC, will be treated as ordinary income; and</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color w:val="000000"/>
          <w:sz w:val="20"/>
        </w:rPr>
        <w:t>the amount allocated to each other taxable year will be subject to the highest tax rate in effect for that year and the interest charge generally applicable to underpayments of tax will be imposed on the resulting tax attributable to each such year.</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tax liability for amounts allocated to taxable years prior to the taxable year of disposition or “excess distribution” cannot be offset by any net operating losses for such years, and gains (but not losses) realized on the sale of the ordinary shares or ADSs cannot be treated as capital gains, even if a U.S. Holder holds the ordinary shares or ADSs as capital assets.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are a PFIC, a U.S. Holder will generally be subject to similar rules with respect to distributions we receive from, and our dispositions of the stock of, any of our direct or indirect subsidiaries or any other entities in which we hold equity interests that also are PFICs (“lower-tier PFICs”) as if such distributions were indirectly received by, and/or dispositions were indirectly carried out by, such U.S. Holder. U.S. Holders should consult their tax advisors regarding the application of the PFIC rules to lower-tier PFICs.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currently expect to provide information that would allow a U.S. Holder to make a QEF Election in the event that we or any of our subsidiaries are classified as a PFIC and, therefore, U.S. Holders should assume such election will not be available if we or any of our subsidiaries are a PFIC.</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U.S. Holders can avoid the interest charge on excess distributions or gain relating to the ordinary shares or ADSs by making a mark-to-market election with respect to the ordinary shares or ADSs, provided that the ordinary shares or ADSs are “marketable stock.” Ordinary shares or ADSs will be marketable stock if they are “regularly traded” on certain U.S. stock exchanges or on a non-U.S. stock exchange that meets certain conditions. For these purposes, the ordinary shares or ADSs will be considered regularly traded during any calendar year during which they are traded, other than in de minimis quantities, on at least 15 days during each calendar quarter. Any trades that have as one of their principal purposes meeting this requirement will be disregarded. Our ADSs (but not ordinary shares) are listed on Nasdaq, which is a qualified exchange for these purposes. Consequently, if our ADSs continue to be listed on Nasdaq and are regularly traded, we expect the mark-to-market election would be available to U.S. Holders of our ADSs if we are a PFIC. However, a mark-to-market election may not be made with respect to our ordinary shares as they are not marketable stock.</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U.S. Holder that makes a mark-to-market election must include in ordinary income for each year an amount equal to the excess, if any, of the fair market value of the ADSs at the close of the taxable year over the U.S. Holder’s adjusted tax basis in the ADSs. An electing U.S. Holder may also claim an ordinary loss deduction for the excess, if any, of the U.S. Holder’s adjusted basis in the ADSs over the fair market value of the ADSs at the close of the taxable year, but this deduction is allowable only to the extent of any net mark-to-market gains for prior years. Gains from an actual sale or other disposition of the ADSs in any year in which we are a PFIC will be treated as ordinary income, and any losses incurred on a sale or other disposition of the ADSs will be treated as an ordinary loss to the extent of any net mark-to-market gains for prior years. Once made, the election cannot be revoked without the consent of the IRS unless the ordinary shares or ADSs cease to be marketable stock. Each U.S. Holder should consult its tax advisor as to whether a mark-to-market election is available or advisable with respect to our ADSs.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Because, as a technical matter, a mark-to-market election cannot be made for any lower-tier PFICs that we may own, a U.S. Holder may continue to be subject to the general PFIC rules described above with respect to such U.S. Holder’s indirect interest in any investments held by us that are treated as an equity interest in a PFIC for U.S. federal income tax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190" name="Frame1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otherwise provided by the U.S. Treasury, each U.S. person that is a shareholder of a PFIC is required to file an annual report containing such information as the U.S. Treasury may require. A U.S. Holder’s failure to file the annual report may result in substantial penalties and extend the statute of limitations with respect to the U.S. Holder’s U.S. federal income tax return. U.S. Holders should consult their tax advisors regarding the requirements of filing such information returns under these rules.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Information Reporting and Backup Withholding</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Payments of dividends and sales proceeds that are made within the U.S. or through certain U.S.-related financial intermediaries generally are subject to information reporting and may be subject to backup withholding (currently at a rate of 24%), unless (i) the U.S. Holder is a corporation or other exempt recipient or (ii) in the case of backup withholding, the U.S. Holder provides a correct taxpayer identification number and certifies that it is not subject to backup withholding.</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Backup withholding is not an additional tax. The amount of any backup withholding from a payment to a U.S. Holder will be allowed as a credit against the U.S. Holder’s U.S. federal income tax liability and may entitle it to a refund, provided that the required information is timely furnished to the IRS.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Information with Respect to Foreign Financial Assets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U.S. Holders who are individuals (and, under U.S. Treasury Regulations, certain entities) may be required to report information relating to our ordinary shares or ADSs, subject to certain exceptions (including an exception for ordinary shares or ADSs held in accounts maintained by certain U.S. financial institutions), by filing IRS Form 8938 (Statement of Specified Foreign Financial Assets) with their federal income tax return. Such U.S. Holders who fail to timely furnish the required information may be subject to a penalty. Additionally, if a U.S. Holder does not file the required information, the statute of limitations with respect to tax returns of the U.S. Holder to which the information relates may not close until three years after such information is filed. U.S. Holders should consult their tax advisors regarding their reporting obligations with respect to their ownership and disposition of our ordinary shares or ADSs and with respect to their possible obligation to file IRS Forms 926 and/or 8938.</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U.K. Taxation</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section contains a description of certain U.K. tax consequences of the acquisition, ownership and disposal of ADSs (and/or ADRs) and ordinary shares. It is intended only as a general guide to current U.K. tax law and the published practice of HMRC (which is not a statement of law and which may not be binding on HMRC), applying as at the date of this Annual Report (both of which are subject to change at any time, possibly with retrospective effect). It does not constitute legal or tax advice and does not purport to be a complete analysis of all U.K. tax considerations relating to the acquisition, ownership or disposal of ADSs (and/or ADRs) and ordinary shares, or all of the circumstances in which holders of ADSs (and/or ADRs) and ordinary shares may benefit from an exemption or relief from U.K. taxation. It is written on the basis that the Company does not (and will not) directly or indirectly derive 75% or more of its qualifying asset value from U.K. land, and that the Company is and remains solely resident in the U.K. for tax purposes and will therefore be subject to the U.K. tax regime and not the U.S. tax regime except as set out above under “Material U.S. Federal Income Tax Considerations for U.S. Holders.”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section does not cover:</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your chargeable gains position if you are resident in the U.K. for U.K. tax purposes, you are an individual and hold the ADSs and/or ADRs for the purposes of a trade, profession or vocation that you carry on in the U.K. through a branch or agency, or you are a corporation and hold the ADSs and/or ADRs for the purposes of a trade carried on in the U.K. through a permanent establishment in the U.K.; and</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color w:val="000000"/>
          <w:sz w:val="20"/>
        </w:rPr>
        <w:t>your inheritance tax position if you are domiciled in the U.K. for inheritance tax purposes.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section below may not relate to certain classes of persons, such as (but not limited to):</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persons who are connected with the Company;</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financial institutions;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insurance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191" name="Frame1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charities or tax-exempt organizations;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collective investment schemes;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pension schemes;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market makers, intermediaries, brokers or dealers in securities or persons who hold ADSs and/or ADRs otherwise than as an investment;</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persons who have (or are deemed to have) acquired their ADSs and/or ADRs by virtue of an office or employment or who are or have been officers or employees of the Company or any of its affiliates; and</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color w:val="000000"/>
          <w:sz w:val="20"/>
        </w:rPr>
        <w:t>individuals who are subject to U.K. taxation on a remittance basis.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on published HMRC guidance, we would expect that HMRC will regard a holder of ADSs as holding the beneficial interest in the underlying shares and therefore these paragraphs assume that a holder of ADSs and/or ADRs is the beneficial owner of the underlying ordinary shares and any dividends paid in respect of the underlying ordinary shares (where the dividends are regarded for U.K. purposes as that person’s own income) for U.K. direct tax purposes.</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THESE PARAGRAPHS ARE A SUMMARY OF CERTAIN U.K. TAX CONSIDERATIONS AND ARE INTENDED AS A GENERAL GUIDE ONLY. IT IS RECOMMENDED THAT ALL HOLDERS OF ADSs AND/OR ADRs OBTAIN ADVICE AS TO THE CONSEQUENCES OF THE ACQUISITION, OWNERSHIP AND DISPOSAL OF THE ADSs AND/OR ADRs IN THEIR OWN SPECIFIC CIRCUMSTANCES FROM THEIR OWN TAX ADVISORS. IN PARTICULAR, NON-U.K. RESIDENT OR DOMICILED PERSONS ARE ADVISED TO CONSIDER THE POTENTIAL IMPACT OF ANY RELEVANT DOUBLE TAXATION AGREEMENTS.</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Taxation of Dividends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Dividends paid by the Company in respect of our ordinary shares will not be subject to any withholding or deduction at source for or on account of U.K. tax.</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Taxation of Chargeable Gains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holder of ADSs and/or ADRs which is not resident for tax purposes in the U.K. should not normally be liable to U.K. capital gains tax or corporation tax on chargeable gains on a disposal (or deemed disposal) of ADSs and/or ADRs unless the person is carrying on (whether solely or in partnership) a trade, profession or vocation in the U.K. through a branch or agency (or, in the case of a corporate holder of ADSs and/or ADRs, through a permanent establishment) to which the ADSs and/or ADRs are attributable. However, an individual holder of ADSs and/or ADRs who has ceased to be resident for tax purposes in the U.K. for a period of five years or less and who disposes of ADSs and/or ADRs during that period may be liable on his or her return to the U.K. to U.K. tax on any capital gain realized (subject to any available exemption or relief).</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Inheritance Tax</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Subject to certain provisions relating to trusts or settlements, an ADS and/or ADR held by an individual shareholder who is domiciled in the U.S. for the purposes of the convention between the U.S. and the U.K. relating to estate and gift taxes (the “Convention”) and who is neither domiciled in the U.K. nor (where certain conditions are met) a U.K. national (as defined in the Convention), will generally not be subject to U.K. inheritance tax on the individual’s death (whether held on the date of death or gifted during the individual’s lifetime) except where the ADS and/or ADR is part of the business property of a U.K. permanent establishment of the individual or pertains to a U.K. fixed base of an individual who performs independent personal services. In a case where an ADS and/or ADR is subject both to U.K. inheritance tax and to U.S. federal gift or estate tax, the Convention generally provides for inheritance tax paid in the U.K. to be credited against federal gift or estate tax payable in the U.S., or for federal gift or estate tax paid in the U.S. to be credited against any inheritance tax payable in the U.K., based on priority rules set forth in the Convention.</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Stamp Duty and Stamp Duty Reserve Tax</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discussion below is intended as a general and non-exhaustive guide to the current U.K. stamp duty and SDRT position and applies to the holders and acquirers of ADSs and/or ADRs (representing our ordinary shares) wherever resident; however, it should be noted that special rules may apply to certain persons such as market makers, brokers, dealers or intermediaries, and persons connected with clearance services and depositary receipt systems. Such persons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192" name="Frame1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may not be liable to U.K. stamp duty or SDRT or may be so liable at a higher rate. Furthermore, such persons may, although not primarily liable for the tax, be required to notify and account for it under the Stamp Duty Reserve Tax Regulations 1986.</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Acquisitions and Subsequent Transfers of ADSs and/or ADRs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on HMRC’s published practice, no U.K. stamp duty will be payable on the acquisition or transfer of ADSs and/or ADRs. Furthermore, an agreement to transfer ADSs and/or ADRs will not give rise to a liability to SDRT.</w:t>
      </w:r>
    </w:p>
    <w:p>
      <w:pPr>
        <w:pStyle w:val="TextBody"/>
        <w:bidi w:val="0"/>
        <w:spacing w:lineRule="auto" w:line="288" w:before="12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Withdrawals and Subsequent Transfers of ordinary shares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transfer of ordinary shares (as opposed to ADSs and/or ADRs) will generally be subject to U.K. stamp duty (if the ordinary shares are held in certificated form) or SDRT (if the ordinary shares are held in uncertificated form), in either case at the rate of 0.5% (or potentially 1.5% in certain circumstances) of the amount or value of the consideration paid for the ordinary shares (for example in respect of transfer of ordinary shares or a redeposit of ordinary shares into the ADR program).</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SDRT will generally be payable on an unconditional agreement to transfer ordinary shares in certificated form at 0.5% (or potentially 1.5% in certain circumstances) of the amount or value of the consideration for the transfer, but is repayable if, within six years of the date of the agreement, an instrument transferring the ordinary shares is executed.</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Therefore, you are strongly encouraged to hold your ADSs (representing ordinary shares) in book-entry form through the facilities of the Depository Trust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erif" w:hAnsi="Times New Roman;serif"/>
          <w:b/>
          <w:color w:val="000000"/>
          <w:sz w:val="20"/>
        </w:rPr>
        <w:t>F.    </w:t>
      </w:r>
      <w:r>
        <w:rPr>
          <w:rFonts w:ascii="Times New Roman;serif" w:hAnsi="Times New Roman;serif"/>
          <w:b/>
          <w:i/>
          <w:color w:val="000000"/>
          <w:sz w:val="20"/>
        </w:rPr>
        <w:t>Dividends and paying agents</w:t>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erif" w:hAnsi="Times New Roman;serif"/>
          <w:b/>
          <w:color w:val="000000"/>
          <w:sz w:val="20"/>
        </w:rPr>
        <w:t>G.    </w:t>
      </w:r>
      <w:r>
        <w:rPr>
          <w:rFonts w:ascii="Times New Roman;serif" w:hAnsi="Times New Roman;serif"/>
          <w:b/>
          <w:i/>
          <w:color w:val="000000"/>
          <w:sz w:val="20"/>
        </w:rPr>
        <w:t>Statement by experts</w:t>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erif" w:hAnsi="Times New Roman;serif"/>
          <w:b/>
          <w:color w:val="000000"/>
          <w:sz w:val="20"/>
        </w:rPr>
        <w:t>H.    </w:t>
      </w:r>
      <w:r>
        <w:rPr>
          <w:rFonts w:ascii="Times New Roman;serif" w:hAnsi="Times New Roman;serif"/>
          <w:b/>
          <w:i/>
          <w:color w:val="000000"/>
          <w:sz w:val="20"/>
        </w:rPr>
        <w:t>Documents on display</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SEC maintains a website at www.sec.gov that contains information regarding issuers that file electronically with the SEC, including the Company. We also maintain a corporate website at www.arm.com and make available our annual reports on Form 20-F and current reports on Form 6-K, and any amendments to those reports, as soon as reasonably practicable after such material is electronically filed with, or furnished to, the SEC. Information contained on, or that can be accessed through, our website is not incorporated by reference in this Annual Report. We have included our website address in this Annual Report solely as an inactive textual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erif" w:hAnsi="Times New Roman;serif"/>
          <w:b/>
          <w:color w:val="000000"/>
          <w:sz w:val="20"/>
        </w:rPr>
        <w:t>I.    </w:t>
      </w:r>
      <w:r>
        <w:rPr>
          <w:rFonts w:ascii="Times New Roman;serif" w:hAnsi="Times New Roman;serif"/>
          <w:b/>
          <w:i/>
          <w:color w:val="000000"/>
          <w:sz w:val="20"/>
        </w:rPr>
        <w:t>Subsidiary Information</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erif" w:hAnsi="Times New Roman;serif"/>
          <w:b/>
          <w:color w:val="000000"/>
          <w:sz w:val="20"/>
        </w:rPr>
        <w:t>J.     </w:t>
      </w:r>
      <w:r>
        <w:rPr>
          <w:rFonts w:ascii="Times New Roman;serif" w:hAnsi="Times New Roman;serif"/>
          <w:b/>
          <w:i/>
          <w:color w:val="000000"/>
          <w:sz w:val="20"/>
        </w:rPr>
        <w:t>Annual Report to Security Holders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file an annual report to security holders under U.K. law and promptly thereafter will furnish such report on Form 6-K via EDGAR.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193" name="Frame1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Item 11.    Qualitative and Quantitative Disclosures about Market Risk</w:t>
      </w:r>
    </w:p>
    <w:p>
      <w:pPr>
        <w:pStyle w:val="TextBody"/>
        <w:bidi w:val="0"/>
        <w:spacing w:lineRule="auto" w:line="288" w:before="120" w:after="240"/>
        <w:ind w:left="0" w:right="0" w:firstLine="360"/>
        <w:jc w:val="both"/>
        <w:rPr/>
      </w:pPr>
      <w:r>
        <w:rPr>
          <w:rFonts w:ascii="Times New Roman;serif" w:hAnsi="Times New Roman;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 interest rates and the value of our equity investments. See “</w:t>
      </w:r>
      <w:r>
        <w:rPr>
          <w:rFonts w:ascii="Times New Roman;serif" w:hAnsi="Times New Roman;serif"/>
          <w:b w:val="false"/>
          <w:i/>
          <w:color w:val="000000"/>
          <w:sz w:val="20"/>
        </w:rPr>
        <w:t>Item 8. Financial Information—Note 1 - Description of Business and Summary of Significant Accounting Policies”,</w:t>
      </w:r>
      <w:r>
        <w:rPr>
          <w:color w:val="000000"/>
        </w:rPr>
        <w:t xml:space="preserve"> “</w:t>
      </w:r>
      <w:r>
        <w:rPr>
          <w:rFonts w:ascii="Times New Roman;serif" w:hAnsi="Times New Roman;serif"/>
          <w:b w:val="false"/>
          <w:i/>
          <w:color w:val="000000"/>
          <w:sz w:val="20"/>
        </w:rPr>
        <w:t>Item 8. Financial Information—Note 12 - Derivatives”</w:t>
      </w:r>
      <w:r>
        <w:rPr>
          <w:color w:val="000000"/>
        </w:rPr>
        <w:t xml:space="preserve"> </w:t>
      </w:r>
      <w:r>
        <w:rPr>
          <w:rFonts w:ascii="Times New Roman;serif" w:hAnsi="Times New Roman;serif"/>
          <w:b w:val="false"/>
          <w:color w:val="000000"/>
          <w:sz w:val="20"/>
        </w:rPr>
        <w:t xml:space="preserve">and </w:t>
      </w:r>
      <w:r>
        <w:rPr>
          <w:color w:val="000000"/>
        </w:rPr>
        <w:t>“</w:t>
      </w:r>
      <w:r>
        <w:rPr>
          <w:rFonts w:ascii="Times New Roman;serif" w:hAnsi="Times New Roman;serif"/>
          <w:b w:val="false"/>
          <w:i/>
          <w:color w:val="000000"/>
          <w:sz w:val="20"/>
        </w:rPr>
        <w:t>Item 8. Financial Information—Note 10 - Equity Investments”</w:t>
      </w:r>
      <w:r>
        <w:rPr>
          <w:color w:val="000000"/>
        </w:rPr>
        <w:t xml:space="preserve"> </w:t>
      </w:r>
      <w:r>
        <w:rPr>
          <w:rFonts w:ascii="Times New Roman;serif" w:hAnsi="Times New Roman;serif"/>
          <w:b w:val="false"/>
          <w:color w:val="000000"/>
          <w:sz w:val="20"/>
        </w:rPr>
        <w:t>in the Notes to the Consolidated Financial Statements included in this Annual Report.</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interest rate risk arising on interest-bearing assets that we hold, including cash and cash equivalents, short-term investments, and loans receivable. As of March 31, 2026, a hypothetical 1% increase or decrease in interest rates would have an approximate $25 million (positive or negative, as applicable) impact on our operating results in the consolidated financial statements for the fiscal year ended March 31, 2026.</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foreign exchange risk in respect of our revenue and expenses where our revenue and expenses are denominated in a currency other than the functional currency of the transacting entity. Our expenses benefit from a stronger U.S. dollar and are adversely affected by a weaker U.S. dollar. To help mitigate a proportion of this risk, we enter into foreign currency forward contracts. To provide an assessment of the foreign currency exchange risk associated with our foreign currency exposures within operating expenses, we performed a sensitivity analysis to determine the hypothetical impact that an adverse change in exchange rates would have on our operating expenses. If the U.S. dollar weakened by 10%, our operating expenses could increase by as much as 6%.</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translational impact arises due to the revaluation of monetary assets and liabilities in the consolidated financial statements, where these are not denominated in USD and on loans to subsidiaries in currencies other than our functional currency. As of March 31, 2026, a hypothetical 10% increase or decrease in the relative value of USD to British pound sterling, the Eurozone Euros, and the Chinese Yuan Renminbi would have an approximate $5 million, $4 million, and $7 million, respectively, (positive or negative, as applicable) effect in other non-operating income (loss), net in the Consolidated Income Statements for the fiscal year ended March 31, 2026.</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Equity Price Risk</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equity price risk arising in respect to our equity investment portfolio that includes marketable equity securities and non-marketable equity securities. Our investments include privately-held companies, which generally have a higher inherent risk. This could result in a loss of all or part of our investment. These investments could be impaired if the carrying value exceeds the fair value and is not expected to recover. The evaluation of our non-marketable equity investments is based on the timing and accuracy of information provided by these companies, which is not subject to the same disclosure requirements of publicly traded companies. As of March 31, 2026, the amount of marketable equity securities and non-marketable equity securities totaled $387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194" name="Frame1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Item 12.    Description of Securities Other than Equity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A.    Debt Securities</w:t>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B.    Warrants and Rights</w:t>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C.    Other Securities</w:t>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D.    American Depositary Shares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regarding the fees and charges that a holder of our American Depositary Receipts may have to pay, either directly or indirectly, and the fees and other direct and indirect payments made by the depositary to the Company, is set forth below.</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Fees and Charges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an ADS holder, you will be required to pay the following fees (some of which may be cumulative) under the terms of the deposit agreement:</w:t>
      </w:r>
    </w:p>
    <w:tbl>
      <w:tblPr>
        <w:tblW w:w="10205" w:type="dxa"/>
        <w:jc w:val="left"/>
        <w:tblInd w:w="0" w:type="dxa"/>
        <w:tblLayout w:type="fixed"/>
        <w:tblCellMar>
          <w:top w:w="28" w:type="dxa"/>
          <w:left w:w="28" w:type="dxa"/>
          <w:bottom w:w="28" w:type="dxa"/>
          <w:right w:w="28" w:type="dxa"/>
        </w:tblCellMar>
      </w:tblPr>
      <w:tblGrid>
        <w:gridCol w:w="2290"/>
        <w:gridCol w:w="1982"/>
        <w:gridCol w:w="2004"/>
        <w:gridCol w:w="109"/>
        <w:gridCol w:w="109"/>
        <w:gridCol w:w="109"/>
        <w:gridCol w:w="1186"/>
        <w:gridCol w:w="995"/>
        <w:gridCol w:w="1421"/>
      </w:tblGrid>
      <w:tr>
        <w:trPr/>
        <w:tc>
          <w:tcPr>
            <w:tcW w:w="2290"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r>
      <w:tr>
        <w:trPr/>
        <w:tc>
          <w:tcPr>
            <w:tcW w:w="62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Fee</w:t>
            </w:r>
          </w:p>
        </w:tc>
      </w:tr>
      <w:tr>
        <w:trPr/>
        <w:tc>
          <w:tcPr>
            <w:tcW w:w="62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ADSs (e.g., an issuance of ADS upon a deposit of ordinary shares or upon a change in the ADS(s)-to-ordinary shares ratio or for any other reason), excluding ADS issuances as a result of distributions of 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Up to U.S. $5.00 per 100 ADSs (or fraction thereof) issued.</w:t>
            </w:r>
          </w:p>
        </w:tc>
      </w:tr>
      <w:tr>
        <w:trPr/>
        <w:tc>
          <w:tcPr>
            <w:tcW w:w="6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of ADSs (e.g., a cancellation of ADSs for delivery of deposited property or upon a change in the ADS(s)-to-ordinary shares ratio, or for any other reason)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Up to U.S. $5.00 per 100 ADSs (or fraction thereof) cancelled.</w:t>
            </w:r>
          </w:p>
        </w:tc>
      </w:tr>
      <w:tr>
        <w:trPr/>
        <w:tc>
          <w:tcPr>
            <w:tcW w:w="6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of cash dividends or other cash distributions (e.g., upon a sale of rights and other entitlements)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Up to U.S. $5.00 per 100 ADSs (or fraction thereof) held.</w:t>
            </w:r>
          </w:p>
        </w:tc>
      </w:tr>
      <w:tr>
        <w:trPr/>
        <w:tc>
          <w:tcPr>
            <w:tcW w:w="6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of ADSs pursuant to (i) share dividends or other free share distributions, or (ii) an exercise of rights to purchase additional ADSs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Up to U.S. $5.00 per 100 ADSs (or fraction thereof) held.</w:t>
            </w:r>
          </w:p>
        </w:tc>
      </w:tr>
      <w:tr>
        <w:trPr/>
        <w:tc>
          <w:tcPr>
            <w:tcW w:w="6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of financial instruments, including, without limitation, securities, other than ADSs or rights to purchase additional ADSs (e.g., spin-off shares and contingent value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Up to U.S. $5.00 per 100 ADSs (or fraction thereof) held.</w:t>
            </w:r>
          </w:p>
        </w:tc>
      </w:tr>
      <w:tr>
        <w:trPr/>
        <w:tc>
          <w:tcPr>
            <w:tcW w:w="6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ADS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Up to U.S. $5.00 per 100 ADSs (or fraction thereof) held on the applicable record date(s) established by the depositary.</w:t>
            </w:r>
          </w:p>
        </w:tc>
      </w:tr>
      <w:tr>
        <w:trPr/>
        <w:tc>
          <w:tcPr>
            <w:tcW w:w="6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Registration of ADS Transfers (e.g., upon a registration of the transfer of registered ownership of ADSs, upon a transfer of ADSs into DTC and vice versa, or for any other reason)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Up to U.S. $5.00 per 100 ADSs (or fraction thereof) transferred.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195" name="Frame1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194</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930"/>
        <w:gridCol w:w="2573"/>
        <w:gridCol w:w="2580"/>
        <w:gridCol w:w="109"/>
        <w:gridCol w:w="109"/>
        <w:gridCol w:w="109"/>
        <w:gridCol w:w="523"/>
        <w:gridCol w:w="523"/>
        <w:gridCol w:w="749"/>
      </w:tblGrid>
      <w:tr>
        <w:trPr/>
        <w:tc>
          <w:tcPr>
            <w:tcW w:w="2930"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r>
      <w:tr>
        <w:trPr/>
        <w:tc>
          <w:tcPr>
            <w:tcW w:w="8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ADSs of one series for ADSs of another series (e.g., upon conversion of Partial Entitlement ADSs for Full Entitlement ADSs, or upon conversion of Restricted ADSs (each as defined in the deposit agreement) into freely transferable ADSs, and vice versa) or conversion of ADSs for unsponsored American Depositary Shares (e.g., upon termination of the deposit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Up to U.S. $5.00 per 100 ADSs (or fraction thereof) converted.</w:t>
            </w:r>
          </w:p>
        </w:tc>
      </w:tr>
    </w:tbl>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an ADS holder, you will also be responsible to pay certain charges such as: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taxes (including applicable interest and penalties) and other governmental charges;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the registration fees as may from time to time be in effect for the registration of ordinary shares on the register of members and applicable to transfers of ordinary shares to or from the name of the custodian, the depositary or any nominees upon the making of deposits and withdrawals, respectively;</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certain cable, telex and facsimile transmission and delivery expenses;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the fees, expenses, spreads, taxes and other charges of the depositary and/or service providers (which may be a division, branch or affiliate of the depositary) in the conversion of foreign currency;</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the reasonable and customary out-of-pocket expenses incurred by the depositary in connection with compliance with exchange control regulations and other regulatory requirements applicable to ordinary shares, ADSs and ADRs; and</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color w:val="000000"/>
          <w:sz w:val="20"/>
        </w:rPr>
        <w:t>the fees, charges, costs and expenses incurred by the depositary, the custodian or any nominee in connection with the servicing of the ADR program.</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Fees and Other Payments Made by the Depositary to Us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depositary may reimburse us for certain expenses incurred by us in respect of the ADR program, by making available a portion of the ADS fees charged in respect of the ADR program or otherwise, upon such terms and conditions as we and the depositary agree from time to time. During the fiscal year ended March 31, 2026, we received approximately $1.5 million from the depositary.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196" name="Frame1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960" w:after="283"/>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Item 13.    Defaults, Dividend Arrearages and Delinquencies</w:t>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Item 14.    Material Modifications to the Rights of Security Holders and Use of Proceeds</w:t>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Item 15.    Controls and Procedures</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A.    Disclosure Controls and Procedures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CEO and chief financial officer (“CFO”), evaluated the effectiveness of our disclosure controls and procedures as defined in Rules 13a-15(e) and 15d-15(e) under the Exchange Act as of March 31, 2026 and concluded that, as of such date, our disclosure controls and procedures were effective as of March 31, 2026. The purpose of these controls and procedures is to ensure that information required to be disclosed in the reports we file or submit under the Exchange Act is recorded, processed, summarized and reported within the time periods specified in the SEC’s rules, and that such information is accumulated and communicated to our management, including our CEO and our CFO, to allow timely decisions regarding required disclosures.</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B.    Management’s Annual Report on Internal Control over Financial Reporting</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CEO and CFO, is responsible for establishing and maintaining adequate internal control over financial reporting (as defined in Rules 13a-15(f) and 15d-15(f) under the Exchange Act).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we conducted an evaluation of the effectiveness of our internal control over financial reporting as of March 31, 2026. In assessing the effectiveness of our internal control over financial reporting, our management used the framework established in Internal Control Integrated Framework (2013) issued by The Committee of Sponsoring Organizations of the Treadway Commission.</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on our evaluation as of March 31, 2026, our management concluded that our internal control over financial reporting was effective as of March 31, 2026.</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C.    Attestation Report of Independent Registered Public Accounting Firm</w:t>
      </w:r>
    </w:p>
    <w:p>
      <w:pPr>
        <w:pStyle w:val="TextBody"/>
        <w:bidi w:val="0"/>
        <w:spacing w:lineRule="auto" w:line="288" w:before="120" w:after="240"/>
        <w:ind w:left="0" w:right="0" w:firstLine="360"/>
        <w:jc w:val="both"/>
        <w:rPr/>
      </w:pPr>
      <w:r>
        <w:rPr>
          <w:rFonts w:ascii="Times New Roman;serif" w:hAnsi="Times New Roman;serif"/>
          <w:b w:val="false"/>
          <w:color w:val="000000"/>
          <w:sz w:val="20"/>
        </w:rPr>
        <w:t>Our independent registered public accounting firm, Deloitte &amp; Touche LLP, has issued an auditors’ report on the effectiveness of our internal control over financial reporting, which is included herein. See</w:t>
      </w:r>
      <w:r>
        <w:rPr>
          <w:color w:val="000000"/>
        </w:rPr>
        <w:t xml:space="preserve"> “</w:t>
      </w:r>
      <w:r>
        <w:rPr>
          <w:rFonts w:ascii="Times New Roman;serif" w:hAnsi="Times New Roman;serif"/>
          <w:b w:val="false"/>
          <w:i/>
          <w:color w:val="000000"/>
          <w:sz w:val="20"/>
        </w:rPr>
        <w:t>Item 8. Financial Information—A. Consolidated Statements and Other Financial Information—REPORTS OF INDEPENDENT REGISTERED PUBLIC ACCOUNTING FIRM”</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D.    Changes in Internal Control over Financial Reporting</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identified in management’s evaluation pursuant to Rules 13a-15(d) or 15d-15(d) of the Exchange Act during the fiscal year ended March 31, 2026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Item 16.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Item 16A.    Audit committee financial expert</w:t>
      </w:r>
    </w:p>
    <w:p>
      <w:pPr>
        <w:pStyle w:val="TextBody"/>
        <w:bidi w:val="0"/>
        <w:spacing w:lineRule="auto" w:line="288" w:before="120" w:after="240"/>
        <w:ind w:left="0" w:right="0" w:firstLine="360"/>
        <w:jc w:val="both"/>
        <w:rPr/>
      </w:pPr>
      <w:r>
        <w:rPr>
          <w:rFonts w:ascii="Times New Roman;serif" w:hAnsi="Times New Roman;serif"/>
          <w:b w:val="false"/>
          <w:color w:val="000000"/>
          <w:sz w:val="20"/>
        </w:rPr>
        <w:t>Our Board of Directors has determined that Karen E. Dykstra,</w:t>
      </w:r>
      <w:r>
        <w:rPr>
          <w:color w:val="000000"/>
        </w:rPr>
        <w:t xml:space="preserve"> </w:t>
      </w:r>
      <w:r>
        <w:rPr>
          <w:rFonts w:ascii="Times New Roman;serif" w:hAnsi="Times New Roman;serif"/>
          <w:b w:val="false"/>
          <w:color w:val="000000"/>
          <w:sz w:val="20"/>
        </w:rPr>
        <w:t>the chair of our Audit Committee, qualifies as an “Audit Committee financial expert” within the meaning of SEC regulations,</w:t>
      </w:r>
      <w:r>
        <w:rPr>
          <w:color w:val="000000"/>
        </w:rPr>
        <w:t xml:space="preserve"> </w:t>
      </w:r>
      <w:r>
        <w:rPr>
          <w:rFonts w:ascii="Times New Roman;serif" w:hAnsi="Times New Roman;serif"/>
          <w:b w:val="false"/>
          <w:color w:val="000000"/>
          <w:sz w:val="20"/>
        </w:rPr>
        <w:t>and that Ms. Dykstra is “independent” as that term is defined by the listing standards of Nasdaq and the additional independence standards applicable to audit committee members established pursuant to Rule 10A-3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197" name="Frame1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Item 16B.    Code of Ethics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a Code of Conduct applicable to our and our subsidiaries’ employees, independent contractors, senior management and directors, including our principal executive officer, principal financial officer, principal accounting officer or controller, or persons performing similar functions. Our Board of Directors monitors compliance with our Code of Conduct, including reviewing the adequacy and effectiveness of our procedures to ensure proper compliance. Our Code of Conduct is intended to meet the definition of “code of ethics” under Item 16B of Form 20-F under the Exchange Act. We will disclose on our website any amendment to, or waiver from, a provision of our Code of Conduct that applies to our Board of Directors or Senior Management to the extent required under the rules of the SEC or Nasdaq. A current copy of the Code of Conduct is posted on the Investor Relations section of our website at https://www.arm.com/company/code-of-conduct. The information contained on our website is not incorporated by reference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Item 16C.    Principal Accountant Fees and Services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Deloitte &amp; Touche LLP has served as our principal independent registered public accounting firm for the fiscal years ended March 31, 2026 and 2025.</w:t>
      </w:r>
    </w:p>
    <w:tbl>
      <w:tblPr>
        <w:tblW w:w="4105" w:type="dxa"/>
        <w:jc w:val="left"/>
        <w:tblInd w:w="0" w:type="dxa"/>
        <w:tblLayout w:type="fixed"/>
        <w:tblCellMar>
          <w:top w:w="28" w:type="dxa"/>
          <w:left w:w="28" w:type="dxa"/>
          <w:bottom w:w="28" w:type="dxa"/>
          <w:right w:w="28" w:type="dxa"/>
        </w:tblCellMar>
      </w:tblPr>
      <w:tblGrid>
        <w:gridCol w:w="418"/>
        <w:gridCol w:w="367"/>
        <w:gridCol w:w="370"/>
        <w:gridCol w:w="109"/>
        <w:gridCol w:w="109"/>
        <w:gridCol w:w="109"/>
        <w:gridCol w:w="319"/>
        <w:gridCol w:w="546"/>
        <w:gridCol w:w="165"/>
        <w:gridCol w:w="165"/>
        <w:gridCol w:w="165"/>
        <w:gridCol w:w="165"/>
        <w:gridCol w:w="319"/>
        <w:gridCol w:w="546"/>
        <w:gridCol w:w="233"/>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Fiscal Year Ended March 31,</w:t>
            </w:r>
          </w:p>
        </w:tc>
      </w:tr>
      <w:tr>
        <w:trPr/>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Audit fees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hanging="18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Audit fees are the aggregate fees billed or expected to be billed for the audit of our financial statements for the fiscal years ended March 31, 2026 and 2025. This category also includes services that are normally provided by an auditor for statutory or regulatory filings, such as consents and review of documents filed with the SEC.</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Pre-Approval Policies and Procedures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Audit Committee is responsible for, among other things, approving (or, as permitted, pre-approving) all audit and all permissible non-audit services to be performed by the independent registered public accounting firm and U.K. statutory auditors.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Rule 2-01(c)(7)(i) of Regulation S-X permits the Audit Committee pre-approval requirement to be waived with respect to engagements for non-audit services aggregating to no more than five percent of the total amount of fees paid by the Company to its principal accountants, if such engagements were not recognized by the Company at the time of engagement and were promptly brought to the attention of the Audit Committee or a designated member thereof and approved prior to the completion of the audit. In the fiscal years ended March 31, 2026 and 2025, the percentage of the total amount of fees paid by the Company to its principal accountant for non-audit services in each category that was subject to such a waiver was less than five per cent for each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Item 16D.    Exemptions from the Listing Standards for Audit Committees</w:t>
      </w:r>
    </w:p>
    <w:p>
      <w:pPr>
        <w:pStyle w:val="TextBody"/>
        <w:bidi w:val="0"/>
        <w:spacing w:lineRule="auto" w:line="276"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Item 16E.    Purchases of Equity Securities by the Issuer and Aﬃliated Purchasers</w:t>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Item 16F.    Change in Registrant’s Certifying Accountant</w:t>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Item 16G.    Corporate Governance</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Foreign Private Issuer Exemption</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a “foreign private issuer,” as defined by the SEC. As a result, in accordance with SEC and Nasdaq rules, we rely on and comply with certain home country governance requirements and exemptions thereunder rather than complying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198" name="Frame1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with Nasdaq corporate governance standards. While we voluntarily follow most Nasdaq corporate governance rules, we take advantage of certain exemptions, including, but not limited to, exemptions from:</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the requirement to obtain shareholder approval for certain issuances of securities, including shareholder approval of share option plans;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the requirement that the audit committee have review and oversight responsibilities over all “related party transactions”;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the requirement that there be regularly scheduled meetings of only the independent directors at least twice a year; and</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color w:val="000000"/>
          <w:sz w:val="20"/>
        </w:rPr>
        <w:t>the requirement to solicit proxies and provide proxy statements for all meetings of shareholders.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follow the practices of England and Wales, our country of incorporation, in lieu of the foregoing requirements. Although we may rely on home country corporate governance practices in lieu of certain of the rules in the Nasdaq Rule 5600 Series and Rule 5250(d), we must comply with Nasdaq’s Notification of Noncompliance requirement (Rule 5625), the Voting Rights requirement (Rule 5640), and that we have an audit committee that satisfies Rule 5605(c)(3), consisting of committee members that meet the independence requirements of Rule 5605(c)(2)(A)(ii).</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Accordingly, our shareholders do not have the same protections afforded to shareholders of companies that are subject to all of the corporate governance requirements of Nasdaq. We may utilize these exemptions for as long as we continue to qualify as a foreign private issuer.</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Controlled Company Status</w:t>
      </w:r>
    </w:p>
    <w:p>
      <w:pPr>
        <w:pStyle w:val="TextBody"/>
        <w:bidi w:val="0"/>
        <w:spacing w:lineRule="auto" w:line="288" w:before="120" w:after="240"/>
        <w:ind w:left="0" w:right="0" w:firstLine="360"/>
        <w:jc w:val="both"/>
        <w:rPr/>
      </w:pPr>
      <w:r>
        <w:rPr>
          <w:rFonts w:ascii="Times New Roman;serif" w:hAnsi="Times New Roman;serif"/>
          <w:b w:val="false"/>
          <w:color w:val="000000"/>
          <w:sz w:val="20"/>
        </w:rPr>
        <w:t>SoftBank Group beneficially own approximately 86.4% of our outstanding ordinary shares as of May 21, 2026. As a result of SoftBank Group’s ownership, we are a “controlled company” within the meaning of the corporate governance rules of Nasdaq. Under these rules, a listed company of which a majority of the voting power is held by an individual, group or another company is a “controlled company” and may elect not to comply with certain corporate governance requirements. As a controlled company, certain exemptions under the rules will mean that we are not required to comply with certain corporate governance requirements, including that (1) a majority of our Board of Directors consists of independent directors, as defined under Nasdaq listing rules, (2) a majority of the independent directors select or recommend its director nominees, (3) the Remuneration Committee be responsible for determining or recommending the compensation of executive officers other than our CEO, and (4) we have a Remuneration Committee that consists entirely of independent directors. We take advantage of the foregoing exemptions. Accordingly, shareholders do not have the same protections afforded to shareholders of companies that are subject to all of these corporate governance requirements. In the event that we cease to be a “controlled company” and our ADSs continue to be listed on Nasdaq, we will be required to comply with these provisions within the applicable transition periods. See “</w:t>
      </w:r>
      <w:r>
        <w:rPr>
          <w:rFonts w:ascii="Times New Roman;serif" w:hAnsi="Times New Roman;serif"/>
          <w:b w:val="false"/>
          <w:i/>
          <w:color w:val="000000"/>
          <w:sz w:val="20"/>
        </w:rPr>
        <w:t>Item 3. Key Information—D. Risk Factors—Risks Relating to Our Status as a Controlled Company and Foreign Private Issuer—We will be a “controlled company” within the meaning of the Nasdaq corporate governance rules and, as a result, be eligible to rely on exemptions from certain corporate governance requirements that provide protection to stockholders of companies that are not controlled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Item 16H.    Mine Safety Disclosure</w:t>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Item 16I.    Disclosure Regarding Foreign Jurisdictions that Prevent Inspections</w:t>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Item 16J.    Insider Trading Policies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adopted an Insider Trading Policy that governs purchases and sales of and other transactions in our securities and securities of our partners and customers by our and our subsidiaries’ officers, members of our Board of Directors and all of our and our subsidiaries’ employees, contractors and consultants. We believe the Insider Trading Policy is reasonably designed to promote compliance with insider trading laws, rules and regulations, and the exchange listing standards applicable to us. A copy of our Insider Trading Policy is filed as Exhibit 11.1 to this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199" name="Frame1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Item 16K.    Cybersecurity</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Cybersecurity represents a critical component of the Company’s overall approach to risk management. The Company’s cybersecurity policies, standards and practices are fully integrated into the Company’s enterprise risk management (“ERM”) approach, and cybersecurity risks are among the core enterprise risks that are subject to oversight by the Board of Directors, the Audit Committee, and management’s Risk Review Committee. The Company’s cybersecurity policies, standards and incident response practices generally follow recognized frameworks established by National Institute of Standards and Technology (“NIST”). The Company approaches cybersecurity threats, as such term is defined in Form 20-F, Part II, Item 16K(a), through a cross-functional, multilayered approach, with the specific goals of: (i) identifying, preventing and mitigating actual or potential cybersecurity threats to the Company; (ii) preserving the confidentiality, integrity and availability of the information that we collect and store to use in our business; (iii) protecting the Company’s intellectual property; (iv) maintaining the confidence of our customers, clients and business partners; and (v) providing appropriate public disclosure of cybersecurity risks and incidents when required.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Risk Management and Strategy </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Consistent with overall ERM policies and practices, the Company’s cybersecurity program focuses on the following areas:</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Vigilance</w:t>
      </w:r>
      <w:r>
        <w:rPr>
          <w:rFonts w:ascii="Times New Roman;serif" w:hAnsi="Times New Roman;serif"/>
          <w:b w:val="false"/>
          <w:color w:val="000000"/>
          <w:sz w:val="20"/>
        </w:rPr>
        <w:t xml:space="preserve">: The Company maintains a global presence, with 24/7 cyber defense operations focusing on identifying, preventing and mitigating cybersecurity threats and responding to cybersecurity incidents and vulnerabilities in accordance with our established security incident response plan. </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Systems Safeguards</w:t>
      </w:r>
      <w:r>
        <w:rPr>
          <w:rFonts w:ascii="Times New Roman;serif" w:hAnsi="Times New Roman;serif"/>
          <w:b w:val="false"/>
          <w:color w:val="000000"/>
          <w:sz w:val="20"/>
        </w:rPr>
        <w:t xml:space="preserve">: The Company deploys system safeguards where feasible that are designed to protect the Company’s information systems from cybersecurity threats, including firewalls, intrusion prevention and detection systems, anti-malware functionality and access controls, which are evaluated and improved through ongoing vulnerability assessments and cybersecurity threat intelligence. </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Incident Response and Recovery Planning:</w:t>
      </w:r>
      <w:r>
        <w:rPr>
          <w:color w:val="000000"/>
        </w:rPr>
        <w:t xml:space="preserve"> </w:t>
      </w:r>
      <w:r>
        <w:rPr>
          <w:rFonts w:ascii="Times New Roman;serif" w:hAnsi="Times New Roman;serif"/>
          <w:b w:val="false"/>
          <w:color w:val="000000"/>
          <w:sz w:val="20"/>
        </w:rPr>
        <w:t>The Company has established comprehensive security incident response plans that fully address the Company’s response to a cybersecurity threat, including the recovery from a cybersecurity incident, which is tested outside of real incident response at least annually.</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Collaboration</w:t>
      </w:r>
      <w:r>
        <w:rPr>
          <w:rFonts w:ascii="Times New Roman;serif" w:hAnsi="Times New Roman;serif"/>
          <w:b w:val="false"/>
          <w:color w:val="000000"/>
          <w:sz w:val="20"/>
        </w:rPr>
        <w:t xml:space="preserve">: The Company’s security incident response plan contains mechanisms to collaborate with public and private entities, including intelligence and enforcement agencies, industry groups and third-party service providers, to identify, assess and respond to cybersecurity threats. </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Third-Party Risk Management</w:t>
      </w:r>
      <w:r>
        <w:rPr>
          <w:rFonts w:ascii="Times New Roman;serif" w:hAnsi="Times New Roman;serif"/>
          <w:b w:val="false"/>
          <w:color w:val="000000"/>
          <w:sz w:val="20"/>
        </w:rPr>
        <w:t xml:space="preserve">: The Company maintains a comprehensive, risk-based approach to identifying and overseeing cybersecurity risks presented by third parties, including vendors, service providers and other external users of the Company’s systems, as well as the systems of third parties that could adversely impact our business in the event of a cybersecurity threat affecting those third-party systems. </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Training</w:t>
      </w:r>
      <w:r>
        <w:rPr>
          <w:rFonts w:ascii="Times New Roman;serif" w:hAnsi="Times New Roman;serif"/>
          <w:b w:val="false"/>
          <w:color w:val="000000"/>
          <w:sz w:val="20"/>
        </w:rPr>
        <w:t xml:space="preserve">: The Company provides annual mandatory training for personnel regarding cybersecurity threats, which reinforces the Company’s information security policies, standards and practices, and such training is scaled to reflect the roles, responsibilities and information systems access of such personnel. </w:t>
      </w:r>
    </w:p>
    <w:p>
      <w:pPr>
        <w:pStyle w:val="TextBody"/>
        <w:bidi w:val="0"/>
        <w:spacing w:lineRule="auto" w:line="288" w:before="60" w:after="120"/>
        <w:ind w:left="0" w:right="0" w:hanging="360"/>
        <w:jc w:val="both"/>
        <w:rPr/>
      </w:pPr>
      <w:r>
        <w:rPr>
          <w:color w:val="000000"/>
        </w:rPr>
        <w:t>•</w:t>
      </w:r>
      <w:r>
        <w:rPr>
          <w:rFonts w:ascii="Times New Roman;serif" w:hAnsi="Times New Roman;serif"/>
          <w:b/>
          <w:i/>
          <w:color w:val="000000"/>
          <w:sz w:val="20"/>
        </w:rPr>
        <w:t>Communication, Coordination and Disclosure</w:t>
      </w:r>
      <w:r>
        <w:rPr>
          <w:rFonts w:ascii="Times New Roman;serif" w:hAnsi="Times New Roman;serif"/>
          <w:b w:val="false"/>
          <w:color w:val="000000"/>
          <w:sz w:val="20"/>
        </w:rPr>
        <w:t xml:space="preserve">: The Company has established a cross-functional approach to address the risk from cybersecurity threats, involving management personnel from the Company’s enterprise security, technology, operations, legal, business continuity management, internal audit and other key business functions, as well as the members of the Board of Directors and the Audit Committee in an ongoing dialogue regarding cybersecurity threats and incidents, while also implementing controls and procedures for the escalation of cybersecurity incidents pursuant to established thresholds so that decisions regarding the disclosure and reporting of such incidents can be made by management in a timely manner. </w:t>
      </w:r>
    </w:p>
    <w:p>
      <w:pPr>
        <w:pStyle w:val="TextBody"/>
        <w:bidi w:val="0"/>
        <w:spacing w:lineRule="auto" w:line="288" w:before="60" w:after="240"/>
        <w:ind w:left="0" w:right="0" w:hanging="360"/>
        <w:jc w:val="both"/>
        <w:rPr/>
      </w:pPr>
      <w:r>
        <w:rPr>
          <w:color w:val="000000"/>
        </w:rPr>
        <w:t>•</w:t>
      </w:r>
      <w:r>
        <w:rPr>
          <w:rFonts w:ascii="Times New Roman;serif" w:hAnsi="Times New Roman;serif"/>
          <w:b/>
          <w:i/>
          <w:color w:val="000000"/>
          <w:sz w:val="20"/>
        </w:rPr>
        <w:t>Governance</w:t>
      </w:r>
      <w:r>
        <w:rPr>
          <w:rFonts w:ascii="Times New Roman;serif" w:hAnsi="Times New Roman;serif"/>
          <w:b w:val="false"/>
          <w:color w:val="000000"/>
          <w:sz w:val="20"/>
        </w:rPr>
        <w:t xml:space="preserve">: The Board of Directors’ oversight of cybersecurity risk management is supported by the Audit Committee, which regularly interacts with the Company’s VP of Audit and Risk, the Chief Information Security Officer, and other members of management involved in overseeing risks from cybersecurity threats.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key part of the Company’s strategy for managing risks from cybersecurity threats is the ongoing assessment and testing of the Company’s processes and practices through auditing, assessments, tabletop exercises, threat modeling, vulnerability testing and other exercises focused on evaluating the effectiveness of our cybersecurity measures. The Company regularly engages third parties to perform assessments on our cybersecurity measures, including information security maturity assessments, penetration testing, audits and independent reviews of our information security control environment and operating effectiveness. The results of such assessments, audits and reviews are reported to the Audit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200" name="Frame1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Committee and the Board of Directors, and the Company adjusts its cybersecurity policies, standards, processes and practices as necessary based on the information provided by the assessments, audits and reviews.</w:t>
      </w:r>
    </w:p>
    <w:p>
      <w:pPr>
        <w:pStyle w:val="TextBody"/>
        <w:bidi w:val="0"/>
        <w:spacing w:lineRule="auto" w:line="288" w:before="120" w:after="240"/>
        <w:jc w:val="both"/>
        <w:rPr/>
      </w:pPr>
      <w:r>
        <w:rPr>
          <w:rFonts w:ascii="Times New Roman;serif" w:hAnsi="Times New Roman;serif"/>
          <w:b/>
          <w:i/>
          <w:color w:val="000000"/>
          <w:sz w:val="20"/>
        </w:rPr>
        <w:t>Governance</w:t>
      </w:r>
      <w:r>
        <w:rPr>
          <w:color w:val="000000"/>
        </w:rPr>
        <w:t xml:space="preserve">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Board of Directors, in coordination with the Audit Committee, oversees the management of risks from cybersecurity threats, including the policies, standards, processes and practices that the Company’s management implements to address risks from cybersecurity threats. The Audit Committee receives regular presentations and reports on cybersecurity risks, which address a wide range of topics including, for example, recent developments, evolving standards, vulnerability assessments, third-party and independent reviews, the threat environment, technological trends and information security considerations arising with respect to the Company’s peers and third parties. The Audit Committee timely oversees any cybersecurity incident that meets established reporting thresholds, as well as ongoing updates regarding any such incident until it has been addressed. Risks of cybersecurity threats are also discussed with the Board of Directors in connection with other relevant matters such as enterprise risk management, operational budgeting, strategic planning, business continuity planning, mergers and acquisitions, and brand management.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Chief Information Security Officer is the member of the Company’s management that is principally responsible for overseeing the Company’s security incident response plan and cybersecurity risk management program. The Chief Information Security Officer works in partnership with members of the Company’s Risk Review Committee and other business leaders across the Company, including the Chief Information Officer, Chief Accounting Officer, VP and Deputy General Counsel, Litigation, and the Chief Compliance Officer.</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Chief Information Security Officer reports to the CFO. This group has industry experience building and leading security teams and is responsible for overseeing data security and Company-wide preparedness. The Chief Information Security Officer is a qualified holder of CISSP and CISM certifications and has served in various roles in information technology and information security for over 10 years. Prior experience includes security leadership roles in financial services.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Chief Information Security Officer manages a dedicated enterprise security team who provide information assurance governance and consultation across all regions of our business.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enterprise security team works collaboratively across the Company to implement the Company’s security strategy, which includes evaluating and considering the relevance of specific cyber security capabilities to the Company’s business model and external threats. To facilitate the success of this strategy, multidisciplinary teams throughout the Company are deployed to address cybersecurity threats and to respond to cybersecurity incidents in accordance with the Company’s security incident response plan designed to monitor the prevention, detection, mitigation and remediation of cybersecurity incidents in real time, and report such incidents to executive management, and to the Audit Committee when appropriate.</w:t>
      </w:r>
    </w:p>
    <w:p>
      <w:pPr>
        <w:pStyle w:val="TextBody"/>
        <w:bidi w:val="0"/>
        <w:spacing w:lineRule="auto" w:line="288" w:before="120" w:after="240"/>
        <w:ind w:left="0" w:right="0" w:firstLine="360"/>
        <w:jc w:val="both"/>
        <w:rPr/>
      </w:pPr>
      <w:r>
        <w:rPr>
          <w:rFonts w:ascii="Times New Roman;serif" w:hAnsi="Times New Roman;serif"/>
          <w:b w:val="false"/>
          <w:color w:val="000000"/>
          <w:sz w:val="20"/>
        </w:rPr>
        <w:t>At the time of filing this Annual Report, cybersecurity threats, including as a result of any previous cybersecurity incidents, have not materially affected the Company, including its business strategy, results of operations, or financial condition. We face risks from cybersecurity threats that, if realized, could have a material adverse effect on us including an adverse effect on our business, financial condition and results of operations. See “</w:t>
      </w:r>
      <w:r>
        <w:rPr>
          <w:rFonts w:ascii="Times New Roman;serif" w:hAnsi="Times New Roman;serif"/>
          <w:b w:val="false"/>
          <w:i/>
          <w:color w:val="000000"/>
          <w:sz w:val="20"/>
        </w:rPr>
        <w:t>Item 3. Key Information—D. Risk Factors—Actual or perceived security vulnerabilities in our information technology systems, including cyberattacks, security breaches or other similar incidents with respect to our or our third-party partners’ information technology systems, or any unauthorized access to our data or our third-party partners’ and our customers’ data, could harm our reputation, business and operating results.</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24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Item 17.    Financial Statements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responded to Item 18 in lieu of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Item 18.    Financial Statements</w:t>
      </w:r>
    </w:p>
    <w:p>
      <w:pPr>
        <w:pStyle w:val="TextBody"/>
        <w:bidi w:val="0"/>
        <w:spacing w:lineRule="auto" w:line="288" w:before="120" w:after="240"/>
        <w:ind w:left="0" w:right="0" w:firstLine="360"/>
        <w:jc w:val="left"/>
        <w:rPr/>
      </w:pPr>
      <w:r>
        <w:rPr>
          <w:rFonts w:ascii="Times New Roman;serif" w:hAnsi="Times New Roman;serif"/>
          <w:b w:val="false"/>
          <w:color w:val="000000"/>
          <w:sz w:val="20"/>
        </w:rPr>
        <w:t>See “</w:t>
      </w:r>
      <w:r>
        <w:rPr>
          <w:rFonts w:ascii="Times New Roman;serif" w:hAnsi="Times New Roman;serif"/>
          <w:b w:val="false"/>
          <w:i/>
          <w:color w:val="000000"/>
          <w:sz w:val="20"/>
        </w:rPr>
        <w:t xml:space="preserve">Item 8. Financial Information” </w:t>
      </w:r>
      <w:r>
        <w:rPr>
          <w:rFonts w:ascii="Times New Roman;serif" w:hAnsi="Times New Roman;serif"/>
          <w:b w:val="false"/>
          <w:color w:val="000000"/>
          <w:sz w:val="20"/>
        </w:rPr>
        <w:t>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201" name="Frame2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19.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357"/>
        <w:gridCol w:w="1108"/>
        <w:gridCol w:w="1111"/>
        <w:gridCol w:w="109"/>
        <w:gridCol w:w="109"/>
        <w:gridCol w:w="109"/>
        <w:gridCol w:w="204"/>
        <w:gridCol w:w="204"/>
        <w:gridCol w:w="206"/>
        <w:gridCol w:w="109"/>
        <w:gridCol w:w="109"/>
        <w:gridCol w:w="109"/>
        <w:gridCol w:w="339"/>
        <w:gridCol w:w="275"/>
        <w:gridCol w:w="184"/>
        <w:gridCol w:w="109"/>
        <w:gridCol w:w="109"/>
        <w:gridCol w:w="109"/>
        <w:gridCol w:w="245"/>
        <w:gridCol w:w="245"/>
        <w:gridCol w:w="246"/>
        <w:gridCol w:w="109"/>
        <w:gridCol w:w="109"/>
        <w:gridCol w:w="109"/>
        <w:gridCol w:w="230"/>
        <w:gridCol w:w="230"/>
        <w:gridCol w:w="231"/>
        <w:gridCol w:w="109"/>
        <w:gridCol w:w="109"/>
        <w:gridCol w:w="109"/>
        <w:gridCol w:w="295"/>
        <w:gridCol w:w="295"/>
        <w:gridCol w:w="42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Filed Herewith</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Articles of Association,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001-41800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05/29/2024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Deposit Agreement, dated as of September 13, 2023, by and between Arm Holdings plc and Citibank, N.A.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001-41800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05/29/2024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Form of American Depositary Receipt (included in exhibit 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001-41800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05/29/2024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Description of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001-41800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05/29/2024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Arm IP License Agreement, dated April 24, 2018, by and between Arm Limited and Arm Technology (China) Co. Ltd.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333-274120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08/21/2023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Arm Holdings plc 2023 Omnibus Incentive Plan with the Non-Employee Sub-Plan, the France Sub-Plan, as amended, and the Israel Sub-Plan.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S-8 POS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333-274544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09/12/2024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20"/>
                  <w:u w:val="single"/>
                </w:rPr>
                <w:t>Shareholder Governance Agreement, dated September 18, 2023, by and between SoftBank Group Corp. and Arm Holdings plc.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001-41800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05/29/2024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20"/>
                  <w:u w:val="single"/>
                </w:rPr>
                <w:t>Consulting Agreement, dated August 21, 2023, by and between Arm Limited and SoftBank Group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333-274120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09/01/2023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0"/>
                  <w:u w:val="single"/>
                </w:rPr>
                <w:t>Form of Deed of Indemnity between the Company and each of its directors.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333-274120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09/05/2023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20"/>
                  <w:u w:val="single"/>
                </w:rPr>
                <w:t>Form of Deed of Indemnity between the Company and each of its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333-274120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09/05/2023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20"/>
                  <w:u w:val="single"/>
                </w:rPr>
                <w:t>Arm Annual Bonus Plan Rules.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001-41800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05/29/2024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000FF"/>
                  <w:sz w:val="20"/>
                  <w:u w:val="single"/>
                </w:rPr>
                <w:t>Amended and Restated Employment Agreement, dated as of November 17, 2022, by and between Rene Anthony Andrada Haas and Arm,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001-41800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05/29/2024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FF"/>
                  <w:sz w:val="20"/>
                  <w:u w:val="single"/>
                </w:rPr>
                <w:t xml:space="preserve">Arm Holdings plc 2024 Employee Stock Purchase Plan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S-8 POS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333-274544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09/12/2024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81-subsidiariesofarmhold.htm">
              <w:r>
                <w:rPr>
                  <w:rStyle w:val="InternetLink"/>
                  <w:rFonts w:ascii="Times New Roman;serif" w:hAnsi="Times New Roman;serif"/>
                  <w:b w:val="false"/>
                  <w:color w:val="0000FF"/>
                  <w:sz w:val="20"/>
                  <w:u w:val="single"/>
                </w:rPr>
                <w:t>Subsidiaries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111-insidertradingpolicy.htm">
              <w:r>
                <w:rPr>
                  <w:rStyle w:val="InternetLink"/>
                  <w:rFonts w:ascii="Times New Roman;serif" w:hAnsi="Times New Roman;serif"/>
                  <w:b w:val="false"/>
                  <w:color w:val="0000FF"/>
                  <w:sz w:val="20"/>
                  <w:u w:val="single"/>
                </w:rPr>
                <w:t>Insider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121-ceocertfye26.htm">
              <w:r>
                <w:rPr>
                  <w:rStyle w:val="InternetLink"/>
                  <w:rFonts w:ascii="Times New Roman;serif" w:hAnsi="Times New Roman;serif"/>
                  <w:b w:val="false"/>
                  <w:color w:val="0000FF"/>
                  <w:sz w:val="20"/>
                  <w:u w:val="single"/>
                </w:rPr>
                <w:t>Certification by Chief Executive Officer Pursuant to Section 302 of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122-cfocertfye26.htm">
              <w:r>
                <w:rPr>
                  <w:rStyle w:val="InternetLink"/>
                  <w:rFonts w:ascii="Times New Roman;serif" w:hAnsi="Times New Roman;serif"/>
                  <w:b w:val="false"/>
                  <w:color w:val="0000FF"/>
                  <w:sz w:val="20"/>
                  <w:u w:val="single"/>
                </w:rPr>
                <w:t>Certification by Chief Financial Officer Pursuant to Section 302 of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131-ceocertfye26.htm">
              <w:r>
                <w:rPr>
                  <w:rStyle w:val="InternetLink"/>
                  <w:rFonts w:ascii="Times New Roman;serif" w:hAnsi="Times New Roman;serif"/>
                  <w:b w:val="false"/>
                  <w:color w:val="0000FF"/>
                  <w:sz w:val="20"/>
                  <w:u w:val="single"/>
                </w:rPr>
                <w:t>Certifications of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151-auditorconsentfye26.htm">
              <w:r>
                <w:rPr>
                  <w:rStyle w:val="InternetLink"/>
                  <w:rFonts w:ascii="Times New Roman;serif" w:hAnsi="Times New Roman;serif"/>
                  <w:b w:val="false"/>
                  <w:color w:val="0000FF"/>
                  <w:sz w:val="20"/>
                  <w:u w:val="single"/>
                </w:rPr>
                <w:t>Consent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20"/>
                  <w:u w:val="single"/>
                </w:rPr>
                <w:t>Clawback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001-41800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05/29/2024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685"/>
                <wp:effectExtent l="0" t="0" r="0" b="0"/>
                <wp:wrapNone/>
                <wp:docPr id="202" name="Frame2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201</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8"/>
        <w:gridCol w:w="138"/>
        <w:gridCol w:w="140"/>
        <w:gridCol w:w="109"/>
        <w:gridCol w:w="109"/>
        <w:gridCol w:w="109"/>
        <w:gridCol w:w="2040"/>
        <w:gridCol w:w="2040"/>
        <w:gridCol w:w="2045"/>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6"/>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the Company’s Annual Report on Form 20-F for the year ended March 31, 2025, were formatted in Inline XBRL (Extensible Business Reporting Language): (i) Consolidated Balance Sheets, (ii) Consolidated Statements of Comprehensive Income, (iii) Consolidated Statements of Shareholders’ Equity, (iv) Consolidated Statements of Cash Flows, and (v) Notes to Consolidated Financial Statements.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685"/>
                <wp:effectExtent l="0" t="0" r="0" b="0"/>
                <wp:wrapNone/>
                <wp:docPr id="203" name="Frame2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40"/>
        <w:jc w:val="center"/>
        <w:rPr>
          <w:rFonts w:ascii="Times New Roman;serif" w:hAnsi="Times New Roman;serif"/>
          <w:b/>
          <w:color w:val="231F20"/>
          <w:sz w:val="20"/>
        </w:rPr>
      </w:pPr>
      <w:r>
        <w:rPr>
          <w:rFonts w:ascii="Times New Roman;serif" w:hAnsi="Times New Roman;serif"/>
          <w:b/>
          <w:color w:val="231F20"/>
          <w:sz w:val="20"/>
        </w:rPr>
        <w:t>SIGNATURE</w:t>
      </w:r>
    </w:p>
    <w:p>
      <w:pPr>
        <w:pStyle w:val="TextBody"/>
        <w:bidi w:val="0"/>
        <w:spacing w:lineRule="auto" w:line="268" w:before="0" w:after="0"/>
        <w:ind w:left="0" w:right="0" w:firstLine="360"/>
        <w:jc w:val="left"/>
        <w:rPr>
          <w:rFonts w:ascii="Times New Roman;serif" w:hAnsi="Times New Roman;serif"/>
          <w:b w:val="false"/>
          <w:color w:val="231F20"/>
          <w:sz w:val="20"/>
        </w:rPr>
      </w:pPr>
      <w:r>
        <w:rPr>
          <w:rFonts w:ascii="Times New Roman;serif" w:hAnsi="Times New Roman;serif"/>
          <w:b w:val="false"/>
          <w:color w:val="231F20"/>
          <w:sz w:val="20"/>
        </w:rPr>
        <w:t>The registrant hereby certifies that it meets all of the requirements for filing on Form 20-F and that it has duly caused and authorized the undersigned to sign this annual report on its behalf.</w:t>
      </w:r>
    </w:p>
    <w:tbl>
      <w:tblPr>
        <w:tblW w:w="5334" w:type="dxa"/>
        <w:jc w:val="left"/>
        <w:tblInd w:w="0" w:type="dxa"/>
        <w:tblLayout w:type="fixed"/>
        <w:tblCellMar>
          <w:top w:w="28" w:type="dxa"/>
          <w:left w:w="28" w:type="dxa"/>
          <w:bottom w:w="28" w:type="dxa"/>
          <w:right w:w="28" w:type="dxa"/>
        </w:tblCellMar>
      </w:tblPr>
      <w:tblGrid>
        <w:gridCol w:w="629"/>
        <w:gridCol w:w="554"/>
        <w:gridCol w:w="557"/>
        <w:gridCol w:w="328"/>
        <w:gridCol w:w="328"/>
        <w:gridCol w:w="328"/>
        <w:gridCol w:w="757"/>
        <w:gridCol w:w="757"/>
        <w:gridCol w:w="1096"/>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ARM HOLDINGS PLC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May 26, 2026</w:t>
            </w:r>
          </w:p>
        </w:tc>
        <w:tc>
          <w:tcPr>
            <w:tcW w:w="98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By:</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Laura Bartels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Name:</w:t>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Laura Bartels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Title:</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Accounting Officer </w:t>
              <w:br/>
              <w:t>(Principal Accounting Officer)</w:t>
            </w:r>
          </w:p>
        </w:tc>
      </w:tr>
    </w:tbl>
    <w:p>
      <w:pPr>
        <w:pStyle w:val="TextBody"/>
        <w:bidi w:val="0"/>
        <w:spacing w:before="240" w:after="24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8.1</w:t>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685"/>
                <wp:effectExtent l="0" t="0" r="0" b="0"/>
                <wp:wrapNone/>
                <wp:docPr id="204" name="Frame2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203</w:t>
                      </w:r>
                    </w:p>
                  </w:txbxContent>
                </v:textbox>
                <w10:wrap type="none"/>
              </v:rect>
            </w:pict>
          </mc:Fallback>
        </mc:AlternateContent>
      </w:r>
    </w:p>
    <w:p>
      <w:pPr>
        <w:pStyle w:val="TextBody"/>
        <w:bidi w:val="0"/>
        <w:spacing w:lineRule="auto" w:line="288"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Subsidiaries of Arm Holdings plc</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is a list of subsidiaries of Arm Holdings plc as of March 31, 2026, omitting subsidiaries which, considered in the aggregate, would not constitute a significant subsidiary.</w:t>
      </w:r>
    </w:p>
    <w:p>
      <w:pPr>
        <w:pStyle w:val="TextBody"/>
        <w:bidi w:val="0"/>
        <w:spacing w:before="0" w:after="0"/>
        <w:jc w:val="left"/>
        <w:rPr/>
      </w:pPr>
      <w:r>
        <w:rPr/>
      </w:r>
    </w:p>
    <w:tbl>
      <w:tblPr>
        <w:tblW w:w="7821" w:type="dxa"/>
        <w:jc w:val="left"/>
        <w:tblInd w:w="0" w:type="dxa"/>
        <w:tblLayout w:type="fixed"/>
        <w:tblCellMar>
          <w:top w:w="28" w:type="dxa"/>
          <w:left w:w="28" w:type="dxa"/>
          <w:bottom w:w="28" w:type="dxa"/>
          <w:right w:w="28" w:type="dxa"/>
        </w:tblCellMar>
      </w:tblPr>
      <w:tblGrid>
        <w:gridCol w:w="1391"/>
        <w:gridCol w:w="1223"/>
        <w:gridCol w:w="1225"/>
        <w:gridCol w:w="109"/>
        <w:gridCol w:w="109"/>
        <w:gridCol w:w="109"/>
        <w:gridCol w:w="559"/>
        <w:gridCol w:w="559"/>
        <w:gridCol w:w="561"/>
        <w:gridCol w:w="109"/>
        <w:gridCol w:w="109"/>
        <w:gridCol w:w="109"/>
        <w:gridCol w:w="483"/>
        <w:gridCol w:w="483"/>
        <w:gridCol w:w="683"/>
      </w:tblGrid>
      <w:tr>
        <w:trPr/>
        <w:tc>
          <w:tcPr>
            <w:tcW w:w="139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Subsidiary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Jurisdiction of</w:t>
            </w:r>
            <w:r>
              <w:rPr>
                <w:rFonts w:ascii="Times New Roman;serif" w:hAnsi="Times New Roman;serif"/>
                <w:b w:val="false"/>
                <w:color w:val="000000"/>
                <w:sz w:val="20"/>
              </w:rPr>
              <w:br/>
            </w:r>
            <w:r>
              <w:rPr>
                <w:rFonts w:ascii="Times New Roman;serif" w:hAnsi="Times New Roman;serif"/>
                <w:b/>
                <w:color w:val="000000"/>
                <w:sz w:val="20"/>
              </w:rPr>
              <w:t>Incorporation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Ownership by</w:t>
            </w:r>
            <w:r>
              <w:rPr>
                <w:rFonts w:ascii="Times New Roman;serif" w:hAnsi="Times New Roman;serif"/>
                <w:b w:val="false"/>
                <w:color w:val="000000"/>
                <w:sz w:val="20"/>
              </w:rPr>
              <w:br/>
            </w:r>
            <w:r>
              <w:rPr>
                <w:rFonts w:ascii="Times New Roman;serif" w:hAnsi="Times New Roman;serif"/>
                <w:b/>
                <w:color w:val="000000"/>
                <w:sz w:val="20"/>
              </w:rPr>
              <w:t>Arm Holdings plc</w:t>
            </w:r>
          </w:p>
        </w:tc>
      </w:tr>
      <w:tr>
        <w:trPr/>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Arm Embedded Technologies Private Limited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8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Arm France SAS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France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8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Arm,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839"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Arm Limited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England and Wales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11.1</w:t>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Insider Trading Policy</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Introduction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Engaging in transactions involving the securities of a company while in possession of material nonpublic information is referred to as insider trading. Material nonpublic information is information that could reasonably be expected to affect the price of a company’s securities, whether it is positive or negative, and is generally not known or has not been made available to the investing public. At Arm, a variety of roles throughout the organization have access to material nonpublic information, either from time-to-time or on a more continuous basis. It is therefore critical that all officers of Arm and its subsidiaries, all members of Arm’s Board of Directors, all employees and all contractors and consultants of Arm and its subsidiaries read, understand and comply with this policy.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Arm’s Insider Trading Policy is designed to help you understand your obligations when it comes to trading in securities of Arm, and securities of Arm’s ecosystem partners and customers that in many cases have listed securities (collectively, the “Relevant Entities,” and the securities of the Relevant Entities, the “Relevant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Notwithstanding anything to the contrary in this policy, this policy, including its relevant policies and procedures, does not apply to trading activities by SoftBank Group Corp. or its affiliates subject to the oversight of SoftBank Group Corp. (except that this policy will apply to (i) Arm and its subsidiaries and (ii) trading activities in Relevant Securities, by affiliates of SoftBank Group Corp. who are also directors, officers, employees, contractors or consultants of Arm or its subsidiaries).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policy will help you protect yourself and Arm against the potentially serious consequences of insider trading. Directors, officers, employees, contractors and consultants of Arm should always consult Ethics and Compliance at insidertrading@arm.com with any questions concerning this policy.</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Purpose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Insider Trading Policy provides guidelines for transactions involving the Relevant Securities and the handling of material nonpublic information about the Relevant Entities.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Arm’s business focuses and relies on the safeguarding of proprietary information. Arm has established its reputation for integrity and ethical conduct, and it is critical that the company maintains this reputation and it conducts its business in accordance with the highest ethical standards.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Arm’s Board of Directors has adopted this policy to promote compliance with any laws applicable to transactions involving the Relevant Securities and avoid the appearance of impropriety. All persons subject to this policy must comply globally with all insider trading laws and regulations that apply to them (which may be subject to amendment from time to time), in addition to complying with this policy.</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Consequences of Violations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It is important that you understand the breadth of activities that constitute illegal insider trading and the consequences of non-compliance, which can be severe. Engaging in transactions involving securities while aware of material nonpublic information relating to such securities is illegal and prohibited by insider trading laws. It is also illegal to pass along material nonpublic information to others who then trade based on that information.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recipient of the material nonpublic information is referred to as the “tippee” and the person who transmitted the material nonpublic information is referred to as the “tipper.” Both the tippee and tipper may be subject to liability for insider trading where the tippee trades, even if the tipper does not.</w:t>
      </w:r>
    </w:p>
    <w:p>
      <w:pPr>
        <w:pStyle w:val="TextBody"/>
        <w:bidi w:val="0"/>
        <w:spacing w:before="0" w:after="0"/>
        <w:jc w:val="righ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All persons subject to this policy must comply with all applicable insider trading laws and regulations globally. Law enforcement authorities vigorously pursue parties globally who violate the insider trading laws and punish offenders severely. Punishment for insider trading violations is serious and could include significant fines and imprisonment.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a person’s failure to comply with this policy may subject them to company-imposed sanctions, including dismissal for cause, whether or not the person’s failure to comply results in a violation of law.</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Persons Subject to the Policy</w:t>
      </w:r>
    </w:p>
    <w:p>
      <w:pPr>
        <w:pStyle w:val="TextBody"/>
        <w:bidi w:val="0"/>
        <w:spacing w:lineRule="auto" w:line="288" w:before="0" w:after="240"/>
        <w:jc w:val="both"/>
        <w:rPr/>
      </w:pPr>
      <w:r>
        <w:rPr>
          <w:rFonts w:ascii="Times New Roman;serif" w:hAnsi="Times New Roman;serif"/>
          <w:b w:val="false"/>
          <w:color w:val="000000"/>
          <w:sz w:val="20"/>
        </w:rPr>
        <w:t>This policy applies to all officers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of Arm and its subsidiaries, all members of Arm’s Board of Directors, all employees and all contractors and consultants of Arm and its subsidiaries. Arm may also determine that other persons who have access to material nonpublic information should be subject to this policy. The restrictions of this policy also apply to transactions involving the Relevant Securities by any of the following individuals and entities: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family members whose transactions involving the Relevant Securities are directed by, or are subject to, your influence or control, as further described under the heading “Transactions by Family Members and Others”;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anyone who lives in your household, as further described under the heading “Transactions by Family Members and Others”;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corporation or other entity controlled or managed by you, as further described under the heading “Transactions by Entities that You Influence or Control”;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trusts for which you are the trustee or with respect to which you have the ability to vote, transfer or sell Relevant Securities in the trust, as further described under the heading “Transactions by Entities that You Influence or Control”;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anyone acting as your agent, nominee or person acting at your direction;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anyone who execute trades on your behalf.</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These restrictions apply to any Relevant Securities over which you have voting power or power to transfer or sell, as well as Relevant Securities that you own. Regulators and prosecutors may presume that trading by your family members is based on information you supplied and may treat any such transactions as if you had traded yourself.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Transactions Subject to the Policy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This policy applies to transactions involving the Relevant Securities, including in Arm ordinary shares, options to purchase ordinary shares, American depositary shares, or any other type of securities that Arm may issue, as well as derivative securities that are not issued by Arm, such as exchange-traded put or call options or swaps relating to Arm securities. Transactions subject to this policy include purchases, sales and gifts of Arm securities made by the persons subject to this policy.</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Individual Responsibility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Persons subject to this policy have ethical and legal obligations to maintain the confidentiality of information about the Relevant Entities and to not engage in transactions involving the Relevant Securities while in possession of material nonpublic information. They must not engage in illegal trading and must avoid the appearance of improper trading to preserve Arm’s reputation for adhering to the highest standards of conduct. Each person subject to this policy is responsible for ensuring compliance with this policy, and that any family member, household member or entity whose transactions are subject to this policy, as discussed below, also comply with this policy.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all cases, the responsibility for determining whether a person is in possession of material nonpublic information rests with that person. Any action on the part of Arm, the Chief Legal Officer, the Compliance Officer, any approval </w:t>
      </w:r>
    </w:p>
    <w:p>
      <w:pPr>
        <w:pStyle w:val="TextBody"/>
        <w:bidi w:val="0"/>
        <w:spacing w:lineRule="auto" w:line="288"/>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The term officer includes Arm’s Chief Executive Officer, Chief Financial Officer, any vice president in charge of a principal business unit, division or function, any other person who performs a policy making function for the company. </w:t>
      </w:r>
    </w:p>
    <w:p>
      <w:pPr>
        <w:pStyle w:val="TextBody"/>
        <w:bidi w:val="0"/>
        <w:spacing w:before="0" w:after="0"/>
        <w:jc w:val="righ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party, any director or any other employee in accordance with this policy does not in any way constitute legal advice or insulate a person from liability under applicable global securities laws.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Administration of the Policy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Arm’s Chief Legal Officer designates the Head of Compliance to serve as the Compliance Officer for the purposes of this policy. The Compliance Officer, and in their absence, the Chief Legal Officer or another employee designated by the Compliance Officer or Chief Legal Officer shall be responsible for administration of this policy and oversight of the pre-clearance process, subject to any reviews, determinations and interpretations by the Chief Legal Officer. All determinations and interpretations by the Chief Legal Officer or the Compliance Officer shall be final and not subject to further review. </w:t>
      </w:r>
    </w:p>
    <w:p>
      <w:pPr>
        <w:pStyle w:val="TextBody"/>
        <w:bidi w:val="0"/>
        <w:spacing w:lineRule="auto" w:line="288" w:before="0" w:after="240"/>
        <w:jc w:val="both"/>
        <w:rPr/>
      </w:pPr>
      <w:r>
        <w:rPr>
          <w:rFonts w:ascii="Times New Roman;serif" w:hAnsi="Times New Roman;serif"/>
          <w:b/>
          <w:color w:val="000000"/>
          <w:sz w:val="20"/>
        </w:rPr>
        <w:t>Statement of Policy</w:t>
      </w:r>
      <w:r>
        <w:rPr>
          <w:color w:val="000000"/>
        </w:rPr>
        <w:t xml:space="preser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Persons subject to this policy, who are aware of material nonpublic information relating to the Relevant Entities, may not, directly, or indirectly through family members or other persons or entities: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1.Engage in transactions involving Arm securities, except as otherwise specified in this policy under the headings “Exceptions to Insider Trading Policy and Trading Restrictions” and “Rule 10b5-1 Plans;”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2.Recommend, encourage or induce another person to engage in the purchase, sale or gift of any of Arm securities;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3.Disclose (either directly or via an intermediary) material nonpublic information of the Relevant Entities to persons within Arm whose jobs do not require them to have that information, or outside of the company to any other persons, unless any such disclosure is made in accordance with the company’s policies regarding the protection or authorized external disclosure of information regarding the company; or</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4.Assist anyone engaged in the above activities.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it is the policy of the company that no director, officer or other employee of Arm (or any other person designated as subject to this policy) who, in the course of working for Arm, learns of material nonpublic information about another company (1) with which Arm does business, such as Arm’s partners, distributors, customers, vendors and suppliers, or (2) that is involved in a potential transaction or business relationship with Arm, may engage in transactions involving that other company’s securities until the information becomes public or is no longer material.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It is also the policy of Arm that it will not engage in transactions involving its securities while aware of material nonpublic information relating to the company or company securities, including share repurchase programs, other than in compliance with applicable law.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There are no exceptions to this policy, except as specifically noted herein. Small transactions or the existence of a personal financial emergency do not excuse you from compliance with this policy and is not a basis for an exception to this policy. Insider trading laws do not recognize any mitigating circumstances, and, in any event, even the appearance of an improper transaction must be avoided to preserve Arm’s reputation for adhering to the highest standards of conduct.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Definition of Material Nonpublic Information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Insider trading laws define the concept of material nonpublic information in a variety of ways, all of which focus on factors such as the nature of the information, the significance of the information to investors and whether the information has been adequately disseminated to the public. All persons subject to this policy must comply globally </w:t>
      </w:r>
    </w:p>
    <w:p>
      <w:pPr>
        <w:pStyle w:val="TextBody"/>
        <w:bidi w:val="0"/>
        <w:spacing w:before="0" w:after="0"/>
        <w:jc w:val="righ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with all applicable laws and regulations regarding insider trading and the handling of material nonpublic information.</w:t>
      </w:r>
    </w:p>
    <w:p>
      <w:pPr>
        <w:pStyle w:val="TextBody"/>
        <w:bidi w:val="0"/>
        <w:spacing w:lineRule="auto" w:line="288" w:before="0" w:after="240"/>
        <w:jc w:val="both"/>
        <w:rPr/>
      </w:pPr>
      <w:r>
        <w:rPr>
          <w:rFonts w:ascii="Times New Roman;serif" w:hAnsi="Times New Roman;serif"/>
          <w:b w:val="false"/>
          <w:color w:val="000000"/>
          <w:sz w:val="20"/>
          <w:u w:val="single"/>
        </w:rPr>
        <w:t>Material Information</w:t>
      </w:r>
      <w:r>
        <w:rPr>
          <w:rFonts w:ascii="Times New Roman;serif" w:hAnsi="Times New Roman;serif"/>
          <w:b w:val="false"/>
          <w:color w:val="000000"/>
          <w:sz w:val="20"/>
        </w:rPr>
        <w:br/>
        <w:t xml:space="preserve">Information is considered “material” if a reasonable investor would consider that information important in making a decision to buy, hold or sell securities. Any information that could reasonably be expected to affect the price of a company’s securities, whether it is positive or negative, should be considered material. Information can be considered material even before a specific corporate action is taken by a board of directors or a company’s management, depending on the specific circumstances and an evaluation of the likelihood of the occurrence of a specific event, action or development. There is no bright-line standard for assessing materiality; rather, materiality is based on an assessment of all of the facts and circumstances, and is often evaluated by enforcement authorities with the benefit of hindsight.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While it is not possible to define all categories of material information, some examples of information that ordinarily would be regarded as material are: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Financial forecasts of any kind, industry projections of future earnings or losses, or other earnings guidance;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change (or anticipated change) to previously announced earnings guidance, or the decision to suspend earnings guidance;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Any anticipated or planned restatements of financial results, or material impairments, write-offs or restructurings;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Unpublished financial or operational reports or projections;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Significant related party transactions;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Arm’s business plans, budgets, models or strategies, or any changes or anticipated changes thereto;</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Significant developments in research and development of a significant new technology, product, process, service or other intellectual property;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Information about major contracts, including the gain or loss (or the probable gain or loss) of a significant customer, business partner or supplier;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institution of, or developments in, major litigation, investigations, or regulatory actions or proceedings;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pending or proposed merger, acquisition, investment, tender offer, changes in control or ownership, divesture, joint venture, restructuring, repurchase, financing transactions, or similar transaction;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change (or anticipated change) in dividend policy (if any), the declaration of a share split or subdivision, or the issuance, redemption or repurchase of securities (e.g., share repurchase programs);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Financing transactions;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Repurchases of Arm securities;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change (or anticipated change) in Arm’s pricing or cost structure;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change (or anticipated change) in senior management, board of directors or auditors, or notification that the auditor’s reports may no longer be relied upon;</w:t>
      </w:r>
    </w:p>
    <w:p>
      <w:pPr>
        <w:pStyle w:val="TextBody"/>
        <w:bidi w:val="0"/>
        <w:spacing w:before="0" w:after="0"/>
        <w:jc w:val="righ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9"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significant cybersecurity incident or identified significant cybersecurity vulnerability involving Arm or a significant customer or business partner of Arm, such as a data breach, or any other significant disruption in the company’s operations or loss, potential loss, breach or unauthorized access of its property or assets, whether at its facilities or through its information technology infrastructure;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Bankruptcies, receiverships, potential defaults under any credit agreements or indentures, or the existence of material liquidity deficiencies;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imposition of an event-specific restriction on trading in Arm securities or the securities of any other company or the extension or termination of such restriction; or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News of the sale or acquisition of significant assets or a subsidiary.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This list is for illustrative purposes only and is not an exhaustive list of all types of material information. Investigators and / or relevant law enforcement agencies will scrutinize a questionable trade after the fact with the benefit of hindsight, so if information is not clearly immaterial or already public you should always err on the side of deciding that information is material nonpublic information and not trade. If you have questions regarding specific information or transactions, please contact Ethics and Compliance at insidertrading@arm.com.</w:t>
      </w:r>
    </w:p>
    <w:p>
      <w:pPr>
        <w:pStyle w:val="TextBody"/>
        <w:bidi w:val="0"/>
        <w:spacing w:lineRule="auto" w:line="288" w:before="0" w:after="240"/>
        <w:jc w:val="both"/>
        <w:rPr/>
      </w:pPr>
      <w:r>
        <w:rPr>
          <w:rFonts w:ascii="Times New Roman;serif" w:hAnsi="Times New Roman;serif"/>
          <w:b w:val="false"/>
          <w:color w:val="000000"/>
          <w:sz w:val="20"/>
          <w:u w:val="single"/>
        </w:rPr>
        <w:t>When Information is Considered Public</w:t>
      </w:r>
      <w:r>
        <w:rPr>
          <w:rFonts w:ascii="Times New Roman;serif" w:hAnsi="Times New Roman;serif"/>
          <w:b w:val="false"/>
          <w:color w:val="000000"/>
          <w:sz w:val="20"/>
        </w:rPr>
        <w:br/>
        <w:t xml:space="preserve">Information that is generally not known or that has not been made available to the investing public is generally considered to be nonpublic information, even if the information is widely known within the company. In order to establish that the information has been made available to the investing public, it may be necessary to demonstrate that the information has been widely disseminated. Information generally would be considered widely disseminated if it has been disclosed through a widely disseminated press release distributed through the newswire services, a broadcast on widely-available radio or television programs, or publication in a widely-available newspaper, magazine or news website or public disclosure document filed with, or furnished to, the SEC that is available on the SEC’s website.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By contrast, information likely would not be considered widely disseminated if it is available only to Arm’s employees, or if it is only available to a select group of analysts, brokers and institutional investors. The circulation of market rumors, even if accurate and reported in the media, does not constitute effective public dissemination; therefore, information should not be considered to be public if it has become known through the circulation of market rumors.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Once information is widely disseminated, it is still necessary to provide the investing public with sufficient time to absorb and evaluate the information. As a general rule, information should not be considered fully absorbed by the marketplace until at least two full trading days have passed following release of the information to the marketplace, where trading days are days on which Nasdaq is open for trading. If, for example, Arm were to make an announcement on a Monday, you should not trade in Arm securities until Thursday. Depending on the particular circumstances, Arm may determine that a longer or shorter period should apply to the release of specific material nonpublic information. Any changes to the time period will be detailed at that time.</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Transactions by Entities that You Influence or Control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This policy applies to any entities that you influence or control, including any corporations, partnerships, investment funds, retirement plans, trusts, or any other types of entities over which you have the ability to influence or direct management, policies or investment decisions, in each case other than SoftBank Group Corp. or its affiliates subject to the oversight of SoftBank Group Corp., and other than in compliance with applicable law. Transactions by these controlled entities will be treated for the purposes of this policy and applicable securities laws as if they were made by you for your own account.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Transactions by Family Members and Others</w:t>
      </w:r>
    </w:p>
    <w:p>
      <w:pPr>
        <w:pStyle w:val="TextBody"/>
        <w:bidi w:val="0"/>
        <w:spacing w:before="0" w:after="0"/>
        <w:jc w:val="righ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This policy applies to your family members who reside with you (including a spouse or domestic partner, a child, a child away at college, stepchildren, grandchildren, parents, stepparents, grandparents, siblings and in-laws), your children or your spouse’s children who are financially dependent on you, anyone else who lives in your household, and any family members who do not live in your household but whose transactions involving Relevant Securities are directed by you or are subject to your influence or control, such as individuals who consult with you before they trade in Relevant Securities. You are responsible for the transactions of these other persons and therefore should make them aware of the need to confer with you before they trade in Relevant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who is not controlled by, influenced by or related to you or your family members.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Exceptions to Insider Trading Policy and Trading Restrictions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This policy does not apply in the case of the following transactions, except as specifically noted:</w:t>
      </w:r>
    </w:p>
    <w:p>
      <w:pPr>
        <w:pStyle w:val="TextBody"/>
        <w:bidi w:val="0"/>
        <w:spacing w:lineRule="auto" w:line="288" w:before="0" w:after="240"/>
        <w:jc w:val="both"/>
        <w:rPr/>
      </w:pPr>
      <w:r>
        <w:rPr>
          <w:rFonts w:ascii="Times New Roman;serif" w:hAnsi="Times New Roman;serif"/>
          <w:b w:val="false"/>
          <w:color w:val="000000"/>
          <w:sz w:val="20"/>
          <w:u w:val="single"/>
        </w:rPr>
        <w:t>Share Option Exercises</w:t>
      </w:r>
      <w:r>
        <w:rPr>
          <w:rFonts w:ascii="Times New Roman;serif" w:hAnsi="Times New Roman;serif"/>
          <w:b w:val="false"/>
          <w:color w:val="000000"/>
          <w:sz w:val="20"/>
        </w:rPr>
        <w:br/>
        <w:t xml:space="preserve">This policy does not apply to the exercise of an employee share option acquired under the company’s plans, or to the exercise of a tax withholding right to which a person has elected to have Arm withhold Arm securities subject to an option to satisfy tax withholding requirements. This policy does apply, however, to any sale of Arm securities as part of a broker-assisted cashless exercise of an option, or any other market sale for the purpose of generating the cash needed to pay the exercise price of an option. </w:t>
      </w:r>
    </w:p>
    <w:p>
      <w:pPr>
        <w:pStyle w:val="TextBody"/>
        <w:bidi w:val="0"/>
        <w:spacing w:lineRule="auto" w:line="288" w:before="0" w:after="240"/>
        <w:jc w:val="both"/>
        <w:rPr/>
      </w:pPr>
      <w:r>
        <w:rPr>
          <w:rFonts w:ascii="Times New Roman;serif" w:hAnsi="Times New Roman;serif"/>
          <w:b w:val="false"/>
          <w:color w:val="000000"/>
          <w:sz w:val="20"/>
          <w:u w:val="single"/>
        </w:rPr>
        <w:t>Restricted Share Awards or Restricted Stock Units</w:t>
      </w:r>
      <w:r>
        <w:rPr>
          <w:rFonts w:ascii="Times New Roman;serif" w:hAnsi="Times New Roman;serif"/>
          <w:b w:val="false"/>
          <w:color w:val="000000"/>
          <w:sz w:val="20"/>
        </w:rPr>
        <w:br/>
        <w:t>This policy does not apply to the vesting of restricted share awards or restricted stock units, or the exercise of a tax withholding right to which you elect to have the company withhold shares to satisfy tax withholding requirements upon the vesting of any restricted share awards or restricted stock units. The policy does apply, however, to any market sale of restricted shares.</w:t>
      </w:r>
    </w:p>
    <w:p>
      <w:pPr>
        <w:pStyle w:val="TextBody"/>
        <w:bidi w:val="0"/>
        <w:spacing w:lineRule="auto" w:line="288" w:before="0" w:after="240"/>
        <w:jc w:val="both"/>
        <w:rPr/>
      </w:pPr>
      <w:r>
        <w:rPr>
          <w:rFonts w:ascii="Times New Roman;serif" w:hAnsi="Times New Roman;serif"/>
          <w:b w:val="false"/>
          <w:color w:val="000000"/>
          <w:sz w:val="20"/>
          <w:u w:val="single"/>
        </w:rPr>
        <w:t>401(k)/Pension Plan, Annual Bonus Plan and All-Employee Plan</w:t>
      </w:r>
      <w:r>
        <w:rPr>
          <w:rFonts w:ascii="Times New Roman;serif" w:hAnsi="Times New Roman;serif"/>
          <w:b w:val="false"/>
          <w:color w:val="000000"/>
          <w:sz w:val="20"/>
        </w:rPr>
        <w:br/>
        <w:t xml:space="preserve">This policy does not apply to purchases of Arm securities in the company’s 401(k)/Pension plan, the Annual Bonus Plan or the All-Employee Plan resulting from your periodic contribution of money to the plan, provided that such purchases are the result of a payroll deduction election that you made at a time when you were not aware of material nonpublic information and that was not a restricted trading period, subject to the pre-clearance process. This policy does apply, however, to certain elections you may make under such plans, including: (a) beginning or terminating investing in the Arm securities fund of the 401(k) plan; (b) an election to increase or decrease the percentage of your periodic contributions that will be allocated to the Arm securities fund; (c) an election to make an intra-plan transfer of an existing account balance into or out of the Arm securities fund; (d) an election to borrow money, to the extent otherwise permitted, against your plan accounts if the loan will result in a liquidation of some or all of your Arm securities fund balance; and (e) an election to pre-pay any plan loan if the pre-payment will result in allocation of loan proceeds to the Arm securities fund.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It should be noted that sales of Arm securities from a 401(k) account are also subject to Rule 144 under the Securities Act of 1933 (or any other applicable exemption under securities laws), and therefore directors and executive officers may be deemed to be an “affiliate” of the company, If this is the case, Rule 144 places limits on the number of shares you may be able to sell and provides that certain procedures must be followed before selling company securities. Contact Arm’s legal team for more information on Rule 144 and when you should ensure that a Form 144 is filed with the SEC.</w:t>
      </w:r>
    </w:p>
    <w:p>
      <w:pPr>
        <w:pStyle w:val="TextBody"/>
        <w:bidi w:val="0"/>
        <w:spacing w:lineRule="auto" w:line="288" w:before="0" w:after="240"/>
        <w:jc w:val="both"/>
        <w:rPr/>
      </w:pPr>
      <w:r>
        <w:rPr>
          <w:rFonts w:ascii="Times New Roman;serif" w:hAnsi="Times New Roman;serif"/>
          <w:b w:val="false"/>
          <w:color w:val="000000"/>
          <w:sz w:val="20"/>
          <w:u w:val="single"/>
        </w:rPr>
        <w:t>Employee Share Purchase Plan</w:t>
      </w:r>
      <w:r>
        <w:rPr>
          <w:rFonts w:ascii="Times New Roman;serif" w:hAnsi="Times New Roman;serif"/>
          <w:b w:val="false"/>
          <w:color w:val="000000"/>
          <w:sz w:val="20"/>
        </w:rPr>
        <w:br/>
        <w:t xml:space="preserve">This policy does not apply to purchases of Arm securities in an employee share purchase plan resulting from your periodic contribution of money to the plan pursuant to a payroll deduction election that you made at a time when you were not aware of material nonpublic information and that was not a restricted trading period, subject to the pre-clearance process. This policy also does not apply to purchases of Arm securities resulting from lump sum </w:t>
      </w:r>
    </w:p>
    <w:p>
      <w:pPr>
        <w:pStyle w:val="TextBody"/>
        <w:bidi w:val="0"/>
        <w:spacing w:before="0" w:after="0"/>
        <w:jc w:val="righ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contributions to the employee share purchase plan, if you elected to participate by lump sum payment at the beginning of the applicable enrollment period. This policy does apply, however, to certain elections you may make under such plan, including: (a) your election to participate in the employee share purchase plan for any enrollment period; (b) an election to increase or decrease your level of participation in the plan; and (c) to your sales of Arm securities purchased pursuant to the employee share purchase plan.</w:t>
      </w:r>
    </w:p>
    <w:p>
      <w:pPr>
        <w:pStyle w:val="TextBody"/>
        <w:bidi w:val="0"/>
        <w:spacing w:lineRule="auto" w:line="288" w:before="0" w:after="240"/>
        <w:jc w:val="both"/>
        <w:rPr/>
      </w:pPr>
      <w:r>
        <w:rPr>
          <w:rFonts w:ascii="Times New Roman;serif" w:hAnsi="Times New Roman;serif"/>
          <w:b w:val="false"/>
          <w:color w:val="000000"/>
          <w:sz w:val="20"/>
          <w:u w:val="single"/>
        </w:rPr>
        <w:t>Dividend Reinvestment Plan</w:t>
      </w:r>
      <w:r>
        <w:rPr>
          <w:rFonts w:ascii="Times New Roman;serif" w:hAnsi="Times New Roman;serif"/>
          <w:b w:val="false"/>
          <w:color w:val="000000"/>
          <w:sz w:val="20"/>
        </w:rPr>
        <w:br/>
        <w:t>This policy does not apply to purchases of Arm securities under any company-sponsored dividend reinvestment plan resulting from an election to reinvest dividends paid on Arm securities that you made when you were not aware of material nonpublic information at the time of the election and that was not a restricted trading period, subject to the pre-clearance process. This policy does apply, however, to any (a) voluntary purchase of Arm securities resulting from additional contributions you choose to make to the dividend reinvestment plan, (b) election to participate in the plan or increase your level of participation in the dividend reinvestment plan, and (c) sale of any Arm securities purchased pursuant to the dividend reinvestment plan.</w:t>
      </w:r>
    </w:p>
    <w:p>
      <w:pPr>
        <w:pStyle w:val="TextBody"/>
        <w:bidi w:val="0"/>
        <w:spacing w:lineRule="auto" w:line="288" w:before="0" w:after="240"/>
        <w:jc w:val="both"/>
        <w:rPr/>
      </w:pPr>
      <w:r>
        <w:rPr>
          <w:rFonts w:ascii="Times New Roman;serif" w:hAnsi="Times New Roman;serif"/>
          <w:b w:val="false"/>
          <w:color w:val="000000"/>
          <w:sz w:val="20"/>
          <w:u w:val="single"/>
        </w:rPr>
        <w:t>Other Similar Transactions</w:t>
      </w:r>
      <w:r>
        <w:rPr>
          <w:rFonts w:ascii="Times New Roman;serif" w:hAnsi="Times New Roman;serif"/>
          <w:b w:val="false"/>
          <w:color w:val="000000"/>
          <w:sz w:val="20"/>
        </w:rPr>
        <w:t>. Any other purchase of Arm securities directly from the company or sales of Arm securities directly to the company are not subject to this policy.</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Special and Prohibited Transactions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Arm has determined that there is a heightened legal risk and/or the appearance of improper or inappropriate conduct if the persons subject to this policy engage in certain types of transactions. It therefore is the company’s policy that any persons covered by this policy, regardless of whether in possession of material nonpublic information, may not engage in any of the following transactions, or should otherwise consider the company’s preferences as described below:</w:t>
      </w:r>
    </w:p>
    <w:p>
      <w:pPr>
        <w:pStyle w:val="TextBody"/>
        <w:bidi w:val="0"/>
        <w:spacing w:lineRule="auto" w:line="288" w:before="0" w:after="240"/>
        <w:jc w:val="both"/>
        <w:rPr/>
      </w:pPr>
      <w:r>
        <w:rPr>
          <w:rFonts w:ascii="Times New Roman;serif" w:hAnsi="Times New Roman;serif"/>
          <w:b w:val="false"/>
          <w:color w:val="000000"/>
          <w:sz w:val="20"/>
          <w:u w:val="single"/>
        </w:rPr>
        <w:t>Short-Term Trading</w:t>
      </w:r>
      <w:r>
        <w:rPr>
          <w:rFonts w:ascii="Times New Roman;serif" w:hAnsi="Times New Roman;serif"/>
          <w:b w:val="false"/>
          <w:color w:val="000000"/>
          <w:sz w:val="20"/>
        </w:rPr>
        <w:t xml:space="preserve">. Short-term trading of Arm securities may be distracting to the person and may unduly focus the person on the short-term appreciation in the value of Arm securities rather than Arm’s long-term business objectives. For these reasons, pursuant to the company’s policy, any director or officer of the company who </w:t>
      </w:r>
      <w:r>
        <w:rPr>
          <w:rFonts w:ascii="Times New Roman;serif" w:hAnsi="Times New Roman;serif"/>
          <w:b w:val="false"/>
          <w:i/>
          <w:color w:val="000000"/>
          <w:sz w:val="20"/>
        </w:rPr>
        <w:t>purchases</w:t>
      </w:r>
      <w:r>
        <w:rPr>
          <w:color w:val="000000"/>
        </w:rPr>
        <w:t xml:space="preserve"> </w:t>
      </w:r>
      <w:r>
        <w:rPr>
          <w:rFonts w:ascii="Times New Roman;serif" w:hAnsi="Times New Roman;serif"/>
          <w:b w:val="false"/>
          <w:color w:val="000000"/>
          <w:sz w:val="20"/>
        </w:rPr>
        <w:t xml:space="preserve">Arm securities in the open market may not sell any Arm securities of the same class during the six months following the purchase. Similarly, such persons who </w:t>
      </w:r>
      <w:r>
        <w:rPr>
          <w:rFonts w:ascii="Times New Roman;serif" w:hAnsi="Times New Roman;serif"/>
          <w:b w:val="false"/>
          <w:i/>
          <w:color w:val="000000"/>
          <w:sz w:val="20"/>
        </w:rPr>
        <w:t>sell</w:t>
      </w:r>
      <w:r>
        <w:rPr>
          <w:color w:val="000000"/>
        </w:rPr>
        <w:t xml:space="preserve"> </w:t>
      </w:r>
      <w:r>
        <w:rPr>
          <w:rFonts w:ascii="Times New Roman;serif" w:hAnsi="Times New Roman;serif"/>
          <w:b w:val="false"/>
          <w:color w:val="000000"/>
          <w:sz w:val="20"/>
        </w:rPr>
        <w:t xml:space="preserve">Arm securities in the open market may not purchase any Arm securities of the same class during the six months following the sale. </w:t>
      </w:r>
    </w:p>
    <w:p>
      <w:pPr>
        <w:pStyle w:val="TextBody"/>
        <w:bidi w:val="0"/>
        <w:spacing w:lineRule="auto" w:line="288" w:before="0" w:after="240"/>
        <w:jc w:val="both"/>
        <w:rPr/>
      </w:pPr>
      <w:r>
        <w:rPr>
          <w:rFonts w:ascii="Times New Roman;serif" w:hAnsi="Times New Roman;serif"/>
          <w:b w:val="false"/>
          <w:color w:val="000000"/>
          <w:sz w:val="20"/>
          <w:u w:val="single"/>
        </w:rPr>
        <w:t>No Short Sales</w:t>
      </w:r>
      <w:r>
        <w:rPr>
          <w:rFonts w:ascii="Times New Roman;serif" w:hAnsi="Times New Roman;serif"/>
          <w:b w:val="false"/>
          <w:color w:val="000000"/>
          <w:sz w:val="20"/>
        </w:rPr>
        <w:t>. Short sales of Arm securities (</w:t>
      </w:r>
      <w:r>
        <w:rPr>
          <w:rFonts w:ascii="Times New Roman;serif" w:hAnsi="Times New Roman;serif"/>
          <w:b w:val="false"/>
          <w:i/>
          <w:color w:val="000000"/>
          <w:sz w:val="20"/>
        </w:rPr>
        <w:t>i.e.</w:t>
      </w:r>
      <w:r>
        <w:rPr>
          <w:rFonts w:ascii="Times New Roman;serif" w:hAnsi="Times New Roman;serif"/>
          <w:b w:val="false"/>
          <w:color w:val="000000"/>
          <w:sz w:val="20"/>
        </w:rPr>
        <w:t xml:space="preserve">, the sale of a security that the seller does not own at the time of the transaction), including ‘sales against the box’ (i.e., the short sale of a security that the seller owns at the time of the transaction) may evidence an expectation on the part of the seller that the securities will decline in value, and therefore have the potential to signal to the market that the seller lacks confidence in the company’s prospects. In particular, short sales create misalignment with the company and may reduce a seller’s incentive (or create a disincentive) to seek to improve the company’s performance. For these reasons, short sales of Arm securities are prohibited under the company’s policy. </w:t>
      </w:r>
    </w:p>
    <w:p>
      <w:pPr>
        <w:pStyle w:val="TextBody"/>
        <w:bidi w:val="0"/>
        <w:spacing w:lineRule="auto" w:line="288" w:before="0" w:after="240"/>
        <w:jc w:val="both"/>
        <w:rPr/>
      </w:pPr>
      <w:r>
        <w:rPr>
          <w:rFonts w:ascii="Times New Roman;serif" w:hAnsi="Times New Roman;serif"/>
          <w:b w:val="false"/>
          <w:color w:val="000000"/>
          <w:sz w:val="20"/>
          <w:u w:val="single"/>
        </w:rPr>
        <w:t>Derivative Securities Transactions</w:t>
      </w:r>
      <w:r>
        <w:rPr>
          <w:rFonts w:ascii="Times New Roman;serif" w:hAnsi="Times New Roman;serif"/>
          <w:b w:val="false"/>
          <w:color w:val="000000"/>
          <w:sz w:val="20"/>
        </w:rPr>
        <w:t xml:space="preserve">. Derivative securities, such as call options or put options, which give the holder a right to buy or sell, respectively, a security at a specific price before a set date, are typically transacted over a relatively short time period. As a consequence, transactions involving derivative securities may create the appearance that a director, officer or employee is trading based on material nonpublic information and could focus a director’s, officer’s or other employee’s attention on short-term performance at the expense of the company’s long-term objectives. Accordingly, transactions involving put options, call options or other derivative securities, on an exchange or in any other organized market, are prohibited by this policy. </w:t>
      </w:r>
    </w:p>
    <w:p>
      <w:pPr>
        <w:pStyle w:val="TextBody"/>
        <w:bidi w:val="0"/>
        <w:spacing w:lineRule="auto" w:line="288" w:before="0" w:after="240"/>
        <w:jc w:val="both"/>
        <w:rPr/>
      </w:pPr>
      <w:r>
        <w:rPr>
          <w:rFonts w:ascii="Times New Roman;serif" w:hAnsi="Times New Roman;serif"/>
          <w:b w:val="false"/>
          <w:color w:val="000000"/>
          <w:sz w:val="20"/>
          <w:u w:val="single"/>
        </w:rPr>
        <w:t>Hedging Transactions</w:t>
      </w:r>
      <w:r>
        <w:rPr>
          <w:rFonts w:ascii="Times New Roman;serif" w:hAnsi="Times New Roman;serif"/>
          <w:b w:val="false"/>
          <w:color w:val="000000"/>
          <w:sz w:val="20"/>
        </w:rPr>
        <w:t xml:space="preserve">. Hedging or monetization transactions can be accomplished through a number of possible mechanisms, including without limitation through the use of financial instruments such as prepaid variable forwards, equity swaps, collars and exchange funds. Such transactions may permit a person subject to this policy to continue to own Arm securities obtained through employee benefit plans or otherwise, but without the full risks and rewards of ownership. When that occurs, the director, officer or employee may no longer have the same objectives as, or </w:t>
      </w:r>
    </w:p>
    <w:p>
      <w:pPr>
        <w:pStyle w:val="TextBody"/>
        <w:bidi w:val="0"/>
        <w:spacing w:before="0" w:after="0"/>
        <w:jc w:val="righ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2"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alignment with, the company’s other shareholders. Therefore, directors, officers and employees are prohibited from engaging in any such transactions under this policy.</w:t>
      </w:r>
    </w:p>
    <w:p>
      <w:pPr>
        <w:pStyle w:val="TextBody"/>
        <w:bidi w:val="0"/>
        <w:spacing w:lineRule="auto" w:line="288" w:before="0" w:after="240"/>
        <w:jc w:val="both"/>
        <w:rPr/>
      </w:pPr>
      <w:r>
        <w:rPr>
          <w:rFonts w:ascii="Times New Roman;serif" w:hAnsi="Times New Roman;serif"/>
          <w:b w:val="false"/>
          <w:color w:val="000000"/>
          <w:sz w:val="20"/>
          <w:u w:val="single"/>
        </w:rPr>
        <w:t>Margin Accounts and Pledged Securities</w:t>
      </w:r>
      <w:r>
        <w:rPr>
          <w:rFonts w:ascii="Times New Roman;serif" w:hAnsi="Times New Roman;serif"/>
          <w:b w:val="false"/>
          <w:color w:val="000000"/>
          <w:sz w:val="20"/>
        </w:rPr>
        <w:t xml:space="preserve">. Securities held in a margin account as collateral for a margin loan may be sold by the broker without the customer’s consent if the customer fails to satisfy a margin call. Similarly, securities pledged (or hypothecated) as collateral for a loan may be sold in foreclosure if the borrower defaults on the loan. Because a margin sale or foreclosure sale may occur at a time when the person is aware of material nonpublic information or otherwise is not permitted to trade in Arm securities, persons subject to this policy are prohibited from holding Arm securities in a margin account or otherwise pledging Arm securities as collateral for a loan, unless all Arm securities held in such account are blocked from being margined. </w:t>
      </w:r>
    </w:p>
    <w:p>
      <w:pPr>
        <w:pStyle w:val="TextBody"/>
        <w:bidi w:val="0"/>
        <w:spacing w:lineRule="auto" w:line="288" w:before="0" w:after="240"/>
        <w:jc w:val="both"/>
        <w:rPr/>
      </w:pPr>
      <w:r>
        <w:rPr>
          <w:rFonts w:ascii="Times New Roman;serif" w:hAnsi="Times New Roman;serif"/>
          <w:b w:val="false"/>
          <w:color w:val="000000"/>
          <w:sz w:val="20"/>
          <w:u w:val="single"/>
        </w:rPr>
        <w:t>Standing and Limit Orders</w:t>
      </w:r>
      <w:r>
        <w:rPr>
          <w:rFonts w:ascii="Times New Roman;serif" w:hAnsi="Times New Roman;serif"/>
          <w:b w:val="false"/>
          <w:color w:val="000000"/>
          <w:sz w:val="20"/>
        </w:rPr>
        <w:t>. Standing and limit orders (except standing and limit orders under approved Rule 10b5-1 plans, as described below) create heightened risks for insider trading violations. Because there is no control over the timing of purchases or sales that result from standing instructions to a broker, a broker could execute a transaction when a person subject to this policy is in possession of material nonpublic information. The company therefore discourages placing standing or limit orders on Arm securities. If a person subject to this policy determines that they must use a standing order or limit order, the order should be limited to a period generally no more than five trading days and should otherwise comply with the restrictions and procedures outlined below under the headings “Special Trading Restrictions” and “Pre-Clearance Procedures.”</w:t>
      </w:r>
    </w:p>
    <w:p>
      <w:pPr>
        <w:pStyle w:val="TextBody"/>
        <w:bidi w:val="0"/>
        <w:spacing w:lineRule="auto" w:line="288" w:before="0" w:after="240"/>
        <w:jc w:val="left"/>
        <w:rPr/>
      </w:pPr>
      <w:r>
        <w:rPr>
          <w:rFonts w:ascii="Times New Roman;serif" w:hAnsi="Times New Roman;serif"/>
          <w:b w:val="false"/>
          <w:color w:val="000000"/>
          <w:sz w:val="20"/>
          <w:u w:val="single"/>
        </w:rPr>
        <w:t>Shadow Trading</w:t>
      </w:r>
      <w:r>
        <w:rPr>
          <w:rFonts w:ascii="Times New Roman;serif" w:hAnsi="Times New Roman;serif"/>
          <w:b w:val="false"/>
          <w:color w:val="000000"/>
          <w:sz w:val="20"/>
        </w:rPr>
        <w:t xml:space="preserve">. Shadow trading, sometimes referred to as "shadow investment," relies on the concept that the value of related securities can be influenced by non-public information about a particular company or asset. For instance, if an individual has confidential information about a forthcoming significant event concerning Company A, they might trade in the securities of Company B, which has a close business or market relationship with Company A. The expectation is that the event will impact the stock price of Company B in a predictable manner.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Special Trading Restrictions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Arm has established special trading restrictions to assist the company in the administration of this policy, to facilitate compliance with laws prohibiting insider trading while in possession of material nonpublic information, and to avoid the appearance of any impropriety. These special trading restrictions are applicable to all persons subject to this policy. </w:t>
      </w:r>
    </w:p>
    <w:p>
      <w:pPr>
        <w:pStyle w:val="TextBody"/>
        <w:bidi w:val="0"/>
        <w:spacing w:lineRule="auto" w:line="288" w:before="0" w:after="240"/>
        <w:jc w:val="both"/>
        <w:rPr/>
      </w:pPr>
      <w:r>
        <w:rPr>
          <w:rFonts w:ascii="Times New Roman;serif" w:hAnsi="Times New Roman;serif"/>
          <w:b w:val="false"/>
          <w:color w:val="000000"/>
          <w:sz w:val="20"/>
          <w:u w:val="single"/>
        </w:rPr>
        <w:t>Quarterly Trading Restricted Period</w:t>
      </w:r>
      <w:r>
        <w:rPr>
          <w:rFonts w:ascii="Times New Roman;serif" w:hAnsi="Times New Roman;serif"/>
          <w:b w:val="false"/>
          <w:color w:val="000000"/>
          <w:sz w:val="20"/>
        </w:rPr>
        <w:t>. All persons on the pre-clearance list as well as their family members and/or controlled entities, may not conduct any transactions involving Arm securities (other than as specified by this policy), during a restricted period beginning ten trading days prior to the end of each fiscal quarter and ending upon the completion of the second full trading day following the date of the public release of the company’s earnings results for that quarter. For example, if Arm publicly releases its earnings results on a Monday, the first time you can buy or sell Arm securities is the opening of the market on Thursday</w:t>
      </w:r>
      <w:r>
        <w:rPr>
          <w:color w:val="212536"/>
          <w:shd w:fill="FFFFFF" w:val="clear"/>
        </w:rPr>
        <w:t xml:space="preserve"> </w:t>
      </w:r>
      <w:r>
        <w:rPr>
          <w:rFonts w:ascii="Times New Roman;serif" w:hAnsi="Times New Roman;serif"/>
          <w:b w:val="false"/>
          <w:color w:val="212536"/>
          <w:sz w:val="20"/>
          <w:shd w:fill="FFFFFF" w:val="clear"/>
        </w:rPr>
        <w:t>(assuming you are not aware of other material nonpublic information at that time)</w:t>
      </w:r>
      <w:r>
        <w:rPr>
          <w:rFonts w:ascii="Times New Roman;serif" w:hAnsi="Times New Roman;serif"/>
          <w:b w:val="false"/>
          <w:color w:val="000000"/>
          <w:sz w:val="20"/>
        </w:rPr>
        <w:t>. Persons not on the pre-clearance list are not permitted to conduct transactions involving Arm securities (other than as specified by this policy) if in possession of material non-public information.</w:t>
      </w:r>
    </w:p>
    <w:p>
      <w:pPr>
        <w:pStyle w:val="TextBody"/>
        <w:bidi w:val="0"/>
        <w:spacing w:lineRule="auto" w:line="288" w:before="0" w:after="240"/>
        <w:jc w:val="both"/>
        <w:rPr/>
      </w:pPr>
      <w:r>
        <w:rPr>
          <w:rFonts w:ascii="Times New Roman;serif" w:hAnsi="Times New Roman;serif"/>
          <w:b w:val="false"/>
          <w:color w:val="000000"/>
          <w:sz w:val="20"/>
          <w:u w:val="single"/>
        </w:rPr>
        <w:t>Event-Specific Restricted Periods</w:t>
      </w:r>
      <w:r>
        <w:rPr>
          <w:rFonts w:ascii="Times New Roman;serif" w:hAnsi="Times New Roman;serif"/>
          <w:b w:val="false"/>
          <w:color w:val="000000"/>
          <w:sz w:val="20"/>
        </w:rPr>
        <w:t xml:space="preserve">. Occasionally, an event may occur (or be probable to occur) that is material to Arm and is known by only a limited number of directors, officers, employees, contractors or consultants. So long as the event remains material and nonpublic, the persons designated by the Chief Legal Officer, as communicated by Ethics and Compliance, may not trade Arm securities. In addition, Arm’s financial results may be sufficiently material in a particular fiscal quarter that, in the judgment of the Chief Legal Officer, as communicated by Ethics and Compliance, designated persons must refrain from trading in Arm securities during a period that commences even earlier than the commencement of the quarterly trading restricted period or ends even later than the expiration of the quarterly trading restricted period. In that situation, Ethics and Compliance may notify these persons that they may not trade in Arm securities until Ethics and Compliance subsequently notifies such person that the event-specific restricted period has ended, but shall not disclose the reason for the event-specific restriction on trading. The existence of an event-specific restricted period, including the extension of a quarterly trading restricted period, will not be announced to the company as a whole and should not be communicated to any other person. Even if the Chief </w:t>
      </w:r>
    </w:p>
    <w:p>
      <w:pPr>
        <w:pStyle w:val="TextBody"/>
        <w:bidi w:val="0"/>
        <w:spacing w:before="0" w:after="0"/>
        <w:jc w:val="righ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3"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Legal Officer, as communicated by Ethics and Compliance, has not designated you as a person who should not trade during an event-specific restricted period, you should not trade while aware of material nonpublic information. Exceptions to this policy will not be granted during an event-specific restricted period.</w:t>
      </w:r>
    </w:p>
    <w:p>
      <w:pPr>
        <w:pStyle w:val="TextBody"/>
        <w:bidi w:val="0"/>
        <w:spacing w:lineRule="auto" w:line="288" w:before="0" w:after="240"/>
        <w:jc w:val="both"/>
        <w:rPr/>
      </w:pPr>
      <w:r>
        <w:rPr>
          <w:rFonts w:ascii="Times New Roman;serif" w:hAnsi="Times New Roman;serif"/>
          <w:b w:val="false"/>
          <w:color w:val="000000"/>
          <w:sz w:val="20"/>
          <w:u w:val="single"/>
        </w:rPr>
        <w:t>Exceptions</w:t>
      </w:r>
      <w:r>
        <w:rPr>
          <w:rFonts w:ascii="Times New Roman;serif" w:hAnsi="Times New Roman;serif"/>
          <w:b w:val="false"/>
          <w:color w:val="000000"/>
          <w:sz w:val="20"/>
        </w:rPr>
        <w:t xml:space="preserve">. The quarterly trading restrictions and event-specific trading restrictions do not apply to those transactions to which this policy does not apply, as described above under the heading “Exceptions to Insider Trading Policy and Trading Restrictions.” Further, the requirement for pre-clearance, the quarterly trading restrictions and event-specific trading restrictions do not apply to transactions conducted pursuant to pre-approved Rule 10b5-1 plans, described under the heading “Rule 10b5-1 Plans,” below.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Pre-Clearance Procedures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 person identified in the table below may engage in transactions involving Arm securities without obtaining pre-clearance from the appropriate approval party in accordance with this policy. It is important to note that compliance with these additional procedures, including obtaining pre-clearance, does not insulate such party from insider trading liability. If a person subject to this policy obtains pre-clearance, such party must still make the determination that such person is not in possession of material nonpublic information when the trade is made, that the trade does not have the appearance of impropriety, and that the trade is not in violation of the insider trading and other applicable laws.</w:t>
      </w:r>
    </w:p>
    <w:p>
      <w:pPr>
        <w:pStyle w:val="TextBody"/>
        <w:bidi w:val="0"/>
        <w:spacing w:lineRule="auto" w:line="288" w:before="0" w:after="240"/>
        <w:jc w:val="both"/>
        <w:rPr/>
      </w:pPr>
      <w:r>
        <w:rPr>
          <w:rFonts w:ascii="Times New Roman;serif" w:hAnsi="Times New Roman;serif"/>
          <w:b w:val="false"/>
          <w:color w:val="000000"/>
          <w:sz w:val="20"/>
          <w:u w:val="single"/>
        </w:rPr>
        <w:t>Approval Parties.</w:t>
      </w:r>
      <w:r>
        <w:rPr>
          <w:color w:val="000000"/>
        </w:rPr>
        <w:t xml:space="preserve"> </w:t>
      </w:r>
      <w:r>
        <w:rPr>
          <w:rFonts w:ascii="Times New Roman;serif" w:hAnsi="Times New Roman;serif"/>
          <w:b w:val="false"/>
          <w:color w:val="000000"/>
          <w:sz w:val="20"/>
        </w:rPr>
        <w:t>The persons subject to this policy that are identified in the following table may not engage in any transaction in Arm securities without first obtaining pre-clearance of the transaction in accordance with the following:</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838"/>
        <w:gridCol w:w="2496"/>
        <w:gridCol w:w="2506"/>
        <w:gridCol w:w="707"/>
        <w:gridCol w:w="687"/>
        <w:gridCol w:w="971"/>
      </w:tblGrid>
      <w:tr>
        <w:trPr/>
        <w:tc>
          <w:tcPr>
            <w:tcW w:w="2838"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78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Person or Entity Subject to Pre-Clearance</w:t>
            </w:r>
          </w:p>
        </w:tc>
        <w:tc>
          <w:tcPr>
            <w:tcW w:w="23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Approval Party</w:t>
            </w:r>
          </w:p>
        </w:tc>
      </w:tr>
      <w:tr>
        <w:trPr/>
        <w:tc>
          <w:tcPr>
            <w:tcW w:w="7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Members of the Board (other than the Audit Committee Chairperson) and the Chief Executive Officer</w:t>
            </w:r>
          </w:p>
        </w:tc>
        <w:tc>
          <w:tcPr>
            <w:tcW w:w="23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Audit Committee Chairperson</w:t>
            </w:r>
          </w:p>
        </w:tc>
      </w:tr>
      <w:tr>
        <w:trPr/>
        <w:tc>
          <w:tcPr>
            <w:tcW w:w="78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Audit Committee Chairperson</w:t>
            </w:r>
          </w:p>
        </w:tc>
        <w:tc>
          <w:tcPr>
            <w:tcW w:w="23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r>
      <w:tr>
        <w:trPr/>
        <w:tc>
          <w:tcPr>
            <w:tcW w:w="7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Officers and Executive Committee (other than the Chief Executive Officer) and Employees at or above Grade 9</w:t>
            </w:r>
          </w:p>
        </w:tc>
        <w:tc>
          <w:tcPr>
            <w:tcW w:w="23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Compliance Officer</w:t>
            </w:r>
          </w:p>
        </w:tc>
      </w:tr>
      <w:tr>
        <w:trPr/>
        <w:tc>
          <w:tcPr>
            <w:tcW w:w="78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Compliance Officer</w:t>
            </w:r>
          </w:p>
        </w:tc>
        <w:tc>
          <w:tcPr>
            <w:tcW w:w="236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r>
      <w:tr>
        <w:trPr/>
        <w:tc>
          <w:tcPr>
            <w:tcW w:w="784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Designated persons on the pre-clearance list</w:t>
            </w:r>
          </w:p>
        </w:tc>
        <w:tc>
          <w:tcPr>
            <w:tcW w:w="236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Compliance Officer</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Request Form</w:t>
      </w:r>
      <w:r>
        <w:rPr>
          <w:rFonts w:ascii="Times New Roman;serif" w:hAnsi="Times New Roman;serif"/>
          <w:b w:val="false"/>
          <w:color w:val="000000"/>
          <w:sz w:val="20"/>
        </w:rPr>
        <w:t>. A request for pre-clearance, including a certification that such person is not in possession of material nonpublic information, should be submitted to the applicable approval party noted above at least 48 hours in advance of the proposed transaction. The applicable approval party is under no obligation to approve a transaction submitted for pre-clearance and may determine not to permit the transaction in the approval party’s discretion. If a person that seeks pre-clearance and permission to engage in the transaction is denied, then such person must refrain from initiating any transaction in Arm securities and should not inform any other person of the fact that the pre-clearance request was denied.</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0"/>
          <w:u w:val="single"/>
        </w:rPr>
        <w:t>Pre-Cleared Transactions</w:t>
      </w:r>
      <w:r>
        <w:rPr>
          <w:rFonts w:ascii="Times New Roman;serif" w:hAnsi="Times New Roman;serif"/>
          <w:b w:val="false"/>
          <w:color w:val="000000"/>
          <w:sz w:val="20"/>
        </w:rPr>
        <w:t>. Pre-cleared transactions must be completed within five trading days following receipt of the pre-clearance (unless a specific exception has been granted by the applicable approval party). A pre-cleared transaction, or any portion of a pre-cleared transaction that has not been completed during such period, must be pre-cleared again prior to execution. All pre-cleared transactions will be reported to and overseen by the Compliance Officer.</w:t>
      </w:r>
    </w:p>
    <w:p>
      <w:pPr>
        <w:pStyle w:val="TextBody"/>
        <w:bidi w:val="0"/>
        <w:spacing w:lineRule="auto" w:line="288" w:before="0" w:after="240"/>
        <w:jc w:val="both"/>
        <w:rPr/>
      </w:pPr>
      <w:r>
        <w:rPr>
          <w:rFonts w:ascii="Times New Roman;serif" w:hAnsi="Times New Roman;serif"/>
          <w:b w:val="false"/>
          <w:color w:val="000000"/>
          <w:sz w:val="20"/>
          <w:u w:val="single"/>
        </w:rPr>
        <w:t>Other Restrictions</w:t>
      </w:r>
      <w:r>
        <w:rPr>
          <w:rFonts w:ascii="Times New Roman;serif" w:hAnsi="Times New Roman;serif"/>
          <w:b w:val="false"/>
          <w:color w:val="000000"/>
          <w:sz w:val="20"/>
        </w:rPr>
        <w:t>. Notwithstanding receipt of pre-clearance, if, before the transaction is completed, the person who received the pre-clearance becomes aware of material nonpublic information or becomes subject to a restricted period described above in “Special Trading Restrictions,” then the transaction cannot be completed.</w:t>
      </w:r>
    </w:p>
    <w:p>
      <w:pPr>
        <w:pStyle w:val="TextBody"/>
        <w:bidi w:val="0"/>
        <w:spacing w:before="0" w:after="0"/>
        <w:jc w:val="righ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4"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Obligations under Section 16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has designated the persons who are required to comply with Section 16 of the Securities Exchange Act of 1934 (the “Exchange Act”), and the related rules and regulations, which set forth reporting certain liability and reporting provisions relating to transactions involving the Company’s securities. Each person has been advised of their designation, and the Company has provided separate materials to persons subject to Section 16 regarding its rules and compliance requirements.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 facilitate timely reporting of transactions pursuant to Section 16 requirements, each person subject to Section 16 reporting requirements must provide, or must ensure that his or her broker provides, the Company with detailed information (e.g., trade date, number of shares, exact price, etc.) regarding his or her transactions both 48 hours prior to any transaction in accordance with the pre-clearance procedures and within one business day following execution. The same applies to transactions by immediate family members sharing the same household with persons subject to Section 16. All transactions involving the Company’s securities are subject to this requirement, including gifts, transfers, pledges, transactions pursuant to a trading plan, pending trade orders, the execution of any previously approved trade orders, and new dividend reinvestment elections.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obligation to file Section 16 reports, and to otherwise comply with Section 16, is personal. The Company is not responsible for the failure to comply with Section 16 requirements.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Rule 10b5-1 Plans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Rule 10b5-1 under the Securities Exchange Act of 1934 provides a defense from insider trading liability under Rule 10b-5. In order to be eligible to rely on this defense, a person subject to this policy must enter into a Rule 10b5-1 plan for transactions involving Arm securities that meets certain conditions specified in Rule 10b5-1. Transactions involving Arm securities that are effected pursuant to a Rule 10b5-1 plan may occur even when the person who has entered into the plan is aware of material nonpublic information. To comply with this policy, a pre-approved Rule 10b5-1 plan must be approved by the Chief Legal Officer and satisfy the requirements of Rule 10b5-1 and the company’s “Guidelines for Rule 10b5-1 Plans,” attached to this policy as Exhibit A.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Post-Termination Transactions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This policy continues to apply to transactions involving Arm securities even after termination of service to, or a relationship with the company. If a person is in possession of material nonpublic information when such person’s service or relationship terminates, that person may not trade in Arm securities until that information has become public or is no longer material. If a person subject to a quarterly trading restricted period or an event-specific restricted period leaves the company during that restricted period, they will continue to be subject to the applicable restricted period for the remainder of that restricted period.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Company Assistance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Any person who has a question about this policy or its application to any proposed transaction may obtain additional guidance from Ethics and Compliance.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If you have any questions, please send them by email to insidertrading@arm.com.</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5"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Exhibit A</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Guidelines for Rule 10b5-1 Plans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Rule 10b5-1(c) under the Securities Exchange Act of 1934, as amended, provides for an affirmative defense against insider trading liability if a trade occurs pursuant to a pre-arranged “trading plan” that meets specified conditions. Specifically, if a purchase or sale is made pursuant to a trading plan that complies with the conditions in Rule 10b5-1(c), as described below, the trade will not be deemed to be made on the basis of material nonpublic information, and therefore will not violate insider trading laws. Trading plans can be established for a single trade or a series of trades. Because Rule 10b5-1(c) is complex, Arm recommends that you work with a broker and fully understand the limitations and conditions of the rule before establishing a plan.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Arm Holdings plc has adopted a written Insider Trading Policy, to which these guidelines for Rule 10b5-1 plans are an attachment, containing certain basic principles and policies concerning the trading by officers, directors and employees of Arm in the securities of the company. These guidelines set forth Arm’s policy concerning Rule 10b5-1 pre-planned trading programs by its directors, officers and employees. All capitalized terms used but not defined in these guidelines have the same meanings provided for in the Insider Trading Policy.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specified in the Insider Trading Policy, a Rule 10b5-1 plan must be approved by the Chief Legal Officer and meet the requirements of Rule 10b5-1 and these guidelines. Any Rule 10b5-1 plan (or the modification or termination of any existing Rule 10b5-1 plan) must be well documented and submitted for approval ten trading days prior to the entry into the Rule 10b5-1 plan. Arm reserves the right not to approve any proposed Rule 10b5-1 plan (or the modification of any existing Rule 10b5-1 plan) unless it meets the requirements of Rule 10b5-1 and these guidelines, as well as such additional terms and conditions as the company may require from time to time. No further pre-approval of transactions conducted pursuant to the Rule 10b5-1 plan will be required.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guidelines apply to all Rule 10b5-1 plans: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You may not enter into, modify or terminate a Rule 10b5-1 plan during a restricted period or otherwise while you are aware of material nonpublic information.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All Rule 10b5-1 plans must: (1) specify the amount, price and date of the transactions; (2) include a written formula, algorithm or computer program for determining amounts, prices and dates for the transactions; or (3) not permit the person to exercise any subsequent influence over how, when or whether to make purchases or sales (and any other person exercising such influence under the Rule 10b5-1 plan must not be aware of material nonpublic information when doing so).</w: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For officers and directors, no transaction may take place under a Rule 10b5-1 plan until the later of (a) 90 days after adoption or modification of the Rule 10b5-1 plan or (b) two trading days following the disclosure of Arm’s financial results in a current report for the fiscal quarter (or annual report on Form 20-F for the fourth fiscal quarter) in which the Rule 10b5-1 plan was adopted or modified (but in any event, the required cooling-off period is subject to a maximum of 120 days after adoption or modification of the Rule 10b5-1 plan).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persons other than officers and directors, no transaction may take place under a Rule 10b5-1 plan until 30 days following the adoption or modification of a Rule 10b5-1 plan.</w: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Subject to certain limited exceptions specified in Rule 10b5-1, you may not enter into more than one Rule 10b5-1 plan at the same time.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Subject to certain limited exceptions specified in Rule 10b5-1, you are limited to only one Rule 10b5-1 plan designed to effect an open market purchase or sale of the total amount of securities subject to the Rule 10b5-1 plan as a single transaction in any 12-month period.</w:t>
      </w:r>
    </w:p>
    <w:p>
      <w:pPr>
        <w:pStyle w:val="TextBody"/>
        <w:bidi w:val="0"/>
        <w:spacing w:before="0" w:after="0"/>
        <w:jc w:val="righ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You must act in good faith with respect to a Rule 10b5-1 plan. A Rule 10b5-1 plan cannot be entered into as part of a plan or scheme to evade the prohibition of Rule 10b-5. Therefore, although modifications to an existing Rule 10b5-1 plan are not prohibited, a Rule 10b5-1 plan should be adopted with the intention that it will not be amended or terminated prior to its expiration.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Officers and directors must include a representation in the Rule 10b5-1 plan certifying that, on the date of adoption or modification of the plan (i) the person is not aware of material nonpublic information about Arm or its securities and (ii) the person is adopting the trading plan in good faith and not as part of plan or scheme to evade the prohibitions of Rule 10b-5.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Arm and its officers and directors must make certain disclosures in SEC filings concerning Rule 10b5-1 plans and certain material terms. Officers and directors of Arm must undertake to provide any information requested by the company regarding Rule 10b5-1 plans for the purpose of providing the required disclosures or any other disclosures that the company deems to be appropriate under the circumstances.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If any questions arise, such person should consult with their own counsel in implementing a Rule 10b5-1 plan.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12.1</w:t>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BY CHIEF EXECUTIVE OFFICER PURSUANT TO</w:t>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302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Rene Haas,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20-F of Arm Holdings plc;</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company's internal control over financial reporting.</w:t>
      </w:r>
    </w:p>
    <w:p>
      <w:pPr>
        <w:pStyle w:val="TextBody"/>
        <w:bidi w:val="0"/>
        <w:spacing w:lineRule="auto" w:line="288" w:before="0" w:after="0"/>
        <w:jc w:val="both"/>
        <w:rPr>
          <w:color w:val="000000"/>
        </w:rPr>
      </w:pPr>
      <w:r>
        <w:rPr>
          <w:color w:val="000000"/>
        </w:rPr>
        <w:t> </w:t>
      </w:r>
    </w:p>
    <w:tbl>
      <w:tblPr>
        <w:tblW w:w="4273"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34"/>
        <w:gridCol w:w="134"/>
        <w:gridCol w:w="136"/>
        <w:gridCol w:w="604"/>
        <w:gridCol w:w="604"/>
        <w:gridCol w:w="86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26,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Rene Haas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Rene Haas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12.2</w:t>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8"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BY CHIEF FINANCIAL OFFICER PURSUANT TO</w:t>
      </w:r>
    </w:p>
    <w:p>
      <w:pPr>
        <w:pStyle w:val="TextBody"/>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302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Jason Child,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20-F of Arm Holdings plc;</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company's internal control over financial reporting.</w:t>
      </w:r>
    </w:p>
    <w:p>
      <w:pPr>
        <w:pStyle w:val="TextBody"/>
        <w:bidi w:val="0"/>
        <w:spacing w:lineRule="auto" w:line="288" w:before="0" w:after="0"/>
        <w:jc w:val="both"/>
        <w:rPr>
          <w:color w:val="000000"/>
        </w:rPr>
      </w:pPr>
      <w:r>
        <w:rPr>
          <w:color w:val="000000"/>
        </w:rPr>
        <w:t> </w:t>
      </w:r>
    </w:p>
    <w:tbl>
      <w:tblPr>
        <w:tblW w:w="4213"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34"/>
        <w:gridCol w:w="134"/>
        <w:gridCol w:w="136"/>
        <w:gridCol w:w="587"/>
        <w:gridCol w:w="587"/>
        <w:gridCol w:w="83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26,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Jason Child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Child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13.1</w:t>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9"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CERTIFICATIONS OF CHIEF EXECUTIVE OFFICER AND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CHIEF FINANCIAL OFFICER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before="120" w:after="240"/>
        <w:ind w:left="0" w:right="0" w:firstLine="360"/>
        <w:jc w:val="left"/>
        <w:rPr/>
      </w:pPr>
      <w:r>
        <w:rPr/>
      </w:r>
    </w:p>
    <w:p>
      <w:pPr>
        <w:pStyle w:val="TextBody"/>
        <w:bidi w:val="0"/>
        <w:spacing w:lineRule="auto" w:line="288" w:before="12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Arm Holdings plc (the “Company”) on Form 20-F for the fiscal year ended March 31, 2026, as filed with the Securities and Exchange Commission on the date hereof (the “Report”), the undersigned certify, pursuant to 18 U.S.C. § 1350, as adopted pursuant to Section 906 of the Sarbanes-Oxley Act of 2002, in their capacity as officers of the Company that, to their knowledge:</w:t>
      </w:r>
    </w:p>
    <w:p>
      <w:pPr>
        <w:pStyle w:val="TextBody"/>
        <w:bidi w:val="0"/>
        <w:spacing w:lineRule="auto" w:line="288" w:before="12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273"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34"/>
        <w:gridCol w:w="134"/>
        <w:gridCol w:w="136"/>
        <w:gridCol w:w="604"/>
        <w:gridCol w:w="604"/>
        <w:gridCol w:w="86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26,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Rene Haas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Rene Haas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Jason Child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Child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erif" w:hAnsi="Times New Roman;serif"/>
          <w:b/>
          <w:color w:val="000000"/>
          <w:sz w:val="20"/>
        </w:rPr>
      </w:pPr>
      <w:r>
        <w:rPr>
          <w:rFonts w:ascii="Times New Roman;serif" w:hAnsi="Times New Roman;serif"/>
          <w:b/>
          <w:color w:val="000000"/>
          <w:sz w:val="20"/>
        </w:rPr>
        <w:t>Exhibit 15.1</w:t>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20"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268" w:before="0" w:after="0"/>
        <w:ind w:left="0" w:right="0" w:firstLine="360"/>
        <w:jc w:val="both"/>
        <w:rPr/>
      </w:pPr>
      <w:r>
        <w:rPr>
          <w:rFonts w:ascii="Times New Roman;serif" w:hAnsi="Times New Roman;serif"/>
          <w:b w:val="false"/>
          <w:color w:val="000000"/>
          <w:sz w:val="20"/>
        </w:rPr>
        <w:t>We consent to the incorporation by reference in Registration Statement Nos. 333-274544</w:t>
      </w:r>
      <w:r>
        <w:rPr>
          <w:rFonts w:ascii="Times New Roman;serif" w:hAnsi="Times New Roman;serif"/>
          <w:b w:val="false"/>
          <w:color w:val="212529"/>
          <w:sz w:val="20"/>
        </w:rPr>
        <w:t xml:space="preserve">, </w:t>
      </w:r>
      <w:r>
        <w:rPr>
          <w:rFonts w:ascii="Times New Roman;serif" w:hAnsi="Times New Roman;serif"/>
          <w:b w:val="false"/>
          <w:color w:val="000000"/>
          <w:sz w:val="20"/>
        </w:rPr>
        <w:t>333-287614, and 333-295884 on Form S-8 of our reports dated May 26, 2026, relating to the financial statements of Arm Holdings plc and the effectiveness of Arm Holdings plc's internal control over financial reporting appearing in this Annual Report on Form 20-F for the fiscal year ended March 31, 2026.</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 Deloitte &amp; Touche LLP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 Jose, California</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May 26, 2026</w:t>
      </w:r>
    </w:p>
    <w:p>
      <w:pPr>
        <w:pStyle w:val="TextBody"/>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1"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973239/000197323924000012/ex11-articlesofassociation.htm" TargetMode="External"/><Relationship Id="rId4" Type="http://schemas.openxmlformats.org/officeDocument/2006/relationships/hyperlink" Target="https://www.sec.gov/Archives/edgar/data/1973239/000197323924000012/ex21-depositagreement.htm" TargetMode="External"/><Relationship Id="rId5" Type="http://schemas.openxmlformats.org/officeDocument/2006/relationships/hyperlink" Target="https://www.sec.gov/Archives/edgar/data/1973239/000197323924000012/ex21-depositagreement.htm" TargetMode="External"/><Relationship Id="rId6" Type="http://schemas.openxmlformats.org/officeDocument/2006/relationships/hyperlink" Target="https://www.sec.gov/Archives/edgar/data/1973239/000197323924000012/ex23-descriptionofsecuriti.htm" TargetMode="External"/><Relationship Id="rId7" Type="http://schemas.openxmlformats.org/officeDocument/2006/relationships/hyperlink" Target="https://www.sec.gov/Archives/edgar/data/1973239/000119312523216983/d393891dex101.htm" TargetMode="External"/><Relationship Id="rId8" Type="http://schemas.openxmlformats.org/officeDocument/2006/relationships/hyperlink" Target="https://www.sec.gov/Archives/edgar/data/1973239/000197323924000031/ex442023omnibusincentivepl.htm" TargetMode="External"/><Relationship Id="rId9" Type="http://schemas.openxmlformats.org/officeDocument/2006/relationships/hyperlink" Target="https://www.sec.gov/Archives/edgar/data/1973239/000197323924000012/ex43-shareholdergovernance.htm" TargetMode="External"/><Relationship Id="rId10" Type="http://schemas.openxmlformats.org/officeDocument/2006/relationships/hyperlink" Target="https://www.sec.gov/Archives/edgar/data/1973239/000119312523226867/d393891dex104.htm" TargetMode="External"/><Relationship Id="rId11" Type="http://schemas.openxmlformats.org/officeDocument/2006/relationships/hyperlink" Target="https://www.sec.gov/Archives/edgar/data/1973239/000119312523228059/d393891dex105.htm" TargetMode="External"/><Relationship Id="rId12" Type="http://schemas.openxmlformats.org/officeDocument/2006/relationships/hyperlink" Target="https://www.sec.gov/Archives/edgar/data/1973239/000119312523228059/d393891dex106.htm" TargetMode="External"/><Relationship Id="rId13" Type="http://schemas.openxmlformats.org/officeDocument/2006/relationships/hyperlink" Target="https://www.sec.gov/Archives/edgar/data/1973239/000197323924000012/ex411-armannualbonusplanru.htm" TargetMode="External"/><Relationship Id="rId14" Type="http://schemas.openxmlformats.org/officeDocument/2006/relationships/hyperlink" Target="https://www.sec.gov/Archives/edgar/data/1973239/000197323924000012/ex412-renehaasemploymentag.htm" TargetMode="External"/><Relationship Id="rId15" Type="http://schemas.openxmlformats.org/officeDocument/2006/relationships/hyperlink" Target="https://www.sec.gov/Archives/edgar/data/1973239/000197323924000031/ex49armholdings-espprules.htm" TargetMode="External"/><Relationship Id="rId16" Type="http://schemas.openxmlformats.org/officeDocument/2006/relationships/hyperlink" Target="https://www.sec.gov/Archives/edgar/data/1973239/000197323924000012/ex971-clawbackpolicy.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135369</Words>
  <Characters>744069</Characters>
  <CharactersWithSpaces>875352</CharactersWithSpaces>
  <Paragraphs>6220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