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Washington, D.C. 20549</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FORM SD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Specialized Disclosure Report</w:t>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231F20"/>
        </w:rPr>
        <w:t>Arm Holdings plc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231F20"/>
        </w:rPr>
        <w:t>(Exact name of registrant as specified in its charter)</w:t>
      </w:r>
    </w:p>
    <w:p>
      <w:pPr>
        <w:spacing w:after="0" w:line="242"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4000" w:type="dxa"/>
            <w:vAlign w:val="bottom"/>
          </w:tcPr>
          <w:p>
            <w:pPr>
              <w:jc w:val="center"/>
              <w:ind w:right="496"/>
              <w:spacing w:after="0"/>
              <w:rPr>
                <w:sz w:val="20"/>
                <w:szCs w:val="20"/>
                <w:color w:val="auto"/>
              </w:rPr>
            </w:pPr>
            <w:r>
              <w:rPr>
                <w:rFonts w:ascii="Times New Roman" w:cs="Times New Roman" w:eastAsia="Times New Roman" w:hAnsi="Times New Roman"/>
                <w:sz w:val="18"/>
                <w:szCs w:val="18"/>
                <w:b w:val="1"/>
                <w:bCs w:val="1"/>
                <w:color w:val="231F20"/>
                <w:w w:val="99"/>
              </w:rPr>
              <w:t>England and Wales</w:t>
            </w:r>
          </w:p>
        </w:tc>
        <w:tc>
          <w:tcPr>
            <w:tcW w:w="3440" w:type="dxa"/>
            <w:vAlign w:val="bottom"/>
          </w:tcPr>
          <w:p>
            <w:pPr>
              <w:jc w:val="center"/>
              <w:ind w:right="452"/>
              <w:spacing w:after="0"/>
              <w:rPr>
                <w:sz w:val="20"/>
                <w:szCs w:val="20"/>
                <w:color w:val="auto"/>
              </w:rPr>
            </w:pPr>
            <w:r>
              <w:rPr>
                <w:rFonts w:ascii="Times New Roman" w:cs="Times New Roman" w:eastAsia="Times New Roman" w:hAnsi="Times New Roman"/>
                <w:sz w:val="18"/>
                <w:szCs w:val="18"/>
                <w:b w:val="1"/>
                <w:bCs w:val="1"/>
                <w:color w:val="231F20"/>
                <w:w w:val="99"/>
              </w:rPr>
              <w:t>001-41800</w:t>
            </w:r>
          </w:p>
        </w:tc>
        <w:tc>
          <w:tcPr>
            <w:tcW w:w="242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231F20"/>
              </w:rPr>
              <w:t>Not Applicable</w:t>
            </w:r>
          </w:p>
        </w:tc>
      </w:tr>
      <w:tr>
        <w:trPr>
          <w:trHeight w:val="176"/>
        </w:trPr>
        <w:tc>
          <w:tcPr>
            <w:tcW w:w="4000" w:type="dxa"/>
            <w:vAlign w:val="bottom"/>
          </w:tcPr>
          <w:p>
            <w:pPr>
              <w:jc w:val="center"/>
              <w:ind w:right="496"/>
              <w:spacing w:after="0"/>
              <w:rPr>
                <w:sz w:val="20"/>
                <w:szCs w:val="20"/>
                <w:color w:val="auto"/>
              </w:rPr>
            </w:pPr>
            <w:r>
              <w:rPr>
                <w:rFonts w:ascii="Times New Roman" w:cs="Times New Roman" w:eastAsia="Times New Roman" w:hAnsi="Times New Roman"/>
                <w:sz w:val="14"/>
                <w:szCs w:val="14"/>
                <w:color w:val="231F20"/>
              </w:rPr>
              <w:t>(State or other jurisdiction of incorporation or organization)</w:t>
            </w:r>
          </w:p>
        </w:tc>
        <w:tc>
          <w:tcPr>
            <w:tcW w:w="3440" w:type="dxa"/>
            <w:vAlign w:val="bottom"/>
          </w:tcPr>
          <w:p>
            <w:pPr>
              <w:jc w:val="center"/>
              <w:ind w:right="452"/>
              <w:spacing w:after="0"/>
              <w:rPr>
                <w:sz w:val="20"/>
                <w:szCs w:val="20"/>
                <w:color w:val="auto"/>
              </w:rPr>
            </w:pPr>
            <w:r>
              <w:rPr>
                <w:rFonts w:ascii="Times New Roman" w:cs="Times New Roman" w:eastAsia="Times New Roman" w:hAnsi="Times New Roman"/>
                <w:sz w:val="14"/>
                <w:szCs w:val="14"/>
                <w:color w:val="231F20"/>
              </w:rPr>
              <w:t>(Commission File Number)</w:t>
            </w:r>
          </w:p>
        </w:tc>
        <w:tc>
          <w:tcPr>
            <w:tcW w:w="2420" w:type="dxa"/>
            <w:vAlign w:val="bottom"/>
          </w:tcPr>
          <w:p>
            <w:pPr>
              <w:jc w:val="center"/>
              <w:ind w:left="1041"/>
              <w:spacing w:after="0"/>
              <w:rPr>
                <w:sz w:val="20"/>
                <w:szCs w:val="20"/>
                <w:color w:val="auto"/>
              </w:rPr>
            </w:pPr>
            <w:r>
              <w:rPr>
                <w:rFonts w:ascii="Times New Roman" w:cs="Times New Roman" w:eastAsia="Times New Roman" w:hAnsi="Times New Roman"/>
                <w:sz w:val="14"/>
                <w:szCs w:val="14"/>
                <w:color w:val="231F20"/>
              </w:rPr>
              <w:t>(I.R.S. Employer</w:t>
            </w:r>
          </w:p>
        </w:tc>
      </w:tr>
      <w:tr>
        <w:trPr>
          <w:trHeight w:val="188"/>
        </w:trPr>
        <w:tc>
          <w:tcPr>
            <w:tcW w:w="40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20" w:type="dxa"/>
            <w:vAlign w:val="bottom"/>
          </w:tcPr>
          <w:p>
            <w:pPr>
              <w:jc w:val="center"/>
              <w:ind w:left="1021"/>
              <w:spacing w:after="0"/>
              <w:rPr>
                <w:sz w:val="20"/>
                <w:szCs w:val="20"/>
                <w:color w:val="auto"/>
              </w:rPr>
            </w:pPr>
            <w:r>
              <w:rPr>
                <w:rFonts w:ascii="Times New Roman" w:cs="Times New Roman" w:eastAsia="Times New Roman" w:hAnsi="Times New Roman"/>
                <w:sz w:val="14"/>
                <w:szCs w:val="14"/>
                <w:color w:val="231F20"/>
              </w:rPr>
              <w:t>Identification Number)</w:t>
            </w:r>
          </w:p>
        </w:tc>
      </w:tr>
      <w:tr>
        <w:trPr>
          <w:trHeight w:val="226"/>
        </w:trPr>
        <w:tc>
          <w:tcPr>
            <w:tcW w:w="4000" w:type="dxa"/>
            <w:vAlign w:val="bottom"/>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w w:val="99"/>
              </w:rPr>
              <w:t>110 Fulbourn Road</w:t>
            </w:r>
          </w:p>
        </w:tc>
        <w:tc>
          <w:tcPr>
            <w:tcW w:w="3440" w:type="dxa"/>
            <w:vAlign w:val="bottom"/>
          </w:tcPr>
          <w:p>
            <w:pPr>
              <w:spacing w:after="0"/>
              <w:rPr>
                <w:sz w:val="19"/>
                <w:szCs w:val="19"/>
                <w:color w:val="auto"/>
              </w:rPr>
            </w:pPr>
          </w:p>
        </w:tc>
        <w:tc>
          <w:tcPr>
            <w:tcW w:w="242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48"/>
        </w:trPr>
        <w:tc>
          <w:tcPr>
            <w:tcW w:w="4000" w:type="dxa"/>
            <w:vAlign w:val="bottom"/>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rPr>
              <w:t>Cambridge CB1 9NJ</w:t>
            </w:r>
          </w:p>
        </w:tc>
        <w:tc>
          <w:tcPr>
            <w:tcW w:w="3440" w:type="dxa"/>
            <w:vAlign w:val="bottom"/>
          </w:tcPr>
          <w:p>
            <w:pPr>
              <w:spacing w:after="0"/>
              <w:rPr>
                <w:sz w:val="21"/>
                <w:szCs w:val="21"/>
                <w:color w:val="auto"/>
              </w:rPr>
            </w:pPr>
          </w:p>
        </w:tc>
        <w:tc>
          <w:tcPr>
            <w:tcW w:w="2420" w:type="dxa"/>
            <w:vAlign w:val="bottom"/>
          </w:tcPr>
          <w:p>
            <w:pPr>
              <w:jc w:val="center"/>
              <w:ind w:left="1021"/>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4000" w:type="dxa"/>
            <w:vAlign w:val="bottom"/>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34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4000" w:type="dxa"/>
            <w:vAlign w:val="bottom"/>
          </w:tcPr>
          <w:p>
            <w:pPr>
              <w:jc w:val="center"/>
              <w:ind w:right="496"/>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4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58"/>
        </w:trPr>
        <w:tc>
          <w:tcPr>
            <w:tcW w:w="4000" w:type="dxa"/>
            <w:vAlign w:val="bottom"/>
          </w:tcPr>
          <w:p>
            <w:pPr>
              <w:spacing w:after="0"/>
              <w:rPr>
                <w:sz w:val="22"/>
                <w:szCs w:val="22"/>
                <w:color w:val="auto"/>
              </w:rPr>
            </w:pPr>
          </w:p>
        </w:tc>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9"/>
              </w:rPr>
              <w:t>Spencer Collins</w:t>
            </w:r>
          </w:p>
        </w:tc>
        <w:tc>
          <w:tcPr>
            <w:tcW w:w="2420" w:type="dxa"/>
            <w:vAlign w:val="bottom"/>
          </w:tcPr>
          <w:p>
            <w:pPr>
              <w:spacing w:after="0"/>
              <w:rPr>
                <w:sz w:val="22"/>
                <w:szCs w:val="22"/>
                <w:color w:val="auto"/>
              </w:rPr>
            </w:pPr>
          </w:p>
        </w:tc>
      </w:tr>
      <w:tr>
        <w:trPr>
          <w:trHeight w:val="216"/>
        </w:trPr>
        <w:tc>
          <w:tcPr>
            <w:tcW w:w="4000" w:type="dxa"/>
            <w:vAlign w:val="bottom"/>
          </w:tcPr>
          <w:p>
            <w:pPr>
              <w:spacing w:after="0"/>
              <w:rPr>
                <w:sz w:val="18"/>
                <w:szCs w:val="18"/>
                <w:color w:val="auto"/>
              </w:rPr>
            </w:pPr>
          </w:p>
        </w:tc>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9"/>
              </w:rPr>
              <w:t>Arm Holdings plc</w:t>
            </w:r>
          </w:p>
        </w:tc>
        <w:tc>
          <w:tcPr>
            <w:tcW w:w="24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8"/>
              </w:rPr>
              <w:t>110 Fulbourn Road</w:t>
            </w:r>
          </w:p>
        </w:tc>
        <w:tc>
          <w:tcPr>
            <w:tcW w:w="24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9"/>
              </w:rPr>
              <w:t>Cambridge CB1 9NJ</w:t>
            </w:r>
          </w:p>
        </w:tc>
        <w:tc>
          <w:tcPr>
            <w:tcW w:w="24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3440" w:type="dxa"/>
            <w:vAlign w:val="bottom"/>
          </w:tcPr>
          <w:p>
            <w:pPr>
              <w:jc w:val="center"/>
              <w:ind w:right="432"/>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2420" w:type="dxa"/>
            <w:vAlign w:val="bottom"/>
          </w:tcPr>
          <w:p>
            <w:pPr>
              <w:spacing w:after="0"/>
              <w:rPr>
                <w:sz w:val="18"/>
                <w:szCs w:val="18"/>
                <w:color w:val="auto"/>
              </w:rPr>
            </w:pPr>
          </w:p>
        </w:tc>
      </w:tr>
      <w:tr>
        <w:trPr>
          <w:trHeight w:val="238"/>
        </w:trPr>
        <w:tc>
          <w:tcPr>
            <w:tcW w:w="4000" w:type="dxa"/>
            <w:vAlign w:val="bottom"/>
          </w:tcPr>
          <w:p>
            <w:pPr>
              <w:spacing w:after="0"/>
              <w:rPr>
                <w:sz w:val="20"/>
                <w:szCs w:val="20"/>
                <w:color w:val="auto"/>
              </w:rPr>
            </w:pPr>
          </w:p>
        </w:tc>
        <w:tc>
          <w:tcPr>
            <w:tcW w:w="3440" w:type="dxa"/>
            <w:vAlign w:val="bottom"/>
          </w:tcPr>
          <w:p>
            <w:pPr>
              <w:jc w:val="center"/>
              <w:ind w:right="412"/>
              <w:spacing w:after="0"/>
              <w:rPr>
                <w:sz w:val="20"/>
                <w:szCs w:val="20"/>
                <w:color w:val="auto"/>
              </w:rPr>
            </w:pPr>
            <w:r>
              <w:rPr>
                <w:rFonts w:ascii="Times New Roman" w:cs="Times New Roman" w:eastAsia="Times New Roman" w:hAnsi="Times New Roman"/>
                <w:sz w:val="18"/>
                <w:szCs w:val="18"/>
                <w:b w:val="1"/>
                <w:bCs w:val="1"/>
                <w:color w:val="auto"/>
                <w:w w:val="99"/>
              </w:rPr>
              <w:t>Tel: +44 (1223) 400 400</w:t>
            </w:r>
          </w:p>
        </w:tc>
        <w:tc>
          <w:tcPr>
            <w:tcW w:w="2420" w:type="dxa"/>
            <w:vAlign w:val="bottom"/>
          </w:tcPr>
          <w:p>
            <w:pPr>
              <w:spacing w:after="0"/>
              <w:rPr>
                <w:sz w:val="20"/>
                <w:szCs w:val="20"/>
                <w:color w:val="auto"/>
              </w:rPr>
            </w:pPr>
          </w:p>
        </w:tc>
      </w:tr>
    </w:tbl>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to indicate the rule pursuant to which this form is being submitted, and provide the period to which the information in this Form applies:</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80" w:type="dxa"/>
            <w:vAlign w:val="bottom"/>
            <w:vMerge w:val="restart"/>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Rule 13p-1 under the Securities Exchange Act (17</w:t>
            </w:r>
          </w:p>
        </w:tc>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CFR 240.13p-1) for the reporting period from January 1 to December 31,</w:t>
            </w:r>
          </w:p>
        </w:tc>
        <w:tc>
          <w:tcPr>
            <w:tcW w:w="0" w:type="dxa"/>
            <w:vAlign w:val="bottom"/>
          </w:tcPr>
          <w:p>
            <w:pPr>
              <w:spacing w:after="0"/>
              <w:rPr>
                <w:sz w:val="1"/>
                <w:szCs w:val="1"/>
                <w:color w:val="auto"/>
              </w:rPr>
            </w:pPr>
          </w:p>
        </w:tc>
      </w:tr>
      <w:tr>
        <w:trPr>
          <w:trHeight w:val="162"/>
        </w:trPr>
        <w:tc>
          <w:tcPr>
            <w:tcW w:w="1780" w:type="dxa"/>
            <w:vAlign w:val="bottom"/>
            <w:vMerge w:val="continue"/>
          </w:tcPr>
          <w:p>
            <w:pPr>
              <w:spacing w:after="0"/>
              <w:rPr>
                <w:sz w:val="14"/>
                <w:szCs w:val="14"/>
                <w:color w:val="auto"/>
              </w:rPr>
            </w:pPr>
          </w:p>
        </w:tc>
        <w:tc>
          <w:tcPr>
            <w:tcW w:w="39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2025.</w:t>
            </w:r>
          </w:p>
        </w:tc>
        <w:tc>
          <w:tcPr>
            <w:tcW w:w="5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39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Rule 13q-1 under the Securities Exchange Act (17</w:t>
            </w:r>
          </w:p>
        </w:tc>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CFR 240.13q-1) for the fiscal year ended ____.</w:t>
            </w:r>
          </w:p>
        </w:tc>
        <w:tc>
          <w:tcPr>
            <w:tcW w:w="0" w:type="dxa"/>
            <w:vAlign w:val="bottom"/>
          </w:tcPr>
          <w:p>
            <w:pPr>
              <w:spacing w:after="0"/>
              <w:rPr>
                <w:sz w:val="1"/>
                <w:szCs w:val="1"/>
                <w:color w:val="auto"/>
              </w:rPr>
            </w:pPr>
          </w:p>
        </w:tc>
      </w:tr>
      <w:tr>
        <w:trPr>
          <w:trHeight w:val="1048"/>
        </w:trPr>
        <w:tc>
          <w:tcPr>
            <w:tcW w:w="17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78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5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231F20"/>
        </w:rPr>
        <w:t>Section 1 - Conflict Minerals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1.01 Conflict Minerals Disclosure and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3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Arm Holdings plc (“Arm” or the “Company”) is a global leader in the semiconductor industry. The Company’s principal operations and activities are the licensing, marketing, research and development of central processing unit intellectual property (“IP”), graphics processing unit IP, systems IP, compute subsystems and associated software, tools and other related services. This Form SD is filed pursuant to Rule 13p-1 under the Securities Exchange Act of 1934, as amended, for the reporting period from January 1, 2025 to December 31, 2025 (the “Reporting Period”).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Arm’s core business during the Reporting Period does not involve the manufacturing of physical products (either itself or by contracting third party manufacturers), Arm did contract for manufacture a small number of development boards, some of which are sold to customers. It was determined that for the Reporting Period, certain Conflict Minerals (as defined in Item 1.01(d)(3) of Form SD) were necessary to the functionality and/or production of the products that Arm manufactured or contracted to manufacture. Based on a reasonable country of origin inquiry (described below), the Company has no reason to believe that such Conflict Minerals originated in the Democratic Republic of the Congo or an adjoining country sharing an internationally recognized border with the Democratic Republic of the Congo (together, the “Covered Countries”) for the Reporting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in the Company’s “Supplier Code of Conduct”, which is available at www.arm.com, the Company is committed to operating transparently with the highest ethical standards. Arm requires all suppliers to adhere to applicable legal requirements in relation to “conflict minerals,” including tin, tantalum, tungsten, ores and gold originating from conflict areas and requires that each supplier ensure compliance with such laws.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undertook a reasonable country of origin inquiry by performing internal checks to ascertain the presence and origin of any Conflict Minerals in each part used in the development boards noted above. The Company's suppliers also perform their own Conflict Minerals due diligence with respect to the materials they source. None of the results of these checks implicated any of the Covered Countries as the country of origin for any Conflict Minerals used by the Company in products that it manufactured or contracted to manufacture during the Reporting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above, Arm's approach to conflict minerals includes:</w:t>
      </w:r>
    </w:p>
    <w:p>
      <w:pPr>
        <w:spacing w:after="0" w:line="225" w:lineRule="exact"/>
        <w:rPr>
          <w:sz w:val="20"/>
          <w:szCs w:val="20"/>
          <w:color w:val="auto"/>
        </w:rPr>
      </w:pPr>
    </w:p>
    <w:p>
      <w:pPr>
        <w:ind w:left="1300" w:hanging="320"/>
        <w:spacing w:after="0" w:line="282"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and sourcing components made by reputable original equipment manufacturers or their official distributors (referred to herein as “suppliers”) with conflict minerals policies;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conflict minerals policy statements from all of its suppliers;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purchasing components from the “black” or “grey” market;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a small number of contract manufacturers with whom Arm has a long-standing relationship and who have a conflict minerals policies consistent with Arm’s own policy.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Arm identified the suppliers of the components incorporated in the products that Arm contracted for manufacture during the Reporting Period and confirmed it was in receipt of conflict minerals policy statements from all such suppliers. Based on a review of such policy statements, Arm believes that the conflict minerals policies of those suppliers for which Arm has received policy statements are consistent with Arm’s own policy and seek to eliminate conflict minerals that originate in the Democratic Republic of Congo or any adjoining countries from the supply chain.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Conflict Minerals Disclosure is available on the Company’s website at www.arm.com. The information on the Company's website is not, and will not be deemed to be, a part of this report or incorporated into any of the Company's other filings with the Securities and Exchange Commission except where the Company expressly incorporates such information.</w:t>
      </w:r>
    </w:p>
    <w:p>
      <w:pPr>
        <w:sectPr>
          <w:pgSz w:w="11900" w:h="16838" w:orient="portrait"/>
          <w:cols w:equalWidth="0" w:num="1">
            <w:col w:w="11240"/>
          </w:cols>
          <w:pgMar w:left="320" w:top="1418"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May 26, 2026</w:t>
      </w:r>
    </w:p>
    <w:p>
      <w:pPr>
        <w:spacing w:after="0" w:line="3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b w:val="1"/>
          <w:bCs w:val="1"/>
          <w:color w:val="auto"/>
        </w:rPr>
        <w:t>ARM HOLDINGS PLC</w:t>
      </w:r>
    </w:p>
    <w:p>
      <w:pPr>
        <w:spacing w:after="0" w:line="3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By: /s/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21590</wp:posOffset>
            </wp:positionV>
            <wp:extent cx="2391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Jason Child</w:t>
      </w:r>
    </w:p>
    <w:p>
      <w:pPr>
        <w:spacing w:after="0" w:line="4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Executive Vice President and Chief Financial</w:t>
      </w:r>
    </w:p>
    <w:p>
      <w:pPr>
        <w:spacing w:after="0" w:line="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Officer</w:t>
      </w:r>
    </w:p>
    <w:sectPr>
      <w:pgSz w:w="11900" w:h="16838" w:orient="portrait"/>
      <w:cols w:equalWidth="0" w:num="1">
        <w:col w:w="10880"/>
      </w:cols>
      <w:pgMar w:left="320" w:top="1409"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2026-05-26T15:49:52Z</dcterms:created>
  <dcterms:modified xsi:type="dcterms:W3CDTF">2026-05-26T15:49:52Z</dcterms:modified>
</cp:coreProperties>
</file>