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 PURSUANT TO RULE 13a-16 OR 15d-16 UNDER THE SECURITIES EXCHANGE ACT OF 1934</w:t>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month of May, 2026 </w:t>
      </w:r>
    </w:p>
    <w:p>
      <w:pPr>
        <w:pStyle w:val="TextBody"/>
        <w:bidi w:val="0"/>
        <w:spacing w:before="0" w:after="0"/>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001-41800 </w:t>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40"/>
        </w:rPr>
      </w:pPr>
      <w:r>
        <w:rPr>
          <w:rFonts w:ascii="Times New Roman;serif" w:hAnsi="Times New Roman;serif"/>
          <w:b/>
          <w:color w:val="000000"/>
          <w:sz w:val="40"/>
        </w:rPr>
        <w:t>Arm Holdings plc</w:t>
      </w:r>
    </w:p>
    <w:p>
      <w:pPr>
        <w:pStyle w:val="TextBody"/>
        <w:bidi w:val="0"/>
        <w:spacing w:before="100" w:after="283"/>
        <w:ind w:left="0" w:right="0" w:firstLine="720"/>
        <w:jc w:val="center"/>
        <w:rPr/>
      </w:pPr>
      <w:r>
        <w:rPr/>
      </w:r>
    </w:p>
    <w:tbl>
      <w:tblPr>
        <w:tblW w:w="3270" w:type="dxa"/>
        <w:jc w:val="center"/>
        <w:tblInd w:w="0" w:type="dxa"/>
        <w:tblLayout w:type="fixed"/>
        <w:tblCellMar>
          <w:top w:w="28" w:type="dxa"/>
          <w:left w:w="28" w:type="dxa"/>
          <w:bottom w:w="28" w:type="dxa"/>
          <w:right w:w="28" w:type="dxa"/>
        </w:tblCellMar>
      </w:tblPr>
      <w:tblGrid>
        <w:gridCol w:w="1045"/>
        <w:gridCol w:w="920"/>
        <w:gridCol w:w="1305"/>
      </w:tblGrid>
      <w:tr>
        <w:trPr/>
        <w:tc>
          <w:tcPr>
            <w:tcW w:w="104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110 Fulbourn Road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Cambridge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United Kingdom</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both"/>
        <w:rPr/>
      </w:pPr>
      <w:r>
        <w:rPr/>
      </w:r>
    </w:p>
    <w:tbl>
      <w:tblPr>
        <w:tblW w:w="5054" w:type="dxa"/>
        <w:jc w:val="left"/>
        <w:tblInd w:w="0" w:type="dxa"/>
        <w:tblLayout w:type="fixed"/>
        <w:tblCellMar>
          <w:top w:w="28" w:type="dxa"/>
          <w:left w:w="28" w:type="dxa"/>
          <w:bottom w:w="28" w:type="dxa"/>
          <w:right w:w="28" w:type="dxa"/>
        </w:tblCellMar>
      </w:tblPr>
      <w:tblGrid>
        <w:gridCol w:w="538"/>
        <w:gridCol w:w="472"/>
        <w:gridCol w:w="474"/>
        <w:gridCol w:w="1043"/>
        <w:gridCol w:w="1043"/>
        <w:gridCol w:w="148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fye26q431-marx26.htm">
              <w:r>
                <w:rPr>
                  <w:rStyle w:val="InternetLink"/>
                  <w:rFonts w:ascii="Times New Roman;serif" w:hAnsi="Times New Roman;serif"/>
                  <w:b w:val="false"/>
                  <w:color w:val="000080"/>
                  <w:sz w:val="20"/>
                </w:rPr>
                <w:t>Earnings Press Release</w:t>
              </w:r>
            </w:hyperlink>
            <w:r>
              <w:rPr>
                <w:rFonts w:ascii="Times New Roman;serif" w:hAnsi="Times New Roman;serif"/>
                <w:b w:val="false"/>
                <w:color w:val="000000"/>
                <w:sz w:val="20"/>
              </w:rPr>
              <w:t xml:space="preserve"> dated May 6, 2026</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2fye26q431-marx26.htm">
              <w:r>
                <w:rPr>
                  <w:rStyle w:val="InternetLink"/>
                  <w:rFonts w:ascii="Times New Roman;serif" w:hAnsi="Times New Roman;serif"/>
                  <w:b w:val="false"/>
                  <w:color w:val="000080"/>
                  <w:sz w:val="20"/>
                </w:rPr>
                <w:t xml:space="preserve">Shareholder Letter dated </w:t>
              </w:r>
            </w:hyperlink>
            <w:r>
              <w:rPr>
                <w:rFonts w:ascii="Times New Roman;serif" w:hAnsi="Times New Roman;serif"/>
                <w:b w:val="false"/>
                <w:color w:val="000000"/>
                <w:sz w:val="20"/>
              </w:rPr>
              <w:t>May 6,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231F20"/>
          <w:sz w:val="20"/>
        </w:rPr>
      </w:pPr>
      <w:r>
        <w:rPr>
          <w:rFonts w:ascii="Times New Roman;serif" w:hAnsi="Times New Roman;serif"/>
          <w:b/>
          <w:color w:val="231F20"/>
          <w:sz w:val="20"/>
        </w:rPr>
        <w:t>SIGNATURES</w:t>
      </w:r>
    </w:p>
    <w:p>
      <w:pPr>
        <w:pStyle w:val="TextBody"/>
        <w:bidi w:val="0"/>
        <w:spacing w:lineRule="auto" w:line="288" w:before="24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Pursuant to the requirements of the Securities Exchange Act of 1934, the registrant has duly caused this report to be signed on its behalf by the undersigned, thereunto duly authorized.</w:t>
      </w:r>
    </w:p>
    <w:tbl>
      <w:tblPr>
        <w:tblW w:w="5228" w:type="dxa"/>
        <w:jc w:val="left"/>
        <w:tblInd w:w="0" w:type="dxa"/>
        <w:tblLayout w:type="fixed"/>
        <w:tblCellMar>
          <w:top w:w="28" w:type="dxa"/>
          <w:left w:w="28" w:type="dxa"/>
          <w:bottom w:w="28" w:type="dxa"/>
          <w:right w:w="28" w:type="dxa"/>
        </w:tblCellMar>
      </w:tblPr>
      <w:tblGrid>
        <w:gridCol w:w="591"/>
        <w:gridCol w:w="520"/>
        <w:gridCol w:w="523"/>
        <w:gridCol w:w="328"/>
        <w:gridCol w:w="328"/>
        <w:gridCol w:w="328"/>
        <w:gridCol w:w="757"/>
        <w:gridCol w:w="757"/>
        <w:gridCol w:w="109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ARM HOLDINGS PLC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Laura Bartels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Laura Bartels</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Arm Holdings plc Reports Results for the Fourth Quarter and Fiscal Year Ended 2026</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color w:val="000000"/>
          <w:sz w:val="24"/>
        </w:rPr>
        <w:t>Cambridge, England, May 6, 2026:</w:t>
      </w:r>
      <w:r>
        <w:rPr>
          <w:color w:val="000000"/>
        </w:rPr>
        <w:t xml:space="preserve"> </w:t>
      </w:r>
      <w:r>
        <w:rPr>
          <w:rFonts w:ascii="Times New Roman;serif" w:hAnsi="Times New Roman;serif"/>
          <w:b w:val="false"/>
          <w:color w:val="000000"/>
          <w:sz w:val="24"/>
        </w:rPr>
        <w:t>Arm Holdings plc (NASDAQ: ARM), the company that is building the future of computing, has today published a letter to its shareholders containing the company’s results for its fourth quarter and fiscal year ended March 31, 2026. The letter is available on its investor relations website (https://investors.arm.com/financials/quarterly-annual-results). The shareholder letter will also be furnished to the Securities and Exchange Commission (SEC) on a Form 6-K and will be available on the SEC website at http://www.sec.gov.</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Arm will host an audio webcast to discuss its results at 14:00 PT / 17:00 ET / 22:00 BST today, May 6. The live webcast will be available at https://edge.media-server.com/mmc/p/parfpki9 and a replay will be at https://investors.arm.com/financials/quarterly-annual-results. </w: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About Arm </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Arm is the foundational platform for AI, delivering power-efficient, high-performance computing that touches 100 percent of the connected global population. To meet the insatiable demand for compute, Arm’s platform spans core IP, advanced compute subsystems and purpose-built silicon, giving the world’s leading technology companies the flexibility to design, build and deploy AI at scale. Arm has the world’s largest computing ecosystem, including over 22 million developers, and together we are building the future of AI on Arm.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1995-2026 Arm Limited.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lineRule="auto" w:line="256" w:before="0" w:after="0"/>
        <w:jc w:val="both"/>
        <w:rPr>
          <w:rFonts w:ascii="Times New Roman;serif" w:hAnsi="Times New Roman;serif"/>
          <w:b/>
          <w:i/>
          <w:color w:val="000000"/>
          <w:sz w:val="24"/>
        </w:rPr>
      </w:pPr>
      <w:r>
        <w:rPr>
          <w:rFonts w:ascii="Times New Roman;serif" w:hAnsi="Times New Roman;serif"/>
          <w:b/>
          <w:i/>
          <w:color w:val="000000"/>
          <w:sz w:val="24"/>
        </w:rPr>
        <w:t>Media</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Kristen Ray</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Kristen.Ray@arm.com</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i/>
          <w:color w:val="000000"/>
          <w:sz w:val="24"/>
        </w:rPr>
      </w:pPr>
      <w:r>
        <w:rPr>
          <w:rFonts w:ascii="Times New Roman;serif" w:hAnsi="Times New Roman;serif"/>
          <w:b/>
          <w:i/>
          <w:color w:val="000000"/>
          <w:sz w:val="24"/>
        </w:rPr>
        <w:t>Investors</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Arm Investor Relations</w:t>
      </w:r>
    </w:p>
    <w:p>
      <w:pPr>
        <w:pStyle w:val="TextBody"/>
        <w:bidi w:val="0"/>
        <w:spacing w:lineRule="auto" w:line="256"/>
        <w:jc w:val="both"/>
        <w:rPr>
          <w:rFonts w:ascii="Times New Roman;serif" w:hAnsi="Times New Roman;serif"/>
          <w:b w:val="false"/>
          <w:color w:val="000000"/>
          <w:sz w:val="24"/>
        </w:rPr>
      </w:pPr>
      <w:r>
        <w:rPr>
          <w:rFonts w:ascii="Times New Roman;serif" w:hAnsi="Times New Roman;serif"/>
          <w:b w:val="false"/>
          <w:color w:val="000000"/>
          <w:sz w:val="24"/>
        </w:rPr>
        <w:t>Investor.Relations@arm.com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drawing>
          <wp:inline distT="0" distB="0" distL="0" distR="0">
            <wp:extent cx="6057900" cy="7839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057900" cy="78390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6415"/>
                <wp:effectExtent l="0" t="0" r="0" b="0"/>
                <wp:wrapNone/>
                <wp:docPr id="5" name="Frame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48"/>
        <w:gridCol w:w="2710"/>
        <w:gridCol w:w="3847"/>
      </w:tblGrid>
      <w:tr>
        <w:trPr/>
        <w:tc>
          <w:tcPr>
            <w:tcW w:w="3648"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7FF"/>
              <w:left w:val="single" w:sz="8" w:space="0" w:color="0057FF"/>
              <w:right w:val="single" w:sz="8" w:space="0" w:color="0057FF"/>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Arm will be hosting a conference call via an audio webcast to discuss earnings at 14:00 Pacific Time (17:00 Eastern Time, 22:00 BST) on Wednesday, May 6, 2026. A replay of and a transcript of the call will be available the following day.</w:t>
            </w:r>
          </w:p>
        </w:tc>
      </w:tr>
      <w:tr>
        <w:trPr/>
        <w:tc>
          <w:tcPr>
            <w:tcW w:w="10205" w:type="dxa"/>
            <w:gridSpan w:val="3"/>
            <w:tcBorders>
              <w:left w:val="single" w:sz="8" w:space="0" w:color="0057FF"/>
              <w:bottom w:val="single" w:sz="8" w:space="0" w:color="0057FF"/>
              <w:right w:val="single" w:sz="8" w:space="0" w:color="0057FF"/>
            </w:tcBorders>
            <w:tcMar>
              <w:top w:w="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webcast and replay can be accessed at: https://edge.media-server.com/mmc/p/parfpki9</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57FF"/>
          <w:sz w:val="20"/>
        </w:rPr>
      </w:pPr>
      <w:r>
        <w:rPr>
          <w:rFonts w:ascii="Times New Roman;serif" w:hAnsi="Times New Roman;serif"/>
          <w:b/>
          <w:color w:val="0057FF"/>
          <w:sz w:val="20"/>
        </w:rPr>
        <w:t xml:space="preserve">Dear Shareholder,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Arm delivered record-breaking results this quarter and in fiscal 2026. We also launched the Arm AGI CPU, the first Arm-designed chip for the data center.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this quarter was a record $1.49 billion, our highest quarterly revenue ever and above the midpoint of our guidance. Licensing revenue grew 29% year-over-year to $819 million, driven by strong demand for the Arm platform. Royalty revenue grew 11% to $671 million, driven by growth across smartphones, Edge AI, Physical AI, and Cloud AI, where our data center royalty more than doubled year-over-year. This drove record non-GAAP EPS of $0.60, even as we continued to increase investment in R&amp;D.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full year, revenue reached a record $4.92 billion. Royalty revenue was $2.61 billion, up 21%, and licensing revenue was $2.31 billion, up 25%. Non-GAAP EPS was also a record at $1.77. Fiscal 2026 was our third consecutive year, since going public, of more than 20% revenue growth, demonstrating the strength of our business and the increasing relevance of Arm in the highest-growth areas of compute.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Building for the Agentic AI Era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Agentic AI is reshaping data center architecture. As AI inference workloads move from human-based queries to continuous, agent-driven workloads, CPUs are critical in managing the orchestration, data movement, memory, security, and workload coordination required by agentic AI. Data centers are expected to require more than 4x current CPU capacity per gigawatt as agentic AI scales, creating a market opportunity of more than $100 billion by 2030.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At our Arm Everywhere event last quarter, we introduced the Arm AGI CPU, our first production silicon product purpose-built for agentic AI. It will deliver more than 2x performance per rack compared with x86-based platforms, which allows the AI data center capital expenditure to be reduced by up to $10 billion per gigawat</w:t>
      </w:r>
      <w:r>
        <w:rPr>
          <w:rFonts w:ascii="Times New Roman;serif" w:hAnsi="Times New Roman;serif"/>
          <w:b w:val="false"/>
          <w:color w:val="000000"/>
          <w:sz w:val="18"/>
        </w:rPr>
        <w:t>t</w:t>
      </w:r>
      <w:r>
        <w:rPr>
          <w:rFonts w:ascii="Times New Roman;serif" w:hAnsi="Times New Roman;serif"/>
          <w:b w:val="false"/>
          <w:color w:val="000000"/>
          <w:sz w:val="16"/>
        </w:rPr>
        <w:t>*</w:t>
      </w:r>
      <w:r>
        <w:rPr>
          <w:rFonts w:ascii="Times New Roman;serif" w:hAnsi="Times New Roman;serif"/>
          <w:b w:val="false"/>
          <w:color w:val="000000"/>
          <w:sz w:val="20"/>
        </w:rPr>
        <w:t xml:space="preserve">. Meta is our lead partner and co-developer, working with us on a multi-generation roadmap to support personal superintelligence for more than 3 billion users.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Arm AGI CPU was driven by a clear customer need: a faster, more integrated way to deploy the Arm platform at data center scale. Customers can consume the Arm compute platform using IP, CSS and now silicon, while maintaining a common architecture and software ecosystem. IP and CSS remain the foundation of our royalty growth, while silicon adds a new growth vector and another way for customers to adopt Arm at scale. The industry response has been significant, with more than 50 leading companies supporting the expansion of the Arm compute platform into silicon, including AWS, Broadcom, Google Cloud, Marvell, Microsoft, Micron, NVIDIA, Oracle, Samsung, SK Hynix, and TSMC.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Arm AGI CPU: Customer Demand and Momentum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Customer response to Arm AGI CPU has been strong. We now have more than $2 billion of customer demand across fiscal 2027 and fiscal 2028, more than double what we stated at launch. We are on track towards our forecast of $15 billion in this business as stated at our Arm Everywhere event last quarter, and soon the data center will be Arm’s largest business. The direction is clear: customers want Arm at the center of the AI data center.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Demand is coming from several reinforcing areas.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First, CPU requirements are increasing by at least a factor of four as application workloads become more agent-driven. Second, enterprises want their workloads to be able to move seamlessly between the public cloud and private cloud to optimize performance, efficiency, data locality, and cost. Arm offers customers one architecture and one software ecosystem to scale across that model. For example, SAP will move core database and business application workloads to Arm, starting with AWS Graviton and expanding to run them on internal Arm AGI CPUs. Cloudflare will deploy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0855"/>
                <wp:effectExtent l="0" t="0" r="0" b="0"/>
                <wp:wrapNone/>
                <wp:docPr id="6" name="Frame5"/>
                <a:graphic xmlns:a="http://schemas.openxmlformats.org/drawingml/2006/main">
                  <a:graphicData uri="http://schemas.microsoft.com/office/word/2010/wordprocessingShape">
                    <wps:wsp>
                      <wps:cNvSpPr txBox="1"/>
                      <wps:spPr>
                        <a:xfrm>
                          <a:off x="0" y="0"/>
                          <a:ext cx="6480175" cy="4908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*Based on Arm internal estimates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*Based on Arm internal estimates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Arm across its global network to support traffic management, security, and AI inference closer to users. We have also secured design wins with key network infrastructure providers, including F5 and SK Telecom.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Finally, AI infrastructure needs CPUs and accelerators working together efficiently at scale. Many customers, including NVIDIA, Amazon, and Google are already integrating Arm-based CPUs as head nodes alongside accelerator-based systems. Cerebras, OpenAI, Positron, and Rebellions are among many that are doing the same with Arm AGI CPU. Verda, a European AI cloud provider, has recently announced they will deploy Arm AGI CPU for agentic AI orchestration. Commercial systems based on Arm AGI CPU are now available to order from Supermicro, Lenovo, Quanta, and ASRock.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Cloud Scale Driving Platform Adoption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momentum behind Arm AGI CPU builds on our existing scale in the cloud. Arm's market share of CPU compute now represents about 50% share among top hyperscalers, demonstrating that Arm is at scale in the data center.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That scale is increasingly driven by Arm Neoverse CSS. We are seeing higher core counts, higher ASPs per core, and growing unit volumes as hyperscalers design Arm deeper into their infrastructure. That is driving CSS-based royalty growth and reinforcing Arm’s position at the center of cloud AI infrastructure.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Google Cloud Next, Google announced its next-generation TPUs for the agentic era: TPU8t for training and TPU8i for inference. Both will replace x86 host processors with custom Arm-based Axion CPUs, which are up to 2x better performance-per-watt. As a result, the system-level performance improvements are significant; TPU 8t delivers up to 2.7x better training performance-per-dollar, and TPU 8i delivers up to 80% better inference performance-per-dollar versus their previous generation built on x86.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NVIDIA GTC, NVIDIA announced Vera, its next-generation Arm-based CPU purpose-built for agentic AI. Paired tightly with NVIDIA GPUs to maximize utilization, Vera delivers up to 50% faster performance and 2x higher efficiency than x86 CPUs and, in addition, is designed into a standalone rack integrating 256 Vera CPUs.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Microsoft continues to advance its Arm-based strategy with Cobalt CPUs, now deployed across a substantial portion of Azure regions and powering production workloads for customers such as Databricks, Siemens, and Snowflake. Microsoft is expanding supply to meet growing demand, reinforcing the role of Arm-based compute in scaling Azure infrastructure.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AWS recently reported that their custom silicon business, including Arm-based Graviton alongside Trainium and Nitro, is now running at more than $20 billion annually and growing triple digits year-over-year. Arm-based Graviton’s up to 40% better price performance versus x86 is a key driver of this, and enables more efficient scaling across AI cloud workloads. As a result, Anthropic is using Trainium alongside tens of millions of Arm-based Graviton cores for generative AI workloads. Custom silicon is becoming central to cloud economics, and Arm-based CPUs are a key part of that shift.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Scaling AI from Cloud to Edge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Arm’s opportunity extends well beyond the data center. AI is moving into every device and every physical system, and those systems need efficient, secure compute with software that scales. Arm already has the world’s broadest compute footprint. From phones and PCs to vehicles, factories, robots, cameras, sensors, and connected devices, AI workloads will run on Arm. With over 350 billion chips shipped and over 22 million developers, the Arm compute platform is the most comprehensive in history and we are positioned to bring AI from cloud infrastructure to the edge and the physical world with a common architecture and ecosystem.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 demonstrated the breadth of demand for Arm. Fiscal 2026 showed the strength and durability of our business model. And the launch of Arm AGI CPU marks a new chapter: expanding the Arm compute platform into production silicon while increasing our role in the AI infrastructure that will define the next decade of computing.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the technology, the ecosystem, customer demand, and the operating capability to execute. That is how we will continue to strengthen Arm’s position from cloud to edge — and build the future of AI on Arm. </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7" name="Frame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7"/>
        <w:gridCol w:w="2866"/>
        <w:gridCol w:w="4072"/>
      </w:tblGrid>
      <w:tr>
        <w:trPr/>
        <w:tc>
          <w:tcPr>
            <w:tcW w:w="3267"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7FF"/>
              <w:left w:val="single" w:sz="8" w:space="0" w:color="0057FF"/>
              <w:bottom w:val="single" w:sz="8" w:space="0" w:color="0057FF"/>
              <w:right w:val="single" w:sz="8" w:space="0" w:color="0057FF"/>
            </w:tcBorders>
            <w:tcMar>
              <w:top w:w="30" w:type="dxa"/>
              <w:bottom w:w="30" w:type="dxa"/>
            </w:tcMar>
            <w:vAlign w:val="center"/>
          </w:tcPr>
          <w:p>
            <w:pPr>
              <w:pStyle w:val="TableContents"/>
              <w:bidi w:val="0"/>
              <w:spacing w:lineRule="auto" w:line="288" w:before="0" w:after="0"/>
              <w:jc w:val="both"/>
              <w:rPr>
                <w:color w:val="000000"/>
              </w:rPr>
            </w:pPr>
            <w:r>
              <w:rPr>
                <w:color w:val="000000"/>
              </w:rPr>
              <w:t>“</w:t>
            </w:r>
            <w:r>
              <w:rPr>
                <w:rFonts w:ascii="Times New Roman;serif" w:hAnsi="Times New Roman;serif"/>
                <w:b w:val="false"/>
                <w:color w:val="000000"/>
                <w:sz w:val="20"/>
              </w:rPr>
              <w:t>Arm delivered a third consecutive year of more than 20% revenue growth, driven by strong demand for the Arm compute platform,” said Rene Haas, CEO. “As AI becomes more agentic, demand for Arm AGI CPU, Arm’s first data center chip, has exceeded expectations, reinforcing Arm as the compute platform for the AI era.”</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31F20"/>
          <w:sz w:val="20"/>
        </w:rPr>
      </w:pPr>
      <w:r>
        <w:rPr>
          <w:rFonts w:ascii="Times New Roman;serif" w:hAnsi="Times New Roman;serif"/>
          <w:b w:val="false"/>
          <w:color w:val="231F20"/>
          <w:sz w:val="20"/>
        </w:rPr>
        <w:t>Sincerely,</w:t>
      </w:r>
    </w:p>
    <w:p>
      <w:pPr>
        <w:pStyle w:val="TextBody"/>
        <w:bidi w:val="0"/>
        <w:spacing w:before="0" w:after="0"/>
        <w:jc w:val="both"/>
        <w:rPr/>
      </w:pPr>
      <w:r>
        <w:rPr/>
      </w:r>
    </w:p>
    <w:tbl>
      <w:tblPr>
        <w:tblW w:w="4742" w:type="dxa"/>
        <w:jc w:val="left"/>
        <w:tblInd w:w="0" w:type="dxa"/>
        <w:tblLayout w:type="fixed"/>
        <w:tblCellMar>
          <w:top w:w="28" w:type="dxa"/>
          <w:left w:w="28" w:type="dxa"/>
          <w:bottom w:w="28" w:type="dxa"/>
          <w:right w:w="28" w:type="dxa"/>
        </w:tblCellMar>
      </w:tblPr>
      <w:tblGrid>
        <w:gridCol w:w="895"/>
        <w:gridCol w:w="787"/>
        <w:gridCol w:w="794"/>
        <w:gridCol w:w="662"/>
        <w:gridCol w:w="662"/>
        <w:gridCol w:w="942"/>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Rene Haas, </w:t>
              <w:br/>
              <w:t>Chief Executive Officer</w:t>
            </w:r>
          </w:p>
        </w:tc>
        <w:tc>
          <w:tcPr>
            <w:tcW w:w="226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Jason Child, </w:t>
              <w:br/>
              <w:t>Chief Financial Officer</w:t>
            </w:r>
          </w:p>
        </w:tc>
      </w:tr>
      <w:tr>
        <w:trPr/>
        <w:tc>
          <w:tcPr>
            <w:tcW w:w="247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57FF"/>
                <w:sz w:val="20"/>
              </w:rPr>
            </w:pPr>
            <w:r>
              <w:rPr>
                <w:rFonts w:ascii="Times New Roman;serif" w:hAnsi="Times New Roman;serif"/>
                <w:b/>
                <w:color w:val="0057FF"/>
                <w:sz w:val="20"/>
              </w:rPr>
              <w:t>Investor Contact</w:t>
            </w:r>
          </w:p>
          <w:p>
            <w:pPr>
              <w:pStyle w:val="TableContents"/>
              <w:bidi w:val="0"/>
              <w:spacing w:lineRule="auto" w:line="268" w:before="0" w:after="0"/>
              <w:jc w:val="both"/>
              <w:rPr>
                <w:rFonts w:ascii="Times New Roman;serif" w:hAnsi="Times New Roman;serif"/>
                <w:b w:val="false"/>
                <w:color w:val="231F20"/>
                <w:sz w:val="20"/>
              </w:rPr>
            </w:pPr>
            <w:r>
              <w:rPr>
                <w:rFonts w:ascii="Times New Roman;serif" w:hAnsi="Times New Roman;serif"/>
                <w:b w:val="false"/>
                <w:color w:val="231F20"/>
                <w:sz w:val="20"/>
              </w:rPr>
              <w:t>Investor.Relations@arm.com</w:t>
            </w:r>
          </w:p>
        </w:tc>
        <w:tc>
          <w:tcPr>
            <w:tcW w:w="226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57FF"/>
                <w:sz w:val="20"/>
              </w:rPr>
            </w:pPr>
            <w:r>
              <w:rPr>
                <w:rFonts w:ascii="Times New Roman;serif" w:hAnsi="Times New Roman;serif"/>
                <w:b/>
                <w:color w:val="0057FF"/>
                <w:sz w:val="20"/>
              </w:rPr>
              <w:t xml:space="preserve">Media Contact </w:t>
            </w:r>
          </w:p>
          <w:p>
            <w:pPr>
              <w:pStyle w:val="TableContents"/>
              <w:bidi w:val="0"/>
              <w:spacing w:lineRule="auto" w:line="268" w:before="0" w:after="0"/>
              <w:jc w:val="both"/>
              <w:rPr>
                <w:rFonts w:ascii="Times New Roman;serif" w:hAnsi="Times New Roman;serif"/>
                <w:b w:val="false"/>
                <w:color w:val="231F20"/>
                <w:sz w:val="20"/>
              </w:rPr>
            </w:pPr>
            <w:r>
              <w:rPr>
                <w:rFonts w:ascii="Times New Roman;serif" w:hAnsi="Times New Roman;serif"/>
                <w:b w:val="false"/>
                <w:color w:val="231F20"/>
                <w:sz w:val="20"/>
              </w:rPr>
              <w:t>Global-PRteam@arm.com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8"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40"/>
        <w:jc w:val="both"/>
        <w:rPr>
          <w:rFonts w:ascii="Times New Roman;serif" w:hAnsi="Times New Roman;serif"/>
          <w:b/>
          <w:color w:val="0057FF"/>
          <w:sz w:val="20"/>
          <w:shd w:fill="FFFFFF" w:val="clear"/>
        </w:rPr>
      </w:pPr>
      <w:r>
        <w:rPr>
          <w:rFonts w:ascii="Times New Roman;serif" w:hAnsi="Times New Roman;serif"/>
          <w:b/>
          <w:color w:val="0057FF"/>
          <w:sz w:val="20"/>
          <w:shd w:fill="FFFFFF" w:val="clear"/>
        </w:rPr>
        <w:t>Q4 FYE26 Financial Overview</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Arm's Q4 results demonstrated strong year-over-year revenue growth. Total revenue increased 20% year-over-year to $1,490 million, representing another record quarter for revenue.</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 xml:space="preserve">Royalty revenue increased 11% year-over-year to </w:t>
      </w:r>
      <w:r>
        <w:rPr>
          <w:rFonts w:ascii="Times New Roman;serif" w:hAnsi="Times New Roman;serif"/>
          <w:b w:val="false"/>
          <w:color w:val="231F20"/>
          <w:sz w:val="20"/>
          <w:shd w:fill="FFFFFF" w:val="clear"/>
        </w:rPr>
        <w:t xml:space="preserve">$671 million, driven </w:t>
      </w:r>
      <w:r>
        <w:rPr>
          <w:rFonts w:ascii="Times New Roman;serif" w:hAnsi="Times New Roman;serif"/>
          <w:b w:val="false"/>
          <w:color w:val="000000"/>
          <w:sz w:val="20"/>
          <w:shd w:fill="FFFFFF" w:val="clear"/>
        </w:rPr>
        <w:t xml:space="preserve">by the </w:t>
      </w:r>
      <w:r>
        <w:rPr>
          <w:rFonts w:ascii="Times New Roman;serif" w:hAnsi="Times New Roman;serif"/>
          <w:b w:val="false"/>
          <w:color w:val="231F20"/>
          <w:sz w:val="20"/>
          <w:shd w:fill="FFFFFF" w:val="clear"/>
        </w:rPr>
        <w:t>c</w:t>
      </w:r>
      <w:r>
        <w:rPr>
          <w:rFonts w:ascii="Times New Roman;serif" w:hAnsi="Times New Roman;serif"/>
          <w:b w:val="false"/>
          <w:color w:val="000000"/>
          <w:sz w:val="20"/>
          <w:shd w:fill="FFFFFF" w:val="clear"/>
        </w:rPr>
        <w:t>ontinued adoption of Arm technology with higher royalty rates per chip, such as Armv9 architecture and Arm CSS, and increased deployment of Arm-based chips in data centers.</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License and other revenue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231F20"/>
          <w:sz w:val="20"/>
          <w:shd w:fill="FFFFFF" w:val="clear"/>
        </w:rPr>
        <w:t xml:space="preserve">29% year-over-year to </w:t>
      </w:r>
      <w:r>
        <w:rPr>
          <w:rFonts w:ascii="Times New Roman;serif" w:hAnsi="Times New Roman;serif"/>
          <w:b w:val="false"/>
          <w:color w:val="000000"/>
          <w:sz w:val="20"/>
          <w:shd w:fill="FFFFFF" w:val="clear"/>
        </w:rPr>
        <w:t>$819 million driven by</w:t>
      </w:r>
      <w:r>
        <w:rPr>
          <w:color w:val="231F20"/>
          <w:shd w:fill="FFFFFF" w:val="clear"/>
        </w:rPr>
        <w:t xml:space="preserve"> </w:t>
      </w:r>
      <w:r>
        <w:rPr>
          <w:rFonts w:ascii="Times New Roman;serif" w:hAnsi="Times New Roman;serif"/>
          <w:b w:val="false"/>
          <w:color w:val="231F20"/>
          <w:sz w:val="20"/>
          <w:shd w:fill="FFFFFF" w:val="clear"/>
        </w:rPr>
        <w:t>continued strong demand for Arm IP, as well as fluctuation in the timing and size of multiple high-value license agreements and contributions from backlog.</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Annualized contract value (ACV), a metric for normalized license and other revenue, increased 22% year-over-year to $1,660 million.</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Remaining performance obligations (RPO), a metric for unearned revenue and amounts to be invoiced and recognized in future periods, decreased 7% year-over-year to $2,071 million, impacted by improvements in the timing of revenue conversion.</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Arm Total Access licenses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231F20"/>
          <w:sz w:val="20"/>
          <w:shd w:fill="FFFFFF" w:val="clear"/>
        </w:rPr>
        <w:t xml:space="preserve">by </w:t>
      </w:r>
      <w:r>
        <w:rPr>
          <w:rFonts w:ascii="Times New Roman;serif" w:hAnsi="Times New Roman;serif"/>
          <w:b w:val="false"/>
          <w:color w:val="000000"/>
          <w:sz w:val="20"/>
          <w:shd w:fill="FFFFFF" w:val="clear"/>
        </w:rPr>
        <w:t>6</w:t>
      </w:r>
      <w:r>
        <w:rPr>
          <w:color w:val="231F20"/>
          <w:shd w:fill="FFFFFF" w:val="clear"/>
        </w:rPr>
        <w:t xml:space="preserve"> </w:t>
      </w:r>
      <w:r>
        <w:rPr>
          <w:rFonts w:ascii="Times New Roman;serif" w:hAnsi="Times New Roman;serif"/>
          <w:b w:val="false"/>
          <w:color w:val="231F20"/>
          <w:sz w:val="20"/>
          <w:shd w:fill="FFFFFF" w:val="clear"/>
        </w:rPr>
        <w:t xml:space="preserve">during the quarter to 56, including more than half of our top 30 customers. Arm Flexible Access customers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231F20"/>
          <w:sz w:val="20"/>
          <w:shd w:fill="FFFFFF" w:val="clear"/>
        </w:rPr>
        <w:t xml:space="preserve">by </w:t>
      </w:r>
      <w:r>
        <w:rPr>
          <w:rFonts w:ascii="Times New Roman;serif" w:hAnsi="Times New Roman;serif"/>
          <w:b w:val="false"/>
          <w:color w:val="000000"/>
          <w:sz w:val="20"/>
          <w:shd w:fill="FFFFFF" w:val="clear"/>
        </w:rPr>
        <w:t>11</w:t>
      </w:r>
      <w:r>
        <w:rPr>
          <w:color w:val="231F20"/>
          <w:shd w:fill="FFFFFF" w:val="clear"/>
        </w:rPr>
        <w:t xml:space="preserve"> </w:t>
      </w:r>
      <w:r>
        <w:rPr>
          <w:rFonts w:ascii="Times New Roman;serif" w:hAnsi="Times New Roman;serif"/>
          <w:b w:val="false"/>
          <w:color w:val="231F20"/>
          <w:sz w:val="20"/>
          <w:shd w:fill="FFFFFF" w:val="clear"/>
        </w:rPr>
        <w:t>during the quarter to 329.</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GAAP gross profit was $1,458 million, which equates to a GAAP gross margin of 97.9%. Non-GAAP gross profit was $1,465 million, which equates to a non-GAAP gross margin of 98.3%.</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operating expenses were $1,020 million. </w:t>
      </w:r>
      <w:r>
        <w:rPr>
          <w:rFonts w:ascii="Times New Roman;serif" w:hAnsi="Times New Roman;serif"/>
          <w:b w:val="false"/>
          <w:color w:val="000000"/>
          <w:sz w:val="20"/>
          <w:shd w:fill="FFFFFF" w:val="clear"/>
        </w:rPr>
        <w:t xml:space="preserve">Non-GAAP operating expenses were </w:t>
      </w:r>
      <w:r>
        <w:rPr>
          <w:rFonts w:ascii="Times New Roman;serif" w:hAnsi="Times New Roman;serif"/>
          <w:b w:val="false"/>
          <w:color w:val="231F20"/>
          <w:sz w:val="20"/>
          <w:shd w:fill="FFFFFF" w:val="clear"/>
        </w:rPr>
        <w:t xml:space="preserve">$734 million and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000000"/>
          <w:sz w:val="20"/>
          <w:shd w:fill="FFFFFF" w:val="clear"/>
        </w:rPr>
        <w:t>30%</w:t>
      </w:r>
      <w:r>
        <w:rPr>
          <w:color w:val="231F20"/>
          <w:shd w:fill="FFFFFF" w:val="clear"/>
        </w:rPr>
        <w:t xml:space="preserve"> </w:t>
      </w:r>
      <w:r>
        <w:rPr>
          <w:rFonts w:ascii="Times New Roman;serif" w:hAnsi="Times New Roman;serif"/>
          <w:b w:val="false"/>
          <w:color w:val="231F20"/>
          <w:sz w:val="20"/>
          <w:shd w:fill="FFFFFF" w:val="clear"/>
        </w:rPr>
        <w:t>year-over-year.</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research and development was </w:t>
      </w:r>
      <w:r>
        <w:rPr>
          <w:rFonts w:ascii="Times New Roman;serif" w:hAnsi="Times New Roman;serif"/>
          <w:b w:val="false"/>
          <w:color w:val="000000"/>
          <w:sz w:val="20"/>
          <w:shd w:fill="FFFFFF" w:val="clear"/>
        </w:rPr>
        <w:t xml:space="preserve">$698 million. Non-GAAP </w:t>
      </w:r>
      <w:r>
        <w:rPr>
          <w:rFonts w:ascii="Times New Roman;serif" w:hAnsi="Times New Roman;serif"/>
          <w:b w:val="false"/>
          <w:color w:val="231F20"/>
          <w:sz w:val="20"/>
          <w:shd w:fill="FFFFFF" w:val="clear"/>
        </w:rPr>
        <w:t>research and development</w:t>
      </w:r>
      <w:r>
        <w:rPr>
          <w:color w:val="000000"/>
          <w:shd w:fill="FFFFFF" w:val="clear"/>
        </w:rPr>
        <w:t xml:space="preserve"> </w:t>
      </w:r>
      <w:r>
        <w:rPr>
          <w:rFonts w:ascii="Times New Roman;serif" w:hAnsi="Times New Roman;serif"/>
          <w:b w:val="false"/>
          <w:color w:val="000000"/>
          <w:sz w:val="20"/>
          <w:shd w:fill="FFFFFF" w:val="clear"/>
        </w:rPr>
        <w:t>was $493 million and increased 33% year-over-year driven primarily by investment in engineering headcount and expenses.</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GAAP selling, general and administrative was $320 million</w:t>
      </w:r>
      <w:r>
        <w:rPr>
          <w:rFonts w:ascii="Times New Roman;serif" w:hAnsi="Times New Roman;serif"/>
          <w:b w:val="false"/>
          <w:color w:val="231F20"/>
          <w:sz w:val="20"/>
          <w:shd w:fill="FFFFFF" w:val="clear"/>
        </w:rPr>
        <w:t>. Non-</w:t>
      </w:r>
      <w:r>
        <w:rPr>
          <w:rFonts w:ascii="Times New Roman;serif" w:hAnsi="Times New Roman;serif"/>
          <w:b w:val="false"/>
          <w:color w:val="000000"/>
          <w:sz w:val="20"/>
          <w:shd w:fill="FFFFFF" w:val="clear"/>
        </w:rPr>
        <w:t>GAAP selling, general and administrative was $241 million</w:t>
      </w:r>
      <w:r>
        <w:rPr>
          <w:color w:val="231F20"/>
          <w:shd w:fill="FFFFFF" w:val="clear"/>
        </w:rPr>
        <w:t xml:space="preserve"> </w:t>
      </w:r>
      <w:r>
        <w:rPr>
          <w:rFonts w:ascii="Times New Roman;serif" w:hAnsi="Times New Roman;serif"/>
          <w:b w:val="false"/>
          <w:color w:val="231F20"/>
          <w:sz w:val="20"/>
          <w:shd w:fill="FFFFFF" w:val="clear"/>
        </w:rPr>
        <w:t xml:space="preserve">and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000000"/>
          <w:sz w:val="20"/>
          <w:shd w:fill="FFFFFF" w:val="clear"/>
        </w:rPr>
        <w:t>23%</w:t>
      </w:r>
      <w:r>
        <w:rPr>
          <w:color w:val="231F20"/>
          <w:shd w:fill="FFFFFF" w:val="clear"/>
        </w:rPr>
        <w:t xml:space="preserve"> </w:t>
      </w:r>
      <w:r>
        <w:rPr>
          <w:rFonts w:ascii="Times New Roman;serif" w:hAnsi="Times New Roman;serif"/>
          <w:b w:val="false"/>
          <w:color w:val="231F20"/>
          <w:sz w:val="20"/>
          <w:shd w:fill="FFFFFF" w:val="clear"/>
        </w:rPr>
        <w:t>year-over-year driven primarily by staff costs.</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operating income was $438 million. </w:t>
      </w:r>
      <w:r>
        <w:rPr>
          <w:rFonts w:ascii="Times New Roman;serif" w:hAnsi="Times New Roman;serif"/>
          <w:b w:val="false"/>
          <w:color w:val="000000"/>
          <w:sz w:val="20"/>
          <w:shd w:fill="FFFFFF" w:val="clear"/>
        </w:rPr>
        <w:t xml:space="preserve">Non-GAAP operating income was </w:t>
      </w:r>
      <w:r>
        <w:rPr>
          <w:rFonts w:ascii="Times New Roman;serif" w:hAnsi="Times New Roman;serif"/>
          <w:b w:val="false"/>
          <w:color w:val="231F20"/>
          <w:sz w:val="20"/>
          <w:shd w:fill="FFFFFF" w:val="clear"/>
        </w:rPr>
        <w:t>$731 million</w:t>
      </w:r>
      <w:r>
        <w:rPr>
          <w:rFonts w:ascii="Times New Roman;serif" w:hAnsi="Times New Roman;serif"/>
          <w:b w:val="false"/>
          <w:color w:val="000000"/>
          <w:sz w:val="20"/>
          <w:shd w:fill="FFFFFF" w:val="clear"/>
        </w:rPr>
        <w:t>.</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GAAP operating margin decreased to </w:t>
      </w:r>
      <w:r>
        <w:rPr>
          <w:rFonts w:ascii="Times New Roman;serif" w:hAnsi="Times New Roman;serif"/>
          <w:b w:val="false"/>
          <w:color w:val="231F20"/>
          <w:sz w:val="20"/>
          <w:shd w:fill="FFFFFF" w:val="clear"/>
        </w:rPr>
        <w:t>29.4%</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231F20"/>
          <w:sz w:val="20"/>
          <w:shd w:fill="FFFFFF" w:val="clear"/>
        </w:rPr>
        <w:t>33.0%</w:t>
      </w:r>
      <w:r>
        <w:rPr>
          <w:color w:val="000000"/>
          <w:shd w:fill="FFFFFF" w:val="clear"/>
        </w:rPr>
        <w:t xml:space="preserve"> </w:t>
      </w:r>
      <w:r>
        <w:rPr>
          <w:rFonts w:ascii="Times New Roman;serif" w:hAnsi="Times New Roman;serif"/>
          <w:b w:val="false"/>
          <w:color w:val="000000"/>
          <w:sz w:val="20"/>
          <w:shd w:fill="FFFFFF" w:val="clear"/>
        </w:rPr>
        <w:t>in the prior year period. Non-GAAP operating margin decreased to 49.1% from 52.8% in the same period a year ago.</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net income was $313 million and </w:t>
      </w:r>
      <w:r>
        <w:rPr>
          <w:rFonts w:ascii="Times New Roman;serif" w:hAnsi="Times New Roman;serif"/>
          <w:b w:val="false"/>
          <w:color w:val="000000"/>
          <w:sz w:val="20"/>
          <w:shd w:fill="FFFFFF" w:val="clear"/>
        </w:rPr>
        <w:t xml:space="preserve">GAAP </w:t>
      </w:r>
      <w:r>
        <w:rPr>
          <w:rFonts w:ascii="Times New Roman;serif" w:hAnsi="Times New Roman;serif"/>
          <w:b w:val="false"/>
          <w:color w:val="231F20"/>
          <w:sz w:val="20"/>
          <w:shd w:fill="FFFFFF" w:val="clear"/>
        </w:rPr>
        <w:t xml:space="preserve">fully diluted earnings per share ("EPS") was $0.29 compared with $0.20 in the same period a year ago. Non-GAAP net income was $641 million and non-GAAP fully diluted EPS was </w:t>
      </w:r>
      <w:r>
        <w:rPr>
          <w:rFonts w:ascii="Times New Roman;serif" w:hAnsi="Times New Roman;serif"/>
          <w:b w:val="false"/>
          <w:color w:val="000000"/>
          <w:sz w:val="20"/>
          <w:shd w:fill="FFFFFF" w:val="clear"/>
        </w:rPr>
        <w:t>$0.60</w:t>
      </w:r>
      <w:r>
        <w:rPr>
          <w:color w:val="231F20"/>
          <w:shd w:fill="FFFFFF" w:val="clear"/>
        </w:rPr>
        <w:t xml:space="preserve"> </w:t>
      </w:r>
      <w:r>
        <w:rPr>
          <w:rFonts w:ascii="Times New Roman;serif" w:hAnsi="Times New Roman;serif"/>
          <w:b w:val="false"/>
          <w:color w:val="231F20"/>
          <w:sz w:val="20"/>
          <w:shd w:fill="FFFFFF" w:val="clear"/>
        </w:rPr>
        <w:t xml:space="preserve">compared with </w:t>
      </w:r>
      <w:r>
        <w:rPr>
          <w:rFonts w:ascii="Times New Roman;serif" w:hAnsi="Times New Roman;serif"/>
          <w:b w:val="false"/>
          <w:color w:val="000000"/>
          <w:sz w:val="20"/>
          <w:shd w:fill="FFFFFF" w:val="clear"/>
        </w:rPr>
        <w:t>$0.55</w:t>
      </w:r>
      <w:r>
        <w:rPr>
          <w:color w:val="231F20"/>
          <w:shd w:fill="FFFFFF" w:val="clear"/>
        </w:rPr>
        <w:t xml:space="preserve"> </w:t>
      </w:r>
      <w:r>
        <w:rPr>
          <w:rFonts w:ascii="Times New Roman;serif" w:hAnsi="Times New Roman;serif"/>
          <w:b w:val="false"/>
          <w:color w:val="231F20"/>
          <w:sz w:val="20"/>
          <w:shd w:fill="FFFFFF" w:val="clear"/>
        </w:rPr>
        <w:t>in the same period a year ago.</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 xml:space="preserve">Operating cash flow was </w:t>
      </w:r>
      <w:r>
        <w:rPr>
          <w:rFonts w:ascii="Times New Roman;serif" w:hAnsi="Times New Roman;serif"/>
          <w:b w:val="false"/>
          <w:color w:val="231F20"/>
          <w:sz w:val="20"/>
          <w:shd w:fill="FFFFFF" w:val="clear"/>
        </w:rPr>
        <w:t>$260 million and non-GAAP f</w:t>
      </w:r>
      <w:r>
        <w:rPr>
          <w:rFonts w:ascii="Times New Roman;serif" w:hAnsi="Times New Roman;serif"/>
          <w:b w:val="false"/>
          <w:color w:val="000000"/>
          <w:sz w:val="20"/>
          <w:shd w:fill="FFFFFF" w:val="clear"/>
        </w:rPr>
        <w:t xml:space="preserve">ree cash flow (FCF) was </w:t>
      </w:r>
      <w:r>
        <w:rPr>
          <w:rFonts w:ascii="Times New Roman;serif" w:hAnsi="Times New Roman;serif"/>
          <w:b w:val="false"/>
          <w:color w:val="231F20"/>
          <w:sz w:val="20"/>
          <w:shd w:fill="FFFFFF" w:val="clear"/>
        </w:rPr>
        <w:t>$152 million.</w:t>
      </w:r>
    </w:p>
    <w:p>
      <w:pPr>
        <w:pStyle w:val="TextBody"/>
        <w:bidi w:val="0"/>
        <w:spacing w:lineRule="auto" w:line="288" w:before="60" w:after="24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Cash and cash equivalents and short-term investments totaled </w:t>
      </w:r>
      <w:r>
        <w:rPr>
          <w:rFonts w:ascii="Times New Roman;serif" w:hAnsi="Times New Roman;serif"/>
          <w:b w:val="false"/>
          <w:color w:val="000000"/>
          <w:sz w:val="20"/>
          <w:shd w:fill="FFFFFF" w:val="clear"/>
        </w:rPr>
        <w:t>$3,601 million</w:t>
      </w:r>
      <w:r>
        <w:rPr>
          <w:rFonts w:ascii="Times New Roman;serif" w:hAnsi="Times New Roman;serif"/>
          <w:b w:val="false"/>
          <w:color w:val="231F2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3051F2"/>
          <w:sz w:val="20"/>
          <w:shd w:fill="FFFFFF" w:val="clear"/>
        </w:rPr>
      </w:pPr>
      <w:r>
        <w:rPr>
          <w:rFonts w:ascii="Times New Roman;serif" w:hAnsi="Times New Roman;serif"/>
          <w:b/>
          <w:color w:val="3051F2"/>
          <w:sz w:val="20"/>
          <w:shd w:fill="FFFFFF" w:val="clear"/>
        </w:rPr>
        <w:t>Full Year Highlights</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Total revenue increased 23% year-over-year to a record $4,920 million.</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 xml:space="preserve">Royalty revenue increased 21% year-over-year to a record $2,613 million. </w:t>
      </w:r>
      <w:r>
        <w:rPr>
          <w:rFonts w:ascii="Times New Roman;serif" w:hAnsi="Times New Roman;serif"/>
          <w:b w:val="false"/>
          <w:color w:val="231F20"/>
          <w:sz w:val="20"/>
          <w:shd w:fill="FFFFFF" w:val="clear"/>
        </w:rPr>
        <w:t xml:space="preserve">License and other revenue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000000"/>
          <w:sz w:val="20"/>
          <w:shd w:fill="FFFFFF" w:val="clear"/>
        </w:rPr>
        <w:t>25%</w:t>
      </w:r>
      <w:r>
        <w:rPr>
          <w:color w:val="231F20"/>
          <w:shd w:fill="FFFFFF" w:val="clear"/>
        </w:rPr>
        <w:t xml:space="preserve"> </w:t>
      </w:r>
      <w:r>
        <w:rPr>
          <w:rFonts w:ascii="Times New Roman;serif" w:hAnsi="Times New Roman;serif"/>
          <w:b w:val="false"/>
          <w:color w:val="231F20"/>
          <w:sz w:val="20"/>
          <w:shd w:fill="FFFFFF" w:val="clear"/>
        </w:rPr>
        <w:t xml:space="preserve">year-over-year to a record </w:t>
      </w:r>
      <w:r>
        <w:rPr>
          <w:rFonts w:ascii="Times New Roman;serif" w:hAnsi="Times New Roman;serif"/>
          <w:b w:val="false"/>
          <w:color w:val="000000"/>
          <w:sz w:val="20"/>
          <w:shd w:fill="FFFFFF" w:val="clear"/>
        </w:rPr>
        <w:t>$2,307 million. Growth drivers were the same for the quarter and year.</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GAAP gross profit was $4,799 million, which equates to a GAAP gross margin of 97.5%. Non-GAAP gross profit was $4,832 million, which equates to a non-GAAP gross margin of 98.2%.</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operating expenses were </w:t>
      </w:r>
      <w:r>
        <w:rPr>
          <w:rFonts w:ascii="Times New Roman;serif" w:hAnsi="Times New Roman;serif"/>
          <w:b w:val="false"/>
          <w:color w:val="000000"/>
          <w:sz w:val="20"/>
          <w:shd w:fill="FFFFFF" w:val="clear"/>
        </w:rPr>
        <w:t>$3,899 million</w:t>
      </w:r>
      <w:r>
        <w:rPr>
          <w:rFonts w:ascii="Times New Roman;serif" w:hAnsi="Times New Roman;serif"/>
          <w:b w:val="false"/>
          <w:color w:val="231F20"/>
          <w:sz w:val="20"/>
          <w:shd w:fill="FFFFFF" w:val="clear"/>
        </w:rPr>
        <w:t xml:space="preserve">. </w:t>
      </w:r>
      <w:r>
        <w:rPr>
          <w:rFonts w:ascii="Times New Roman;serif" w:hAnsi="Times New Roman;serif"/>
          <w:b w:val="false"/>
          <w:color w:val="000000"/>
          <w:sz w:val="20"/>
          <w:shd w:fill="FFFFFF" w:val="clear"/>
        </w:rPr>
        <w:t>Non-GAAP operating expenses were $2,717 million</w:t>
      </w:r>
      <w:r>
        <w:rPr>
          <w:color w:val="231F20"/>
          <w:shd w:fill="FFFFFF" w:val="clear"/>
        </w:rPr>
        <w:t xml:space="preserve"> </w:t>
      </w:r>
      <w:r>
        <w:rPr>
          <w:rFonts w:ascii="Times New Roman;serif" w:hAnsi="Times New Roman;serif"/>
          <w:b w:val="false"/>
          <w:color w:val="231F20"/>
          <w:sz w:val="20"/>
          <w:shd w:fill="FFFFFF" w:val="clear"/>
        </w:rPr>
        <w:t xml:space="preserve">and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000000"/>
          <w:sz w:val="20"/>
          <w:shd w:fill="FFFFFF" w:val="clear"/>
        </w:rPr>
        <w:t>33%</w:t>
      </w:r>
      <w:r>
        <w:rPr>
          <w:color w:val="231F20"/>
          <w:shd w:fill="FFFFFF" w:val="clear"/>
        </w:rPr>
        <w:t xml:space="preserve"> </w:t>
      </w:r>
      <w:r>
        <w:rPr>
          <w:rFonts w:ascii="Times New Roman;serif" w:hAnsi="Times New Roman;serif"/>
          <w:b w:val="false"/>
          <w:color w:val="231F20"/>
          <w:sz w:val="20"/>
          <w:shd w:fill="FFFFFF" w:val="clear"/>
        </w:rPr>
        <w:t>year-over-year.</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231F20"/>
          <w:sz w:val="20"/>
          <w:shd w:fill="FFFFFF" w:val="clear"/>
        </w:rPr>
        <w:t xml:space="preserve">GAAP research and development was </w:t>
      </w:r>
      <w:r>
        <w:rPr>
          <w:rFonts w:ascii="Times New Roman;serif" w:hAnsi="Times New Roman;serif"/>
          <w:b w:val="false"/>
          <w:color w:val="000000"/>
          <w:sz w:val="20"/>
          <w:shd w:fill="FFFFFF" w:val="clear"/>
        </w:rPr>
        <w:t xml:space="preserve">$2,776 million. Non-GAAP </w:t>
      </w:r>
      <w:r>
        <w:rPr>
          <w:rFonts w:ascii="Times New Roman;serif" w:hAnsi="Times New Roman;serif"/>
          <w:b w:val="false"/>
          <w:color w:val="231F20"/>
          <w:sz w:val="20"/>
          <w:shd w:fill="FFFFFF" w:val="clear"/>
        </w:rPr>
        <w:t>research and development</w:t>
      </w:r>
      <w:r>
        <w:rPr>
          <w:color w:val="000000"/>
          <w:shd w:fill="FFFFFF" w:val="clear"/>
        </w:rPr>
        <w:t xml:space="preserve"> </w:t>
      </w:r>
      <w:r>
        <w:rPr>
          <w:rFonts w:ascii="Times New Roman;serif" w:hAnsi="Times New Roman;serif"/>
          <w:b w:val="false"/>
          <w:color w:val="000000"/>
          <w:sz w:val="20"/>
          <w:shd w:fill="FFFFFF" w:val="clear"/>
        </w:rPr>
        <w:t>was $1,911 million and increased 43%</w:t>
      </w:r>
      <w:r>
        <w:rPr>
          <w:color w:val="231F20"/>
          <w:shd w:fill="FFFFFF" w:val="clear"/>
        </w:rPr>
        <w:t xml:space="preserve"> </w:t>
      </w:r>
      <w:r>
        <w:rPr>
          <w:rFonts w:ascii="Times New Roman;serif" w:hAnsi="Times New Roman;serif"/>
          <w:b w:val="false"/>
          <w:color w:val="000000"/>
          <w:sz w:val="20"/>
          <w:shd w:fill="FFFFFF" w:val="clear"/>
        </w:rPr>
        <w:t>year-over-year. GAAP selling, general and administrative was $1,115m</w:t>
      </w:r>
      <w:r>
        <w:rPr>
          <w:rFonts w:ascii="Times New Roman;serif" w:hAnsi="Times New Roman;serif"/>
          <w:b w:val="false"/>
          <w:color w:val="231F20"/>
          <w:sz w:val="20"/>
          <w:shd w:fill="FFFFFF" w:val="clear"/>
        </w:rPr>
        <w:t>. Non-</w:t>
      </w:r>
      <w:r>
        <w:rPr>
          <w:rFonts w:ascii="Times New Roman;serif" w:hAnsi="Times New Roman;serif"/>
          <w:b w:val="false"/>
          <w:color w:val="000000"/>
          <w:sz w:val="20"/>
          <w:shd w:fill="FFFFFF" w:val="clear"/>
        </w:rPr>
        <w:t>GAAP selling, general and administrative was $806 million</w:t>
      </w:r>
      <w:r>
        <w:rPr>
          <w:color w:val="231F20"/>
          <w:shd w:fill="FFFFFF" w:val="clear"/>
        </w:rPr>
        <w:t xml:space="preserve"> </w:t>
      </w:r>
      <w:r>
        <w:rPr>
          <w:rFonts w:ascii="Times New Roman;serif" w:hAnsi="Times New Roman;serif"/>
          <w:b w:val="false"/>
          <w:color w:val="231F20"/>
          <w:sz w:val="20"/>
          <w:shd w:fill="FFFFFF" w:val="clear"/>
        </w:rPr>
        <w:t xml:space="preserve">and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000000"/>
          <w:sz w:val="20"/>
          <w:shd w:fill="FFFFFF" w:val="clear"/>
        </w:rPr>
        <w:t>14%</w:t>
      </w:r>
      <w:r>
        <w:rPr>
          <w:color w:val="231F20"/>
          <w:shd w:fill="FFFFFF" w:val="clear"/>
        </w:rPr>
        <w:t xml:space="preserve"> </w:t>
      </w:r>
      <w:r>
        <w:rPr>
          <w:rFonts w:ascii="Times New Roman;serif" w:hAnsi="Times New Roman;serif"/>
          <w:b w:val="false"/>
          <w:color w:val="231F20"/>
          <w:sz w:val="20"/>
          <w:shd w:fill="FFFFFF" w:val="clear"/>
        </w:rPr>
        <w:t>year-over-year. Growth drivers were the same for the quarter and year.</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operating income was </w:t>
      </w:r>
      <w:r>
        <w:rPr>
          <w:rFonts w:ascii="Times New Roman;serif" w:hAnsi="Times New Roman;serif"/>
          <w:b w:val="false"/>
          <w:color w:val="000000"/>
          <w:sz w:val="20"/>
          <w:shd w:fill="FFFFFF" w:val="clear"/>
        </w:rPr>
        <w:t>$900 million</w:t>
      </w:r>
      <w:r>
        <w:rPr>
          <w:rFonts w:ascii="Times New Roman;serif" w:hAnsi="Times New Roman;serif"/>
          <w:b w:val="false"/>
          <w:color w:val="231F20"/>
          <w:sz w:val="20"/>
          <w:shd w:fill="FFFFFF" w:val="clear"/>
        </w:rPr>
        <w:t xml:space="preserve">. </w:t>
      </w:r>
      <w:r>
        <w:rPr>
          <w:rFonts w:ascii="Times New Roman;serif" w:hAnsi="Times New Roman;serif"/>
          <w:b w:val="false"/>
          <w:color w:val="000000"/>
          <w:sz w:val="20"/>
          <w:shd w:fill="FFFFFF" w:val="clear"/>
        </w:rPr>
        <w:t>Non-GAAP operating income was $2,115 million.</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6415"/>
                <wp:effectExtent l="0" t="0" r="0" b="0"/>
                <wp:wrapNone/>
                <wp:docPr id="9" name="Frame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GAAP operating margin decreased to 18.3% from 20.7% in the prior year. Non-GAAP operating margin decreased to 43.0% from 46.7% in the same period a year ago.</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fully diluted EPS was </w:t>
      </w:r>
      <w:r>
        <w:rPr>
          <w:rFonts w:ascii="Times New Roman;serif" w:hAnsi="Times New Roman;serif"/>
          <w:b w:val="false"/>
          <w:color w:val="000000"/>
          <w:sz w:val="20"/>
          <w:shd w:fill="FFFFFF" w:val="clear"/>
        </w:rPr>
        <w:t>$0.85</w:t>
      </w:r>
      <w:r>
        <w:rPr>
          <w:color w:val="231F20"/>
          <w:shd w:fill="FFFFFF" w:val="clear"/>
        </w:rPr>
        <w:t xml:space="preserve"> </w:t>
      </w:r>
      <w:r>
        <w:rPr>
          <w:rFonts w:ascii="Times New Roman;serif" w:hAnsi="Times New Roman;serif"/>
          <w:b w:val="false"/>
          <w:color w:val="231F20"/>
          <w:sz w:val="20"/>
          <w:shd w:fill="FFFFFF" w:val="clear"/>
        </w:rPr>
        <w:t xml:space="preserve">compared with </w:t>
      </w:r>
      <w:r>
        <w:rPr>
          <w:rFonts w:ascii="Times New Roman;serif" w:hAnsi="Times New Roman;serif"/>
          <w:b w:val="false"/>
          <w:color w:val="000000"/>
          <w:sz w:val="20"/>
          <w:shd w:fill="FFFFFF" w:val="clear"/>
        </w:rPr>
        <w:t>$0.75</w:t>
      </w:r>
      <w:r>
        <w:rPr>
          <w:color w:val="231F20"/>
          <w:shd w:fill="FFFFFF" w:val="clear"/>
        </w:rPr>
        <w:t xml:space="preserve"> </w:t>
      </w:r>
      <w:r>
        <w:rPr>
          <w:rFonts w:ascii="Times New Roman;serif" w:hAnsi="Times New Roman;serif"/>
          <w:b w:val="false"/>
          <w:color w:val="231F20"/>
          <w:sz w:val="20"/>
          <w:shd w:fill="FFFFFF" w:val="clear"/>
        </w:rPr>
        <w:t xml:space="preserve">in the same period a year ago. Non-GAAP fully diluted EPS was </w:t>
      </w:r>
      <w:r>
        <w:rPr>
          <w:rFonts w:ascii="Times New Roman;serif" w:hAnsi="Times New Roman;serif"/>
          <w:b w:val="false"/>
          <w:color w:val="000000"/>
          <w:sz w:val="20"/>
          <w:shd w:fill="FFFFFF" w:val="clear"/>
        </w:rPr>
        <w:t xml:space="preserve">$1.77 </w:t>
      </w:r>
      <w:r>
        <w:rPr>
          <w:rFonts w:ascii="Times New Roman;serif" w:hAnsi="Times New Roman;serif"/>
          <w:b w:val="false"/>
          <w:color w:val="231F20"/>
          <w:sz w:val="20"/>
          <w:shd w:fill="FFFFFF" w:val="clear"/>
        </w:rPr>
        <w:t xml:space="preserve">compared with </w:t>
      </w:r>
      <w:r>
        <w:rPr>
          <w:rFonts w:ascii="Times New Roman;serif" w:hAnsi="Times New Roman;serif"/>
          <w:b w:val="false"/>
          <w:color w:val="000000"/>
          <w:sz w:val="20"/>
          <w:shd w:fill="FFFFFF" w:val="clear"/>
        </w:rPr>
        <w:t>$1.63</w:t>
      </w:r>
      <w:r>
        <w:rPr>
          <w:color w:val="231F20"/>
          <w:shd w:fill="FFFFFF" w:val="clear"/>
        </w:rPr>
        <w:t xml:space="preserve"> </w:t>
      </w:r>
      <w:r>
        <w:rPr>
          <w:rFonts w:ascii="Times New Roman;serif" w:hAnsi="Times New Roman;serif"/>
          <w:b w:val="false"/>
          <w:color w:val="231F20"/>
          <w:sz w:val="20"/>
          <w:shd w:fill="FFFFFF" w:val="clear"/>
        </w:rPr>
        <w:t>in the same period a year ago.</w:t>
      </w:r>
    </w:p>
    <w:p>
      <w:pPr>
        <w:pStyle w:val="TextBody"/>
        <w:bidi w:val="0"/>
        <w:spacing w:lineRule="auto" w:line="288" w:before="60" w:after="24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Operating cash flow was $1,524 million and Non-GAAP FCF was $882 million, up from $99 million in the same period a year ago, benefiting from improvements in working capital in revenue accounts and the timing of tax payments, partially offset by increased investment in PP&amp;E.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57FF"/>
          <w:sz w:val="20"/>
          <w:shd w:fill="FFFFFF" w:val="clear"/>
        </w:rPr>
      </w:pPr>
      <w:r>
        <w:rPr>
          <w:rFonts w:ascii="Times New Roman;serif" w:hAnsi="Times New Roman;serif"/>
          <w:b/>
          <w:color w:val="0057FF"/>
          <w:sz w:val="20"/>
          <w:shd w:fill="FFFFFF" w:val="clear"/>
        </w:rPr>
        <w:t>Guidance and Results</w:t>
      </w:r>
    </w:p>
    <w:p>
      <w:pPr>
        <w:pStyle w:val="TextBody"/>
        <w:bidi w:val="0"/>
        <w:spacing w:before="0" w:after="0"/>
        <w:jc w:val="both"/>
        <w:rPr/>
      </w:pPr>
      <w:r>
        <w:rPr/>
      </w:r>
    </w:p>
    <w:tbl>
      <w:tblPr>
        <w:tblW w:w="8090" w:type="dxa"/>
        <w:jc w:val="left"/>
        <w:tblInd w:w="0" w:type="dxa"/>
        <w:tblLayout w:type="fixed"/>
        <w:tblCellMar>
          <w:top w:w="28" w:type="dxa"/>
          <w:left w:w="28" w:type="dxa"/>
          <w:bottom w:w="28" w:type="dxa"/>
          <w:right w:w="28" w:type="dxa"/>
        </w:tblCellMar>
      </w:tblPr>
      <w:tblGrid>
        <w:gridCol w:w="1380"/>
        <w:gridCol w:w="1214"/>
        <w:gridCol w:w="1221"/>
        <w:gridCol w:w="555"/>
        <w:gridCol w:w="555"/>
        <w:gridCol w:w="555"/>
        <w:gridCol w:w="334"/>
        <w:gridCol w:w="334"/>
        <w:gridCol w:w="337"/>
        <w:gridCol w:w="470"/>
        <w:gridCol w:w="470"/>
        <w:gridCol w:w="665"/>
      </w:tblGrid>
      <w:tr>
        <w:trPr/>
        <w:tc>
          <w:tcPr>
            <w:tcW w:w="138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top w:val="single" w:sz="8" w:space="0" w:color="000000"/>
              <w:left w:val="single" w:sz="8" w:space="0" w:color="000000"/>
              <w:bottom w:val="single" w:sz="8" w:space="0" w:color="000000"/>
            </w:tcBorders>
            <w:shd w:fill="0057FF" w:val="clear"/>
            <w:tcMar>
              <w:top w:w="30" w:type="dxa"/>
              <w:bottom w:w="30" w:type="dxa"/>
              <w:right w:w="0" w:type="dxa"/>
            </w:tcMar>
            <w:vAlign w:val="center"/>
          </w:tcPr>
          <w:p>
            <w:pPr>
              <w:pStyle w:val="TableContents"/>
              <w:bidi w:val="0"/>
              <w:spacing w:lineRule="auto" w:line="240" w:before="0" w:after="283"/>
              <w:ind w:left="0" w:right="0" w:firstLine="1"/>
              <w:jc w:val="left"/>
              <w:rPr>
                <w:color w:val="FFFFFF"/>
              </w:rPr>
            </w:pPr>
            <w:r>
              <w:rPr>
                <w:color w:val="FFFFFF"/>
              </w:rPr>
              <w:t> </w:t>
            </w:r>
            <w:r>
              <w:rPr>
                <w:rFonts w:ascii="Times New Roman;serif" w:hAnsi="Times New Roman;serif"/>
                <w:b/>
                <w:color w:val="FFFFFF"/>
                <w:sz w:val="20"/>
              </w:rPr>
              <w:t>Quarterly Guidance &amp; Results</w:t>
            </w:r>
          </w:p>
        </w:tc>
        <w:tc>
          <w:tcPr>
            <w:tcW w:w="1665" w:type="dxa"/>
            <w:gridSpan w:val="3"/>
            <w:tcBorders>
              <w:top w:val="single" w:sz="8" w:space="0" w:color="000000"/>
              <w:left w:val="single" w:sz="8" w:space="0" w:color="000000"/>
              <w:bottom w:val="single" w:sz="8" w:space="0" w:color="000000"/>
            </w:tcBorders>
            <w:shd w:fill="0057FF" w:val="clear"/>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FFFFFF"/>
                <w:sz w:val="20"/>
              </w:rPr>
            </w:pPr>
            <w:r>
              <w:rPr>
                <w:rFonts w:ascii="Times New Roman;serif" w:hAnsi="Times New Roman;serif"/>
                <w:b/>
                <w:color w:val="FFFFFF"/>
                <w:sz w:val="20"/>
              </w:rPr>
              <w:t>Q4 FYE26</w:t>
            </w:r>
          </w:p>
          <w:p>
            <w:pPr>
              <w:pStyle w:val="TableContents"/>
              <w:bidi w:val="0"/>
              <w:spacing w:lineRule="auto" w:line="268" w:before="0" w:after="0"/>
              <w:ind w:left="0" w:right="0" w:firstLine="128"/>
              <w:jc w:val="center"/>
              <w:rPr>
                <w:rFonts w:ascii="Times New Roman;serif" w:hAnsi="Times New Roman;serif"/>
                <w:b/>
                <w:color w:val="FFFFFF"/>
                <w:sz w:val="20"/>
              </w:rPr>
            </w:pPr>
            <w:r>
              <w:rPr>
                <w:rFonts w:ascii="Times New Roman;serif" w:hAnsi="Times New Roman;serif"/>
                <w:b/>
                <w:color w:val="FFFFFF"/>
                <w:sz w:val="20"/>
              </w:rPr>
              <w:t>Guidance</w:t>
            </w:r>
          </w:p>
        </w:tc>
        <w:tc>
          <w:tcPr>
            <w:tcW w:w="1005" w:type="dxa"/>
            <w:gridSpan w:val="3"/>
            <w:tcBorders>
              <w:top w:val="single" w:sz="8" w:space="0" w:color="000000"/>
              <w:left w:val="single" w:sz="8" w:space="0" w:color="000000"/>
              <w:bottom w:val="single" w:sz="8" w:space="0" w:color="000000"/>
            </w:tcBorders>
            <w:shd w:fill="0057FF" w:val="clear"/>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color w:val="FFFFFF"/>
                <w:sz w:val="20"/>
              </w:rPr>
            </w:pPr>
            <w:r>
              <w:rPr>
                <w:rFonts w:ascii="Times New Roman;serif" w:hAnsi="Times New Roman;serif"/>
                <w:b/>
                <w:color w:val="FFFFFF"/>
                <w:sz w:val="20"/>
              </w:rPr>
              <w:t>Q4 FYE26</w:t>
            </w:r>
          </w:p>
          <w:p>
            <w:pPr>
              <w:pStyle w:val="TableContents"/>
              <w:bidi w:val="0"/>
              <w:spacing w:lineRule="auto" w:line="268" w:before="0" w:after="0"/>
              <w:ind w:left="0" w:right="0" w:firstLine="1"/>
              <w:jc w:val="center"/>
              <w:rPr>
                <w:rFonts w:ascii="Times New Roman;serif" w:hAnsi="Times New Roman;serif"/>
                <w:b/>
                <w:color w:val="FFFFFF"/>
                <w:sz w:val="20"/>
              </w:rPr>
            </w:pPr>
            <w:r>
              <w:rPr>
                <w:rFonts w:ascii="Times New Roman;serif" w:hAnsi="Times New Roman;serif"/>
                <w:b/>
                <w:color w:val="FFFFFF"/>
                <w:sz w:val="20"/>
              </w:rPr>
              <w:t>Results</w:t>
            </w:r>
          </w:p>
        </w:tc>
        <w:tc>
          <w:tcPr>
            <w:tcW w:w="1605" w:type="dxa"/>
            <w:gridSpan w:val="3"/>
            <w:tcBorders>
              <w:top w:val="single" w:sz="8" w:space="0" w:color="000000"/>
              <w:left w:val="single" w:sz="8" w:space="0" w:color="000000"/>
              <w:bottom w:val="single" w:sz="8" w:space="0" w:color="000000"/>
              <w:right w:val="single" w:sz="8" w:space="0" w:color="000000"/>
            </w:tcBorders>
            <w:shd w:fill="0057FF" w:val="clear"/>
            <w:tcMar>
              <w:top w:w="30" w:type="dxa"/>
              <w:bottom w:w="30" w:type="dxa"/>
            </w:tcMar>
            <w:vAlign w:val="center"/>
          </w:tcPr>
          <w:p>
            <w:pPr>
              <w:pStyle w:val="TableContents"/>
              <w:bidi w:val="0"/>
              <w:spacing w:lineRule="auto" w:line="268" w:before="0" w:after="0"/>
              <w:jc w:val="center"/>
              <w:rPr>
                <w:rFonts w:ascii="Times New Roman;serif" w:hAnsi="Times New Roman;serif"/>
                <w:b/>
                <w:color w:val="FFFFFF"/>
                <w:sz w:val="20"/>
              </w:rPr>
            </w:pPr>
            <w:r>
              <w:rPr>
                <w:rFonts w:ascii="Times New Roman;serif" w:hAnsi="Times New Roman;serif"/>
                <w:b/>
                <w:color w:val="FFFFFF"/>
                <w:sz w:val="20"/>
              </w:rPr>
              <w:t>Q1 FYE27</w:t>
            </w:r>
          </w:p>
          <w:p>
            <w:pPr>
              <w:pStyle w:val="TableContents"/>
              <w:bidi w:val="0"/>
              <w:spacing w:lineRule="auto" w:line="268" w:before="0" w:after="0"/>
              <w:ind w:left="0" w:right="0" w:firstLine="80"/>
              <w:jc w:val="center"/>
              <w:rPr>
                <w:rFonts w:ascii="Times New Roman;serif" w:hAnsi="Times New Roman;serif"/>
                <w:b/>
                <w:color w:val="FFFFFF"/>
                <w:sz w:val="20"/>
              </w:rPr>
            </w:pPr>
            <w:r>
              <w:rPr>
                <w:rFonts w:ascii="Times New Roman;serif" w:hAnsi="Times New Roman;serif"/>
                <w:b/>
                <w:color w:val="FFFFFF"/>
                <w:sz w:val="20"/>
              </w:rPr>
              <w:t>Guidance</w:t>
            </w:r>
          </w:p>
        </w:tc>
      </w:tr>
      <w:tr>
        <w:trPr/>
        <w:tc>
          <w:tcPr>
            <w:tcW w:w="38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
              <w:jc w:val="left"/>
              <w:rPr>
                <w:rFonts w:ascii="Times New Roman;serif" w:hAnsi="Times New Roman;serif"/>
                <w:b w:val="false"/>
                <w:color w:val="333E48"/>
                <w:sz w:val="20"/>
              </w:rPr>
            </w:pPr>
            <w:r>
              <w:rPr>
                <w:rFonts w:ascii="Times New Roman;serif" w:hAnsi="Times New Roman;serif"/>
                <w:b w:val="false"/>
                <w:color w:val="333E48"/>
                <w:sz w:val="20"/>
              </w:rPr>
              <w:t>Revenue</w:t>
            </w:r>
          </w:p>
        </w:tc>
        <w:tc>
          <w:tcPr>
            <w:tcW w:w="16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$1.470bn +/- $50m</w:t>
            </w:r>
          </w:p>
        </w:tc>
        <w:tc>
          <w:tcPr>
            <w:tcW w:w="10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
              <w:jc w:val="center"/>
              <w:rPr>
                <w:rFonts w:ascii="Times New Roman;serif" w:hAnsi="Times New Roman;serif"/>
                <w:b w:val="false"/>
                <w:color w:val="231F20"/>
                <w:sz w:val="20"/>
              </w:rPr>
            </w:pPr>
            <w:r>
              <w:rPr>
                <w:rFonts w:ascii="Times New Roman;serif" w:hAnsi="Times New Roman;serif"/>
                <w:b w:val="false"/>
                <w:color w:val="231F20"/>
                <w:sz w:val="20"/>
              </w:rPr>
              <w:t>$1.490bn</w:t>
            </w:r>
          </w:p>
        </w:tc>
        <w:tc>
          <w:tcPr>
            <w:tcW w:w="16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$1.26bn +/- $50m</w:t>
            </w:r>
          </w:p>
        </w:tc>
      </w:tr>
      <w:tr>
        <w:trPr/>
        <w:tc>
          <w:tcPr>
            <w:tcW w:w="38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
              <w:jc w:val="left"/>
              <w:rPr/>
            </w:pPr>
            <w:r>
              <w:rPr>
                <w:rFonts w:ascii="Times New Roman;serif" w:hAnsi="Times New Roman;serif"/>
                <w:b w:val="false"/>
                <w:color w:val="231F20"/>
                <w:sz w:val="20"/>
              </w:rPr>
              <w:t>Non-GAAP operating expense</w:t>
            </w:r>
            <w:r>
              <w:rPr>
                <w:color w:val="231F20"/>
              </w:rPr>
              <w:t xml:space="preserve"> </w:t>
            </w:r>
            <w:r>
              <w:rPr>
                <w:rFonts w:ascii="Times New Roman;serif" w:hAnsi="Times New Roman;serif"/>
                <w:b w:val="false"/>
                <w:color w:val="231F20"/>
                <w:sz w:val="13"/>
              </w:rPr>
              <w:t>(1)</w:t>
            </w:r>
          </w:p>
        </w:tc>
        <w:tc>
          <w:tcPr>
            <w:tcW w:w="16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~$745m</w:t>
            </w:r>
          </w:p>
        </w:tc>
        <w:tc>
          <w:tcPr>
            <w:tcW w:w="10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1"/>
              <w:jc w:val="center"/>
              <w:rPr>
                <w:rFonts w:ascii="Times New Roman;serif" w:hAnsi="Times New Roman;serif"/>
                <w:b w:val="false"/>
                <w:color w:val="231F20"/>
                <w:sz w:val="20"/>
              </w:rPr>
            </w:pPr>
            <w:r>
              <w:rPr>
                <w:rFonts w:ascii="Times New Roman;serif" w:hAnsi="Times New Roman;serif"/>
                <w:b w:val="false"/>
                <w:color w:val="231F20"/>
                <w:sz w:val="20"/>
              </w:rPr>
              <w:t>$734m</w:t>
            </w:r>
          </w:p>
        </w:tc>
        <w:tc>
          <w:tcPr>
            <w:tcW w:w="16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~$760m</w:t>
            </w:r>
          </w:p>
        </w:tc>
      </w:tr>
      <w:tr>
        <w:trPr/>
        <w:tc>
          <w:tcPr>
            <w:tcW w:w="38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26" w:before="0" w:after="0"/>
              <w:ind w:left="0" w:right="0" w:firstLine="6"/>
              <w:jc w:val="left"/>
              <w:rPr/>
            </w:pPr>
            <w:r>
              <w:rPr>
                <w:rFonts w:ascii="Times New Roman;serif" w:hAnsi="Times New Roman;serif"/>
                <w:b w:val="false"/>
                <w:color w:val="231F20"/>
                <w:sz w:val="20"/>
              </w:rPr>
              <w:t xml:space="preserve">Non-GAAP fully diluted earnings per share </w:t>
            </w:r>
            <w:r>
              <w:rPr>
                <w:rFonts w:ascii="Times New Roman;serif" w:hAnsi="Times New Roman;serif"/>
                <w:b w:val="false"/>
                <w:color w:val="231F20"/>
                <w:sz w:val="13"/>
              </w:rPr>
              <w:t>(1)</w:t>
            </w:r>
          </w:p>
        </w:tc>
        <w:tc>
          <w:tcPr>
            <w:tcW w:w="16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128"/>
              <w:jc w:val="center"/>
              <w:rPr>
                <w:rFonts w:ascii="Times New Roman;serif" w:hAnsi="Times New Roman;serif"/>
                <w:b w:val="false"/>
                <w:color w:val="231F20"/>
                <w:sz w:val="20"/>
              </w:rPr>
            </w:pPr>
            <w:r>
              <w:rPr>
                <w:rFonts w:ascii="Times New Roman;serif" w:hAnsi="Times New Roman;serif"/>
                <w:b w:val="false"/>
                <w:color w:val="231F20"/>
                <w:sz w:val="20"/>
              </w:rPr>
              <w:t>$0.58 +/- $0.04</w:t>
            </w:r>
          </w:p>
        </w:tc>
        <w:tc>
          <w:tcPr>
            <w:tcW w:w="10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6"/>
              <w:jc w:val="center"/>
              <w:rPr>
                <w:rFonts w:ascii="Times New Roman;serif" w:hAnsi="Times New Roman;serif"/>
                <w:b w:val="false"/>
                <w:color w:val="231F20"/>
                <w:sz w:val="20"/>
              </w:rPr>
            </w:pPr>
            <w:r>
              <w:rPr>
                <w:rFonts w:ascii="Times New Roman;serif" w:hAnsi="Times New Roman;serif"/>
                <w:b w:val="false"/>
                <w:color w:val="231F20"/>
                <w:sz w:val="20"/>
              </w:rPr>
              <w:t>$0.60</w:t>
            </w:r>
          </w:p>
        </w:tc>
        <w:tc>
          <w:tcPr>
            <w:tcW w:w="16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$0.40 +/- $0.04</w:t>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2610" w:type="dxa"/>
            <w:gridSpan w:val="6"/>
            <w:tcBorders/>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2610" w:type="dxa"/>
            <w:gridSpan w:val="6"/>
            <w:tcBorders/>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2610" w:type="dxa"/>
            <w:gridSpan w:val="6"/>
            <w:tcBorders/>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2610"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For more information and definitions of the non-GAAP measures see the “Key Financial and Operating Metrics” section below. A reconciliation of each of the projected non-GAAP operating expense and non-GAAP fully diluted earnings per share, which are forward-looking non-GAAP financial measures, to the most directly comparable GAAP financial measure, is not provided because Arm is unable to provide such reconciliation without unreasonable effort. The inability to provide each reconciliation is due to the unpredictability of the amounts and timing of events affecting the items we exclude from the non-GAAP measure, which could potentially have a significant impact on our corresponding GAAP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6415"/>
                <wp:effectExtent l="0" t="0" r="0" b="0"/>
                <wp:wrapNone/>
                <wp:docPr id="10" name="Frame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57FF"/>
          <w:sz w:val="20"/>
        </w:rPr>
      </w:pPr>
      <w:r>
        <w:rPr>
          <w:rFonts w:ascii="Times New Roman;serif" w:hAnsi="Times New Roman;serif"/>
          <w:b/>
          <w:color w:val="0057FF"/>
          <w:sz w:val="20"/>
        </w:rPr>
        <w:t>Key Financial and Operating Metrics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the following key performance indicators and non-GAAP financial measures to analyze our business performance and financial forecasts and to develop strategic plans, which we believe provide useful information to investors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key financial and operating metrics for the three months ended March 31, 2026 (for year-to-date key financial metrics, see the "Condensed Consolidated Income Statements" and "GAAP to Non</w:t>
        <w:noBreakHyphen/>
        <w:t>GAAP Reconciliation" sections below):</w:t>
      </w:r>
    </w:p>
    <w:tbl>
      <w:tblPr>
        <w:tblW w:w="10205" w:type="dxa"/>
        <w:jc w:val="left"/>
        <w:tblInd w:w="0" w:type="dxa"/>
        <w:tblLayout w:type="fixed"/>
        <w:tblCellMar>
          <w:top w:w="28" w:type="dxa"/>
          <w:left w:w="28" w:type="dxa"/>
          <w:bottom w:w="28" w:type="dxa"/>
          <w:right w:w="28" w:type="dxa"/>
        </w:tblCellMar>
      </w:tblPr>
      <w:tblGrid>
        <w:gridCol w:w="1775"/>
        <w:gridCol w:w="1556"/>
        <w:gridCol w:w="1563"/>
        <w:gridCol w:w="333"/>
        <w:gridCol w:w="333"/>
        <w:gridCol w:w="335"/>
        <w:gridCol w:w="333"/>
        <w:gridCol w:w="333"/>
        <w:gridCol w:w="335"/>
        <w:gridCol w:w="209"/>
        <w:gridCol w:w="209"/>
        <w:gridCol w:w="209"/>
        <w:gridCol w:w="333"/>
        <w:gridCol w:w="333"/>
        <w:gridCol w:w="335"/>
        <w:gridCol w:w="333"/>
        <w:gridCol w:w="333"/>
        <w:gridCol w:w="335"/>
        <w:gridCol w:w="194"/>
        <w:gridCol w:w="194"/>
        <w:gridCol w:w="292"/>
      </w:tblGrid>
      <w:tr>
        <w:trPr/>
        <w:tc>
          <w:tcPr>
            <w:tcW w:w="177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8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where indicated)</w:t>
            </w:r>
          </w:p>
        </w:tc>
        <w:tc>
          <w:tcPr>
            <w:tcW w:w="2629"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GAAP</w:t>
            </w:r>
          </w:p>
        </w:tc>
        <w:tc>
          <w:tcPr>
            <w:tcW w:w="2682"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Non-GAAP </w:t>
            </w:r>
            <w:r>
              <w:rPr>
                <w:rFonts w:ascii="Times New Roman;serif" w:hAnsi="Times New Roman;serif"/>
                <w:b/>
                <w:color w:val="000000"/>
                <w:sz w:val="13"/>
              </w:rPr>
              <w:t>(1)</w:t>
            </w:r>
          </w:p>
        </w:tc>
      </w:tr>
      <w:tr>
        <w:trPr/>
        <w:tc>
          <w:tcPr>
            <w:tcW w:w="4894" w:type="dxa"/>
            <w:gridSpan w:val="3"/>
            <w:vMerge w:val="continue"/>
            <w:tcBorders/>
            <w:tcMar>
              <w:top w:w="0" w:type="dxa"/>
              <w:left w:w="0" w:type="dxa"/>
              <w:bottom w:w="0" w:type="dxa"/>
              <w:right w:w="0" w:type="dxa"/>
            </w:tcMar>
            <w:vAlign w:val="center"/>
          </w:tcPr>
          <w:p>
            <w:pPr>
              <w:pStyle w:val="Normal"/>
              <w:bidi w:val="0"/>
              <w:jc w:val="left"/>
              <w:rPr/>
            </w:pPr>
            <w:r>
              <w:rPr/>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FYE26</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FYE25</w:t>
            </w:r>
          </w:p>
        </w:tc>
        <w:tc>
          <w:tcPr>
            <w:tcW w:w="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Y/Y%</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FYE26</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FYE25</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Y/Y%</w:t>
            </w:r>
          </w:p>
        </w:tc>
      </w:tr>
      <w:tr>
        <w:trPr/>
        <w:tc>
          <w:tcPr>
            <w:tcW w:w="4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revenue</w:t>
            </w:r>
            <w:r>
              <w:rPr>
                <w:color w:val="000000"/>
              </w:rPr>
              <w:t xml:space="preserve"> </w:t>
            </w:r>
            <w:r>
              <w:rPr>
                <w:rFonts w:ascii="Times New Roman;serif" w:hAnsi="Times New Roman;serif"/>
                <w:b/>
                <w:color w:val="000000"/>
                <w:sz w:val="13"/>
              </w:rPr>
              <w:t>(2)</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$1,490</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$1,241</w:t>
            </w:r>
          </w:p>
        </w:tc>
        <w:tc>
          <w:tcPr>
            <w:tcW w:w="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$1,490</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$1,241</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w:t>
            </w:r>
          </w:p>
        </w:tc>
      </w:tr>
      <w:tr>
        <w:trPr/>
        <w:tc>
          <w:tcPr>
            <w:tcW w:w="48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819</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634</w:t>
            </w:r>
          </w:p>
        </w:tc>
        <w:tc>
          <w:tcPr>
            <w:tcW w:w="6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819</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634</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4894"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671</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607</w:t>
            </w:r>
          </w:p>
        </w:tc>
        <w:tc>
          <w:tcPr>
            <w:tcW w:w="6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671</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607</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4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4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1,458</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1,213</w:t>
            </w:r>
          </w:p>
        </w:tc>
        <w:tc>
          <w:tcPr>
            <w:tcW w:w="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1,465</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1,221</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w:t>
            </w:r>
          </w:p>
        </w:tc>
      </w:tr>
      <w:tr>
        <w:trPr/>
        <w:tc>
          <w:tcPr>
            <w:tcW w:w="4894"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97.9%</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97.7%</w:t>
            </w:r>
          </w:p>
        </w:tc>
        <w:tc>
          <w:tcPr>
            <w:tcW w:w="6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98.3%</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98.4%</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$(1,020)</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$(803)</w:t>
            </w:r>
          </w:p>
        </w:tc>
        <w:tc>
          <w:tcPr>
            <w:tcW w:w="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$(734)</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$(566)</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w:t>
            </w:r>
          </w:p>
        </w:tc>
      </w:tr>
      <w:tr>
        <w:trPr/>
        <w:tc>
          <w:tcPr>
            <w:tcW w:w="4894"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(698)</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(546)</w:t>
            </w:r>
          </w:p>
        </w:tc>
        <w:tc>
          <w:tcPr>
            <w:tcW w:w="6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(493)</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4894"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(257)</w:t>
            </w:r>
          </w:p>
        </w:tc>
        <w:tc>
          <w:tcPr>
            <w:tcW w:w="6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(196)</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489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r>
      <w:tr>
        <w:trPr/>
        <w:tc>
          <w:tcPr>
            <w:tcW w:w="48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Disposal, restructuring and other operating expenses, net </w:t>
            </w:r>
            <w:r>
              <w:rPr>
                <w:rFonts w:ascii="Times New Roman;serif" w:hAnsi="Times New Roman;serif"/>
                <w:b w:val="false"/>
                <w:color w:val="000000"/>
                <w:sz w:val="13"/>
              </w:rPr>
              <w:t>(4)</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438</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410</w:t>
            </w:r>
          </w:p>
        </w:tc>
        <w:tc>
          <w:tcPr>
            <w:tcW w:w="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731</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655</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w:t>
            </w:r>
          </w:p>
        </w:tc>
      </w:tr>
      <w:tr>
        <w:trPr/>
        <w:tc>
          <w:tcPr>
            <w:tcW w:w="4894"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29.4%</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33.0%</w:t>
            </w:r>
          </w:p>
        </w:tc>
        <w:tc>
          <w:tcPr>
            <w:tcW w:w="6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49.1%</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52.8%</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313</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210</w:t>
            </w:r>
          </w:p>
        </w:tc>
        <w:tc>
          <w:tcPr>
            <w:tcW w:w="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49%</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641</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584</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w:t>
            </w:r>
          </w:p>
        </w:tc>
      </w:tr>
      <w:tr>
        <w:trPr/>
        <w:tc>
          <w:tcPr>
            <w:tcW w:w="4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(loss) per share ($)</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$0.29</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$0.20</w:t>
            </w:r>
          </w:p>
        </w:tc>
        <w:tc>
          <w:tcPr>
            <w:tcW w:w="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$0.60</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$0.55</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w:t>
            </w:r>
          </w:p>
        </w:tc>
      </w:tr>
      <w:tr>
        <w:trPr/>
        <w:tc>
          <w:tcPr>
            <w:tcW w:w="4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 operating activities</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260</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c>
          <w:tcPr>
            <w:tcW w:w="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00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free cash flow</w:t>
            </w:r>
          </w:p>
        </w:tc>
        <w:tc>
          <w:tcPr>
            <w:tcW w:w="100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163</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free cash flow trailing twelve months (TTM)</w:t>
            </w:r>
          </w:p>
        </w:tc>
        <w:tc>
          <w:tcPr>
            <w:tcW w:w="100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882</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791%</w:t>
            </w:r>
          </w:p>
        </w:tc>
      </w:tr>
      <w:tr>
        <w:trPr/>
        <w:tc>
          <w:tcPr>
            <w:tcW w:w="4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r>
      <w:tr>
        <w:trPr/>
        <w:tc>
          <w:tcPr>
            <w:tcW w:w="4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Operating metrics </w:t>
            </w:r>
            <w:r>
              <w:rPr>
                <w:rFonts w:ascii="Times New Roman;serif" w:hAnsi="Times New Roman;serif"/>
                <w:b/>
                <w:color w:val="000000"/>
                <w:sz w:val="13"/>
              </w:rPr>
              <w:t>(3)</w:t>
            </w:r>
            <w:r>
              <w:rPr>
                <w:rFonts w:ascii="Times New Roman;serif" w:hAnsi="Times New Roman;serif"/>
                <w:b/>
                <w:color w:val="000000"/>
                <w:sz w:val="20"/>
              </w:rPr>
              <w:t>:</w:t>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FYE26</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FYE25</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Y/Y%</w:t>
            </w:r>
          </w:p>
        </w:tc>
      </w:tr>
      <w:tr>
        <w:trPr/>
        <w:tc>
          <w:tcPr>
            <w:tcW w:w="4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contract value (in millions)</w:t>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$1,660</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$1,365</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4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(in millions)</w:t>
            </w:r>
          </w:p>
        </w:tc>
        <w:tc>
          <w:tcPr>
            <w:tcW w:w="10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$2,071</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$2,226</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7523"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employees</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9,584</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8,330</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7523"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number of engineers </w:t>
            </w:r>
            <w:r>
              <w:rPr>
                <w:rFonts w:ascii="Times New Roman;serif" w:hAnsi="Times New Roman;serif"/>
                <w:b w:val="false"/>
                <w:color w:val="000000"/>
                <w:sz w:val="13"/>
              </w:rPr>
              <w:t>(3)</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8,058</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6,943</w:t>
            </w:r>
          </w:p>
        </w:tc>
        <w:tc>
          <w:tcPr>
            <w:tcW w:w="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7523"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extant Arm Total Access licenses</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680"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7523"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extant Arm Flexible Access licenses</w:t>
            </w:r>
          </w:p>
        </w:tc>
        <w:tc>
          <w:tcPr>
            <w:tcW w:w="10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329</w:t>
            </w:r>
          </w:p>
        </w:tc>
        <w:tc>
          <w:tcPr>
            <w:tcW w:w="10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314</w:t>
            </w:r>
          </w:p>
        </w:tc>
        <w:tc>
          <w:tcPr>
            <w:tcW w:w="680" w:type="dxa"/>
            <w:gridSpan w:val="3"/>
            <w:tcBorders>
              <w:top w:val="single" w:sz="8" w:space="0" w:color="000000"/>
              <w:left w:val="single" w:sz="8" w:space="0" w:color="000000"/>
              <w:bottom w:val="single" w:sz="8" w:space="0" w:color="000000"/>
              <w:right w:val="single" w:sz="8" w:space="0" w:color="000000"/>
            </w:tcBorders>
            <w:shd w:fill="DBDBD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Non-GAAP cost of sales, Non-GAAP gross profit, Non-GAAP gross margin, Non-GAAP operating expenses, Non-GAAP operating income (loss) Non-GAAP operating margin, Non-GAAP net income (loss), Non-GAAP diluted earnings (loss) per share, Non-GAAP free cash flow, and Non-GAAP free cash flow TTM are non-GAAP financial measures. For more information regarding our use of these measures and a reconciliation of these measures to the most directly comparable GAAP financial measures, see “—GAAP to Non-GAAP Reconciliation” below.</w:t>
      </w:r>
    </w:p>
    <w:p>
      <w:pPr>
        <w:pStyle w:val="TextBody"/>
        <w:bidi w:val="0"/>
        <w:spacing w:lineRule="auto" w:line="26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Total revenue, license and other revenue, and royalty revenue are presented in accordance with GAAP only.</w:t>
      </w:r>
    </w:p>
    <w:p>
      <w:pPr>
        <w:pStyle w:val="TextBody"/>
        <w:bidi w:val="0"/>
        <w:spacing w:lineRule="auto" w:line="26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Operating metrics are as of the last day of the applicable period. We continually review our key operating metrics to ensure that they provide useful information to investors in understanding and evaluating our results of operations. The quarterly number of employees and engineers as a key operating metric has become less relevant to our growth. We will continue to disclose our total number of employees on an annual basis in the shareholder letter for our fourth fiscal quarter, which we believe is sufficient and in line with comparable companies. As such, starting in Q1 FYE26, we are no longer reporting the total number of employees and engineers in our shareholder letter for our first, second and third fiscal quarters.</w:t>
      </w:r>
    </w:p>
    <w:p>
      <w:pPr>
        <w:pStyle w:val="TextBody"/>
        <w:bidi w:val="0"/>
        <w:spacing w:lineRule="auto" w:line="268"/>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Percentage changes +/- 1000% are considered not meaningful and are presented as "nm."</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6415"/>
                <wp:effectExtent l="0" t="0" r="0" b="0"/>
                <wp:wrapNone/>
                <wp:docPr id="11" name="Frame1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40"/>
        <w:ind w:left="0" w:right="0" w:hanging="270"/>
        <w:jc w:val="both"/>
        <w:rPr>
          <w:rFonts w:ascii="Times New Roman;serif" w:hAnsi="Times New Roman;serif"/>
          <w:b/>
          <w:color w:val="0057FF"/>
          <w:sz w:val="20"/>
        </w:rPr>
      </w:pPr>
      <w:r>
        <w:rPr>
          <w:rFonts w:ascii="Times New Roman;serif" w:hAnsi="Times New Roman;serif"/>
          <w:b/>
          <w:color w:val="0057FF"/>
          <w:sz w:val="20"/>
        </w:rPr>
        <w:t>Total revenue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Our major product offerings consist of the following:</w:t>
      </w:r>
    </w:p>
    <w:p>
      <w:pPr>
        <w:pStyle w:val="TextBody"/>
        <w:bidi w:val="0"/>
        <w:spacing w:lineRule="auto" w:line="288" w:before="120" w:after="240"/>
        <w:jc w:val="left"/>
        <w:rPr>
          <w:rFonts w:ascii="Times New Roman;serif" w:hAnsi="Times New Roman;serif"/>
          <w:b/>
          <w:color w:val="0057FF"/>
          <w:sz w:val="20"/>
        </w:rPr>
      </w:pPr>
      <w:r>
        <w:rPr>
          <w:rFonts w:ascii="Times New Roman;serif" w:hAnsi="Times New Roman;serif"/>
          <w:b/>
          <w:color w:val="0057FF"/>
          <w:sz w:val="20"/>
        </w:rPr>
        <w:t>License and other revenue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231F20"/>
          <w:sz w:val="20"/>
        </w:rPr>
        <w:t>Intellectual property license</w:t>
      </w:r>
      <w:r>
        <w:rPr>
          <w:color w:val="231F20"/>
        </w:rPr>
        <w:t xml:space="preserve"> — </w:t>
      </w:r>
      <w:r>
        <w:rPr>
          <w:rFonts w:ascii="Times New Roman;serif" w:hAnsi="Times New Roman;serif"/>
          <w:b w:val="false"/>
          <w:color w:val="231F20"/>
          <w:sz w:val="20"/>
        </w:rPr>
        <w:t xml:space="preserve">We generally license IP under non-exclusive license agreements that provide usage rights for 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w:t>
      </w:r>
      <w:r>
        <w:rPr>
          <w:rFonts w:ascii="Times New Roman;serif" w:hAnsi="Times New Roman;serif"/>
          <w:b w:val="false"/>
          <w:color w:val="000000"/>
          <w:sz w:val="20"/>
        </w:rPr>
        <w:t xml:space="preserve">Where arrangements include royalty buydowns or upfront minimum royalty commitments, the Company treats them as fixed contract consideration. </w:t>
      </w:r>
      <w:r>
        <w:rPr>
          <w:rFonts w:ascii="Times New Roman;serif" w:hAnsi="Times New Roman;serif"/>
          <w:b w:val="false"/>
          <w:color w:val="231F20"/>
          <w:sz w:val="20"/>
        </w:rPr>
        <w:t>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pStyle w:val="TextBody"/>
        <w:bidi w:val="0"/>
        <w:spacing w:lineRule="auto" w:line="288" w:before="60" w:after="120"/>
        <w:jc w:val="both"/>
        <w:rPr>
          <w:rFonts w:ascii="Times New Roman;serif" w:hAnsi="Times New Roman;serif"/>
          <w:b w:val="false"/>
          <w:color w:val="231F20"/>
          <w:sz w:val="20"/>
        </w:rPr>
      </w:pPr>
      <w:r>
        <w:rPr>
          <w:rFonts w:ascii="Times New Roman;serif" w:hAnsi="Times New Roman;serif"/>
          <w:b w:val="false"/>
          <w:color w:val="231F20"/>
          <w:sz w:val="20"/>
        </w:rPr>
        <w:t xml:space="preserve">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231F20"/>
          <w:sz w:val="20"/>
        </w:rPr>
        <w:t>Software sales, including development systems</w:t>
      </w:r>
      <w:r>
        <w:rPr>
          <w:color w:val="231F20"/>
        </w:rPr>
        <w:t xml:space="preserve"> — </w:t>
      </w:r>
      <w:r>
        <w:rPr>
          <w:rFonts w:ascii="Times New Roman;serif" w:hAnsi="Times New Roman;serif"/>
          <w:b w:val="false"/>
          <w:color w:val="231F20"/>
          <w:sz w:val="20"/>
        </w:rPr>
        <w:t>Sales of software, including development systems, which are not specifically designed for a given license (such as off-the-shelf software), are recognized upon delivery when control has been transferred and the customer can begin to use and benefit from the license.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231F20"/>
          <w:sz w:val="20"/>
        </w:rPr>
        <w:t>Professional services</w:t>
      </w:r>
      <w:r>
        <w:rPr>
          <w:color w:val="231F20"/>
        </w:rPr>
        <w:t xml:space="preserve"> — </w:t>
      </w:r>
      <w:r>
        <w:rPr>
          <w:rFonts w:ascii="Times New Roman;serif" w:hAnsi="Times New Roman;serif"/>
          <w:b w:val="false"/>
          <w:color w:val="231F20"/>
          <w:sz w:val="20"/>
        </w:rPr>
        <w:t>Services (such as training, professional and design services) that we provide, which are not essential to the functionality of the IP, are separately stated and priced in the contract and accounted for separately. Training revenue is recognized as services are performed. Revenue from professional and design services is recognized over time using the input method based on engineering labor hours expended to date relative to the estimated total effort required. For such professional and design services, we have an enforceable right to payment for performance completed to date, which includes a reasonable profit margin and the performance of such services do not create an asset with an alternative use. In certain arrangements, we also provide customers with professional and design services, as a stand-ready obligation, that are recognized on a ratable basis over the term of the contract.</w:t>
      </w:r>
    </w:p>
    <w:p>
      <w:pPr>
        <w:pStyle w:val="TextBody"/>
        <w:bidi w:val="0"/>
        <w:spacing w:lineRule="auto" w:line="288" w:before="60" w:after="240"/>
        <w:ind w:left="0" w:right="0" w:hanging="360"/>
        <w:jc w:val="both"/>
        <w:rPr/>
      </w:pPr>
      <w:r>
        <w:rPr>
          <w:color w:val="000000"/>
        </w:rPr>
        <w:t>•</w:t>
      </w:r>
      <w:r>
        <w:rPr>
          <w:rFonts w:ascii="Times New Roman;serif" w:hAnsi="Times New Roman;serif"/>
          <w:b w:val="false"/>
          <w:i/>
          <w:color w:val="231F20"/>
          <w:sz w:val="20"/>
        </w:rPr>
        <w:t>Support and maintenance</w:t>
      </w:r>
      <w:r>
        <w:rPr>
          <w:color w:val="231F20"/>
        </w:rPr>
        <w:t xml:space="preserve"> — </w:t>
      </w:r>
      <w:r>
        <w:rPr>
          <w:rFonts w:ascii="Times New Roman;serif" w:hAnsi="Times New Roman;serif"/>
          <w:b w:val="false"/>
          <w:color w:val="231F20"/>
          <w:sz w:val="20"/>
        </w:rPr>
        <w:t>Support and maintenance is a stand-ready obligation to the customer that is both provided and consumed simultaneously. Revenue is recognized on a straight-line basis over the period for which support and maintenance is contractually agreed pursuant to the license.</w:t>
      </w:r>
    </w:p>
    <w:p>
      <w:pPr>
        <w:pStyle w:val="TextBody"/>
        <w:bidi w:val="0"/>
        <w:spacing w:lineRule="auto" w:line="288" w:before="120" w:after="240"/>
        <w:jc w:val="left"/>
        <w:rPr>
          <w:rFonts w:ascii="Times New Roman;serif" w:hAnsi="Times New Roman;serif"/>
          <w:b/>
          <w:color w:val="0057FF"/>
          <w:sz w:val="20"/>
        </w:rPr>
      </w:pPr>
      <w:r>
        <w:rPr>
          <w:rFonts w:ascii="Times New Roman;serif" w:hAnsi="Times New Roman;serif"/>
          <w:b/>
          <w:color w:val="0057FF"/>
          <w:sz w:val="20"/>
        </w:rPr>
        <w:t>Royalty revenue</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 xml:space="preserve">For most IP license agreements, royalties are collected on products that incorporate our IP. Royalties are recognized on an accrual basis in the quarter in which the customer ships their products, based on our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 including royalty audit resolutions. </w:t>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2" name="Frame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Royalty technology mix</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Royalty mix by architecture such as Armv9 is estimated at the SoC level based on the architecture of the primary CPU or an approximation of the IP mix and is subject to change based on the availability of additional product detail. Referenced figures are based on the most recent royalty report data that relates to the prior quarter.</w: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Number of extant Arm Total Access and Arm Flexible Access licenses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Each quarter, we track the number of extant Arm Total Access and Arm Flexible Access licenses with our customers, and those contracted through Arm Technology (China) Co. Limited ("Arm China"). Over the last several years many customers have opted for Arm Total Access and Arm Flexible Access licenses because of the subscription model providing comprehensive access to Arm IP products, tools and models, support and training, software, and physical IP.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We consider the number of extant Arm Total Access and Arm Flexible Access licenses as key performance indicators as they represent the increasing collaboration between us and our customers, which could be a leading indicator to more chips being designed with our products and, accordingly, more recurring royalty revenue in the future, improving our long-term market share.</w: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Annualized contract value ("ACV")</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Each quarter, we track the ACV relating to licensing agreements signed with our customers and those contracted through Arm China per the aggregate license fee as shared under the Intellectual Property License Agreement with Arm China.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Technology License Agreement, are deemed to be active for, and annualized over, three years based on the historical licensing patterns of our customers. The aggregate license fee shared by Arm China is also deemed to be active for, and annualized over, three years.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Remaining performance obligations ("RPO")</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RPO represents the transaction price allocated to performance obligations that are unsatisfied, or partially unsatisfied, which includes unearned revenue and amounts that will be invoiced and recognized as revenue in future periods.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 xml:space="preserve">Arm has elected to exclude potential future royalty receipts from the disclosure of RPO. Revenue recognition occurs upon delivery or beginning of license term, whichever is later. </w: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Non-GAAP financial measures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results determined in accordance with GAAP, we utilize and present financial measures that are not calculated and presented in accordance with GAAP. Our non-GAAP financial measures include non-GAAP cost of sales, non-GAAP gross profit (loss), non-GAAP gross margin, non-GAAP research and development operating expenses, non-GAAP selling, general and administrative operating expenses, non-GAAP disposal, restructuring and other operating expenses, net, non-GAAP operating expense, non-GAAP operating income (loss), non-GAAP operating margin, non-GAAP effective tax rate benefit (expense), non-GAAP income (loss) from equity investments, net, non-GAAP interest income, net, non-GAAP other non-operating income (loss), net, non-GAAP income (loss) before income taxes, non-GAAP income tax benefit (expense), net, non-GAAP net income (loss), non-GAAP basic and diluted net income per share, or earnings per share, attributable to ordinary shareholders, non-GAAP free cash flow, and non-GAAP free cash flow TTM. We believe these non-GAAP financial measures provide useful information to investors and others in understanding and evaluating our results of operations, as well as provide a useful measure for period-to-period comparisons of our business </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3" name="Frame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performance. Moreover, we have included these non-GAAP financial measures because they are key measurements used by our management internally to make operating decisions, including those related to analyzing operating expenses, evaluating performance, and performing strategic planning and annual budgeting.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(other than non-GAAP free cash flow and non-GAAP free cash flow TTM) presented herein exclude acquisition-related expenses, share-based compensation ("SBC") cost associated with equity-classified awards where our intent is to issue equity upon vesting (in lieu of cash settlement), employer taxes related to SBC equity-classified awards, net of the research and development ("R&amp;D") tax incentives associated with these taxes, other operating income (expenses), net, restructuring and related costs, gain on disposal of business, costs associated with disposal activities, (income) loss from equity investments, net, (income) loss from debt investments, net, and income tax effect on non-GAAP adjustments. Non-GAAP free cash flow and non-GAAP free cash flow TTM exclude purchases of property and equipment, purchases of intangible assets, and payment of intangible asset obligations. We exclude these items from our non-GAAP financial measures because they are non-cash or non-recurring in nature, or because the amount and timing of these items is unpredictable and not driven by core results of operations, which renders comparisons with prior periods and competitors less meaningful.</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Investors should consider non-GAAP financial measures alongside other financial performance measures, including operating income, net income and our other GAAP results. For more information regarding our use of these measures and a reconciliation to the most directly comparable GAAP financial measure, see “—GAAP to Non-GAAP Reconciliation.”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4" name="Frame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Income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811" w:type="dxa"/>
        <w:jc w:val="left"/>
        <w:tblInd w:w="0" w:type="dxa"/>
        <w:tblLayout w:type="fixed"/>
        <w:tblCellMar>
          <w:top w:w="28" w:type="dxa"/>
          <w:left w:w="28" w:type="dxa"/>
          <w:bottom w:w="28" w:type="dxa"/>
          <w:right w:w="28" w:type="dxa"/>
        </w:tblCellMar>
      </w:tblPr>
      <w:tblGrid>
        <w:gridCol w:w="1744"/>
        <w:gridCol w:w="1531"/>
        <w:gridCol w:w="1554"/>
        <w:gridCol w:w="229"/>
        <w:gridCol w:w="651"/>
        <w:gridCol w:w="127"/>
        <w:gridCol w:w="127"/>
        <w:gridCol w:w="127"/>
        <w:gridCol w:w="127"/>
        <w:gridCol w:w="229"/>
        <w:gridCol w:w="651"/>
        <w:gridCol w:w="127"/>
        <w:gridCol w:w="109"/>
        <w:gridCol w:w="109"/>
        <w:gridCol w:w="109"/>
        <w:gridCol w:w="212"/>
        <w:gridCol w:w="601"/>
        <w:gridCol w:w="117"/>
        <w:gridCol w:w="117"/>
        <w:gridCol w:w="117"/>
        <w:gridCol w:w="117"/>
        <w:gridCol w:w="212"/>
        <w:gridCol w:w="601"/>
        <w:gridCol w:w="166"/>
      </w:tblGrid>
      <w:tr>
        <w:trPr/>
        <w:tc>
          <w:tcPr>
            <w:tcW w:w="174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March 31,</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from external customers</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3,184 </w:t>
            </w:r>
          </w:p>
        </w:tc>
        <w:tc>
          <w:tcPr>
            <w:tcW w:w="16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from related parties</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6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4,007 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6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(2,071)</w:t>
            </w:r>
          </w:p>
        </w:tc>
        <w:tc>
          <w:tcPr>
            <w:tcW w:w="16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Disposal, restructuring and other operating expenses, net</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operating expenses </w:t>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(3,899)</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w:t>
            </w:r>
          </w:p>
        </w:tc>
        <w:tc>
          <w:tcPr>
            <w:tcW w:w="16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6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6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Income (loss) before income taxes </w:t>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w:t>
            </w:r>
          </w:p>
        </w:tc>
      </w:tr>
    </w:tbl>
    <w:p>
      <w:pPr>
        <w:pStyle w:val="TextBody"/>
        <w:bidi w:val="0"/>
        <w:spacing w:before="12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5" name="Frame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21"/>
        <w:gridCol w:w="2364"/>
        <w:gridCol w:w="2390"/>
        <w:gridCol w:w="226"/>
        <w:gridCol w:w="748"/>
        <w:gridCol w:w="126"/>
        <w:gridCol w:w="109"/>
        <w:gridCol w:w="109"/>
        <w:gridCol w:w="109"/>
        <w:gridCol w:w="237"/>
        <w:gridCol w:w="675"/>
        <w:gridCol w:w="191"/>
      </w:tblGrid>
      <w:tr>
        <w:trPr/>
        <w:tc>
          <w:tcPr>
            <w:tcW w:w="2921"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(including receivables from related parties of $270 and $279 as of March 31, 2026 and March 31, 2025, respectively)</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assets (including contract assets from related parties of $646 and $152 as of March 31, 2026 and March 31, 2025, respectively)</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4,830 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Non-current assets:</w:t>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right-of-use assets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 investments (including investments held under fair value option of $148 and $300 as of March 31, 2026 and March 31, 2025, respectively)</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contract assets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non-current assets</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4,467 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4,102 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10,703 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8,932 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liabilities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liabilities (including contract liabilities from related parties of $36 and $81 as of March 31, 2026 and March 31, 2025, respectively)</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current liabilities (including payables to related parties of $20 and $11 as of March 31, 2026 and March 31, 2025, respectively)</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Non-current liabilities:</w:t>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accrued compensation</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Non-current portion of contract liabilities (including non-current portion of contract liabilities from related parties of $23 and $24 as of March 31, 2026 and 2025, respectively)</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operating lease liabilities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non-current liabilities</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2,417 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Ordinary shares, $0.001 par value; 1,097 shares authorized, 1,064 shares issued and outstanding as of March 31, 2026; and 1,088 shares authorized, 1,057 shares issued and outstanding as of March 31, 2025</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8,286 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6,839 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10,703 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8,932 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6" name="Frame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89"/>
        <w:gridCol w:w="1680"/>
        <w:gridCol w:w="1687"/>
        <w:gridCol w:w="220"/>
        <w:gridCol w:w="626"/>
        <w:gridCol w:w="122"/>
        <w:gridCol w:w="122"/>
        <w:gridCol w:w="122"/>
        <w:gridCol w:w="122"/>
        <w:gridCol w:w="220"/>
        <w:gridCol w:w="626"/>
        <w:gridCol w:w="122"/>
        <w:gridCol w:w="109"/>
        <w:gridCol w:w="109"/>
        <w:gridCol w:w="109"/>
        <w:gridCol w:w="207"/>
        <w:gridCol w:w="589"/>
        <w:gridCol w:w="114"/>
        <w:gridCol w:w="114"/>
        <w:gridCol w:w="114"/>
        <w:gridCol w:w="114"/>
        <w:gridCol w:w="207"/>
        <w:gridCol w:w="589"/>
        <w:gridCol w:w="172"/>
      </w:tblGrid>
      <w:tr>
        <w:trPr/>
        <w:tc>
          <w:tcPr>
            <w:tcW w:w="198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March 31,</w:t>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provided by (used for) operating activities:</w:t>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for) operating activities:</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cost</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expense</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business divestiture</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operating activities, net</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 (including receivables from related parties)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 net (including contract assets from related parties)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 (including contract liabilities from related parties)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liabilities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(including payables to related parties)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cash provided by (used for) operating activities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provided by (used for) investing activities</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short-term investments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maturity of short-term investments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equity investments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business divestiture</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settlement of loans, including convertible loans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or liquidation of equity investments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7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 net, including investments in convertible loans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for) investing activities</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provided by (used for) financing activities</w:t>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intangible asset obligations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Purchase Plan</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 net</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withholding tax on vested shares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cash provided by (used for) financing activities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 and cash equivalents</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beginning of the period</w:t>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end of the period</w:t>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535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6415"/>
                <wp:effectExtent l="0" t="0" r="0" b="0"/>
                <wp:wrapNone/>
                <wp:docPr id="17" name="Frame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GAAP to Non-GAAP results:</w:t>
      </w:r>
    </w:p>
    <w:tbl>
      <w:tblPr>
        <w:tblW w:w="10553"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05"/>
        <w:gridCol w:w="205"/>
        <w:gridCol w:w="206"/>
        <w:gridCol w:w="109"/>
        <w:gridCol w:w="495"/>
        <w:gridCol w:w="495"/>
        <w:gridCol w:w="496"/>
        <w:gridCol w:w="365"/>
        <w:gridCol w:w="365"/>
        <w:gridCol w:w="366"/>
        <w:gridCol w:w="280"/>
        <w:gridCol w:w="280"/>
        <w:gridCol w:w="281"/>
        <w:gridCol w:w="109"/>
        <w:gridCol w:w="109"/>
        <w:gridCol w:w="109"/>
        <w:gridCol w:w="109"/>
        <w:gridCol w:w="109"/>
        <w:gridCol w:w="475"/>
        <w:gridCol w:w="475"/>
        <w:gridCol w:w="476"/>
        <w:gridCol w:w="109"/>
        <w:gridCol w:w="330"/>
        <w:gridCol w:w="330"/>
        <w:gridCol w:w="331"/>
        <w:gridCol w:w="109"/>
        <w:gridCol w:w="325"/>
        <w:gridCol w:w="325"/>
        <w:gridCol w:w="326"/>
        <w:gridCol w:w="237"/>
        <w:gridCol w:w="237"/>
        <w:gridCol w:w="337"/>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16"/>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4640" w:type="dxa"/>
            <w:gridSpan w:val="16"/>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 Results</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Acquisition-related expenses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Share-based compensation cost (equity settled)</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Employer taxes related to SBC, net of R&amp;D tax incentives</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(Income) loss from equity investments, net </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 effect on non-GAAP adjustments</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Non-GAAP Results</w:t>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$1,490</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$1,490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1,458</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1,465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97.9%</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98.3%</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(698)</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(493)</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(320)</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(241)</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operating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(1,020)</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254</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(734)</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438</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731</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29.4%</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49.1%</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481</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754</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(113)</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$313</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$641</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$0.29</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$0.60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$0.29</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$0.60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1,063</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1,063</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1,068</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1,068</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employer taxes related to SBC for equity-classified awards, net of the R&amp;D tax incentives associated with these taxes.</w:t>
      </w:r>
    </w:p>
    <w:p>
      <w:pPr>
        <w:pStyle w:val="TextBody"/>
        <w:bidi w:val="0"/>
        <w:spacing w:before="60" w:after="283"/>
        <w:jc w:val="both"/>
        <w:rPr/>
      </w:pPr>
      <w:r>
        <w:rPr/>
      </w:r>
    </w:p>
    <w:p>
      <w:pPr>
        <w:pStyle w:val="TextBody"/>
        <w:bidi w:val="0"/>
        <w:spacing w:before="60" w:after="283"/>
        <w:jc w:val="both"/>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6415"/>
                <wp:effectExtent l="0" t="0" r="0" b="0"/>
                <wp:wrapNone/>
                <wp:docPr id="18" name="Frame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55"/>
        <w:gridCol w:w="353"/>
        <w:gridCol w:w="356"/>
        <w:gridCol w:w="109"/>
        <w:gridCol w:w="109"/>
        <w:gridCol w:w="109"/>
        <w:gridCol w:w="230"/>
        <w:gridCol w:w="230"/>
        <w:gridCol w:w="204"/>
        <w:gridCol w:w="119"/>
        <w:gridCol w:w="440"/>
        <w:gridCol w:w="440"/>
        <w:gridCol w:w="441"/>
        <w:gridCol w:w="393"/>
        <w:gridCol w:w="393"/>
        <w:gridCol w:w="395"/>
        <w:gridCol w:w="119"/>
        <w:gridCol w:w="119"/>
        <w:gridCol w:w="119"/>
        <w:gridCol w:w="346"/>
        <w:gridCol w:w="346"/>
        <w:gridCol w:w="347"/>
        <w:gridCol w:w="109"/>
        <w:gridCol w:w="109"/>
        <w:gridCol w:w="109"/>
        <w:gridCol w:w="400"/>
        <w:gridCol w:w="400"/>
        <w:gridCol w:w="401"/>
        <w:gridCol w:w="109"/>
        <w:gridCol w:w="400"/>
        <w:gridCol w:w="400"/>
        <w:gridCol w:w="401"/>
        <w:gridCol w:w="257"/>
        <w:gridCol w:w="257"/>
        <w:gridCol w:w="381"/>
      </w:tblGrid>
      <w:tr>
        <w:trPr/>
        <w:tc>
          <w:tcPr>
            <w:tcW w:w="75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4772" w:type="dxa"/>
            <w:gridSpan w:val="16"/>
            <w:tcBorders/>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 Results</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Share-based compensation cost (equity settled)</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Employer taxes related to SBC, net of R&amp;D tax incentives</w:t>
            </w:r>
            <w:r>
              <w:rPr>
                <w:rFonts w:ascii="Times New Roman;serif" w:hAnsi="Times New Roman;serif"/>
                <w:b/>
                <w:color w:val="000000"/>
                <w:sz w:val="10"/>
              </w:rPr>
              <w:t>(1)</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(Income) loss from equity investments, net </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 effect on non-GAAP adjustments</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Non-GAAP Results</w:t>
            </w:r>
          </w:p>
        </w:tc>
      </w:tr>
      <w:tr>
        <w:trPr/>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$1,241</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$1,241</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1,213</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1,221</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97.7%</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98.4%</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(546)</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139</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(370)</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(257)</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w:t>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(803)</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(566)</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193</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655</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52.8%</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(290)</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290</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193</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290</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679</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(161)</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(95)</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$193</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$290</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$(161)</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$584</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$0.20</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$0.55</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$0.20</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$0.55</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1,055</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1,055</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1,065</w:t>
            </w:r>
          </w:p>
        </w:tc>
        <w:tc>
          <w:tcPr>
            <w:tcW w:w="119" w:type="dxa"/>
            <w:tcBorders/>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1,065</w:t>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employer taxes related to SBC for equity-classified awards, net of the R&amp;D tax incentives associated with these taxes.                                                                    </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120" w:after="12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6415"/>
                <wp:effectExtent l="0" t="0" r="0" b="0"/>
                <wp:wrapNone/>
                <wp:docPr id="19" name="Frame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466" w:type="dxa"/>
        <w:jc w:val="left"/>
        <w:tblInd w:w="0" w:type="dxa"/>
        <w:tblLayout w:type="fixed"/>
        <w:tblCellMar>
          <w:top w:w="28" w:type="dxa"/>
          <w:left w:w="28" w:type="dxa"/>
          <w:bottom w:w="28" w:type="dxa"/>
          <w:right w:w="28" w:type="dxa"/>
        </w:tblCellMar>
      </w:tblPr>
      <w:tblGrid>
        <w:gridCol w:w="651"/>
        <w:gridCol w:w="229"/>
        <w:gridCol w:w="231"/>
        <w:gridCol w:w="109"/>
        <w:gridCol w:w="109"/>
        <w:gridCol w:w="109"/>
        <w:gridCol w:w="205"/>
        <w:gridCol w:w="205"/>
        <w:gridCol w:w="206"/>
        <w:gridCol w:w="109"/>
        <w:gridCol w:w="495"/>
        <w:gridCol w:w="495"/>
        <w:gridCol w:w="496"/>
        <w:gridCol w:w="365"/>
        <w:gridCol w:w="365"/>
        <w:gridCol w:w="366"/>
        <w:gridCol w:w="280"/>
        <w:gridCol w:w="280"/>
        <w:gridCol w:w="281"/>
        <w:gridCol w:w="109"/>
        <w:gridCol w:w="109"/>
        <w:gridCol w:w="280"/>
        <w:gridCol w:w="280"/>
        <w:gridCol w:w="281"/>
        <w:gridCol w:w="280"/>
        <w:gridCol w:w="280"/>
        <w:gridCol w:w="281"/>
        <w:gridCol w:w="109"/>
        <w:gridCol w:w="475"/>
        <w:gridCol w:w="475"/>
        <w:gridCol w:w="476"/>
        <w:gridCol w:w="225"/>
        <w:gridCol w:w="225"/>
        <w:gridCol w:w="226"/>
        <w:gridCol w:w="330"/>
        <w:gridCol w:w="330"/>
        <w:gridCol w:w="331"/>
        <w:gridCol w:w="330"/>
        <w:gridCol w:w="330"/>
        <w:gridCol w:w="331"/>
        <w:gridCol w:w="325"/>
        <w:gridCol w:w="325"/>
        <w:gridCol w:w="326"/>
        <w:gridCol w:w="237"/>
        <w:gridCol w:w="237"/>
        <w:gridCol w:w="337"/>
      </w:tblGrid>
      <w:tr>
        <w:trPr/>
        <w:tc>
          <w:tcPr>
            <w:tcW w:w="6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gridSpan w:val="28"/>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Fiscal Year Ended March 31, 2026</w:t>
            </w:r>
          </w:p>
        </w:tc>
        <w:tc>
          <w:tcPr>
            <w:tcW w:w="3769" w:type="dxa"/>
            <w:gridSpan w:val="1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 Results</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Acquisition-related expenses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Share-based compensation cost (equity settled)</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Employer taxes related to SBC, net of R&amp;D tax incentives</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operating income (expenses), net</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and related costs</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on disposal of business</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(Income) loss from equity investments, net </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loss from debt investments, net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 effect on non-GAAP adjustments</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Non-GAAP Results</w:t>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$4,920</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$4,920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(88)</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4,799</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4,832</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97.5%</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98.2%</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(2,776)</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762</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(1,911)</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(1,115)</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(806)</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operating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(3,899)</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1,023</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(2,717)</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900</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1,052</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2,115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18.3%</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43.0%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111</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1,157</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1,052</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2,222</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(253)</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(333)</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$904</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$1,052</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$1,889</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$0.85</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$1.78</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$0.85</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$1.77</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1,061</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1,061</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1,068</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1,068</w:t>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employer taxes related to SBC for equity-classified awards, net of the R&amp;D tax incentives associated with these taxes.</w:t>
      </w:r>
    </w:p>
    <w:p>
      <w:pPr>
        <w:pStyle w:val="TextBody"/>
        <w:bidi w:val="0"/>
        <w:spacing w:before="60" w:after="283"/>
        <w:ind w:left="0" w:right="0" w:hanging="270"/>
        <w:jc w:val="both"/>
        <w:rPr/>
      </w:pPr>
      <w:r>
        <w:rPr/>
      </w:r>
    </w:p>
    <w:p>
      <w:pPr>
        <w:pStyle w:val="TextBody"/>
        <w:bidi w:val="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6415"/>
                <wp:effectExtent l="0" t="0" r="0" b="0"/>
                <wp:wrapNone/>
                <wp:docPr id="20" name="Frame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56"/>
        <w:gridCol w:w="353"/>
        <w:gridCol w:w="356"/>
        <w:gridCol w:w="109"/>
        <w:gridCol w:w="109"/>
        <w:gridCol w:w="109"/>
        <w:gridCol w:w="221"/>
        <w:gridCol w:w="221"/>
        <w:gridCol w:w="222"/>
        <w:gridCol w:w="117"/>
        <w:gridCol w:w="440"/>
        <w:gridCol w:w="440"/>
        <w:gridCol w:w="442"/>
        <w:gridCol w:w="394"/>
        <w:gridCol w:w="394"/>
        <w:gridCol w:w="395"/>
        <w:gridCol w:w="117"/>
        <w:gridCol w:w="117"/>
        <w:gridCol w:w="117"/>
        <w:gridCol w:w="346"/>
        <w:gridCol w:w="346"/>
        <w:gridCol w:w="348"/>
        <w:gridCol w:w="109"/>
        <w:gridCol w:w="109"/>
        <w:gridCol w:w="109"/>
        <w:gridCol w:w="400"/>
        <w:gridCol w:w="400"/>
        <w:gridCol w:w="401"/>
        <w:gridCol w:w="109"/>
        <w:gridCol w:w="400"/>
        <w:gridCol w:w="400"/>
        <w:gridCol w:w="402"/>
        <w:gridCol w:w="257"/>
        <w:gridCol w:w="257"/>
        <w:gridCol w:w="383"/>
      </w:tblGrid>
      <w:tr>
        <w:trPr/>
        <w:tc>
          <w:tcPr>
            <w:tcW w:w="7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1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Fiscal Year Ended March 31, 2025</w:t>
            </w:r>
          </w:p>
        </w:tc>
        <w:tc>
          <w:tcPr>
            <w:tcW w:w="4776" w:type="dxa"/>
            <w:gridSpan w:val="16"/>
            <w:tcBorders/>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 Results</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Share-based compensation cost (equity settled)</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Employer taxes related to SBC, net of R&amp;D tax incentives</w:t>
            </w:r>
            <w:r>
              <w:rPr>
                <w:rFonts w:ascii="Times New Roman;serif" w:hAnsi="Times New Roman;serif"/>
                <w:b/>
                <w:color w:val="000000"/>
                <w:sz w:val="10"/>
              </w:rPr>
              <w:t>(1)</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(Income) loss from equity investments, net </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 effect on non-GAAP adjustments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Non-GAAP Results</w:t>
            </w:r>
          </w:p>
        </w:tc>
      </w:tr>
      <w:tr>
        <w:trPr/>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$4,007</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$4,007</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(87)</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3,886</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3,920</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97.0%</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97.8%</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(2,071)</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576</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155</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(1,340)</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(984)</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218</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(709)</w:t>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(3,055)</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794</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205</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(2,049)</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831</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820</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213</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1,871</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20.7%</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46.7%</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(237)</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237</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116</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720</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820</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213</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237</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1,997</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(332)</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(260)</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$792</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$820</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$213</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$237</w:t>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$(332)</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$1,737</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$0.75</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$1.65</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$0.75</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$1.63</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1,050</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1,050</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1,063</w:t>
            </w:r>
          </w:p>
        </w:tc>
        <w:tc>
          <w:tcPr>
            <w:tcW w:w="117" w:type="dxa"/>
            <w:tcBorders/>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1,063</w:t>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employer taxes related to SBC for equity-classified awards, net of the R&amp;D tax incentives associated with these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6415"/>
                <wp:effectExtent l="0" t="0" r="0" b="0"/>
                <wp:wrapNone/>
                <wp:docPr id="21" name="Frame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following are reconciliations of Net cash provided by (used for) operating activities to Non-GAAP free cash flow and Non-GAAP free cash flow TTM:</w:t>
      </w:r>
    </w:p>
    <w:tbl>
      <w:tblPr>
        <w:tblW w:w="9005" w:type="dxa"/>
        <w:jc w:val="left"/>
        <w:tblInd w:w="0" w:type="dxa"/>
        <w:tblLayout w:type="fixed"/>
        <w:tblCellMar>
          <w:top w:w="28" w:type="dxa"/>
          <w:left w:w="28" w:type="dxa"/>
          <w:bottom w:w="28" w:type="dxa"/>
          <w:right w:w="28" w:type="dxa"/>
        </w:tblCellMar>
      </w:tblPr>
      <w:tblGrid>
        <w:gridCol w:w="1337"/>
        <w:gridCol w:w="1174"/>
        <w:gridCol w:w="1178"/>
        <w:gridCol w:w="109"/>
        <w:gridCol w:w="109"/>
        <w:gridCol w:w="109"/>
        <w:gridCol w:w="264"/>
        <w:gridCol w:w="568"/>
        <w:gridCol w:w="147"/>
        <w:gridCol w:w="147"/>
        <w:gridCol w:w="147"/>
        <w:gridCol w:w="147"/>
        <w:gridCol w:w="264"/>
        <w:gridCol w:w="568"/>
        <w:gridCol w:w="147"/>
        <w:gridCol w:w="109"/>
        <w:gridCol w:w="109"/>
        <w:gridCol w:w="109"/>
        <w:gridCol w:w="226"/>
        <w:gridCol w:w="643"/>
        <w:gridCol w:w="126"/>
        <w:gridCol w:w="126"/>
        <w:gridCol w:w="126"/>
        <w:gridCol w:w="126"/>
        <w:gridCol w:w="226"/>
        <w:gridCol w:w="486"/>
        <w:gridCol w:w="178"/>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March 31,</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intangible asset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268" w:type="dxa"/>
            <w:gridSpan w:val="6"/>
            <w:tcBorders/>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40"/>
        <w:jc w:val="left"/>
        <w:rPr/>
      </w:pPr>
      <w:r>
        <w:rPr/>
      </w:r>
    </w:p>
    <w:p>
      <w:pPr>
        <w:pStyle w:val="TextBody"/>
        <w:bidi w:val="0"/>
        <w:spacing w:before="12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6415"/>
                <wp:effectExtent l="0" t="0" r="0" b="0"/>
                <wp:wrapNone/>
                <wp:docPr id="22" name="Frame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40"/>
        <w:ind w:left="0" w:right="0" w:firstLine="540"/>
        <w:jc w:val="both"/>
        <w:rPr/>
      </w:pPr>
      <w:r>
        <w:rPr>
          <w:rFonts w:ascii="Times New Roman;serif" w:hAnsi="Times New Roman;serif"/>
          <w:b w:val="false"/>
          <w:color w:val="000000"/>
          <w:sz w:val="20"/>
        </w:rPr>
        <w:t>This shareholder letter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any of the following: our dependence on the semiconductor and electronics industries and the demand for the products of our customers and customers' customers; our dependence on the compatibility of our products with the manufacturing and design processes of our customers; our ability to forecast demand for new products; intense competition; our development of production silicon products, such as the Arm AGI CPU, compute subsystems, chiplets, or complete chip solutions, and other more integrated compute products; our ability to adequately fund our research and development efforts; our dependence on a limited number of customers for a significant portion of our revenue; our reliance on third parties to market and sell chips and end products incorporating our products and to enhance the value of our licensed products; the loss of any of our senior management personnel or one or more key employees or our inability to attract and retain qualified personnel; our ability to develop new products in response to, or in anticipation of, rapid technological changes; risks related to the availability of development tools, systems software, electronic design automation tools and operating systems compatible with our architecture; our ability to protect our proprietary products and our brand, and the costs of protecting such intellectual property rights, particularly as a result of litigation; our ability to verify royalty amounts owed to us under our licensing agreements; risks related to foreign exchange fluctuations; changes in our effective tax rate; risks associated with organic growth or growth from strategic investments or acquisitions we make, and the risk of failing to effectively manage our growth; risks associated with the slow development of the market for our connectivity, device and data management platform; the possibility of cyberattacks, breaches of our security controls and unauthorized access to our data or a customer’s data; our ability to satisfy data protection, security, privacy or other government- and industry-specific requirements; risks associated with the interests of SoftBank Group Corp., our controlling shareholder, conflicting with the interests of other holders of our ordinary shares and American depositary shares; and effects of global general economic conditions, political factors, war or hostility, pandemics and other events outside of our control. Refer to “</w:t>
      </w:r>
      <w:r>
        <w:rPr>
          <w:rFonts w:ascii="Times New Roman;serif" w:hAnsi="Times New Roman;serif"/>
          <w:b w:val="false"/>
          <w:i/>
          <w:color w:val="000000"/>
          <w:sz w:val="20"/>
        </w:rPr>
        <w:t>Item 3. Key Information—D. Risk Factors</w:t>
      </w:r>
      <w:r>
        <w:rPr>
          <w:color w:val="000000"/>
        </w:rPr>
        <w:t xml:space="preserve">” </w:t>
      </w:r>
      <w:r>
        <w:rPr>
          <w:rFonts w:ascii="Times New Roman;serif" w:hAnsi="Times New Roman;serif"/>
          <w:b w:val="false"/>
          <w:color w:val="000000"/>
          <w:sz w:val="20"/>
        </w:rPr>
        <w:t>in our Annual Report on Form 20-F for the fiscal year ended March 31, 2025, filed with the SEC on May 28, 2025, for additional risks and uncertainties that may cause our actual results, levels of activity, performance or achievements to be materially different from the information expressed or implied by forward-looking statements included herein.</w:t>
      </w:r>
    </w:p>
    <w:p>
      <w:pPr>
        <w:pStyle w:val="TextBody"/>
        <w:bidi w:val="0"/>
        <w:spacing w:lineRule="auto" w:line="288" w:before="12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shareholder letter contains forward-looking statements within the meaning of Section 27A of the Securities Act of 1933, as amended,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shareholder letter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shareholder letter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shareholder letter speaks only as of the date hereof, and we do not undertake any obligation to update any forward-looking statement to reflect events or circumstances after the date of this shareholder letter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6415"/>
                <wp:effectExtent l="0" t="0" r="0" b="0"/>
                <wp:wrapNone/>
                <wp:docPr id="23" name="Frame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8000</Words>
  <Characters>44708</Characters>
  <CharactersWithSpaces>51777</CharactersWithSpaces>
  <Paragraphs>1507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