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month of November, 2025 </w:t>
      </w:r>
    </w:p>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Arm Holdings plc</w:t>
      </w:r>
    </w:p>
    <w:p>
      <w:pPr>
        <w:pStyle w:val="TextBody"/>
        <w:bidi w:val="0"/>
        <w:spacing w:before="100" w:after="283"/>
        <w:ind w:left="0" w:right="0" w:firstLine="720"/>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0"/>
        <w:gridCol w:w="1305"/>
      </w:tblGrid>
      <w:tr>
        <w:trPr/>
        <w:tc>
          <w:tcPr>
            <w:tcW w:w="104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110 Fulbourn Road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Cambridge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5173" w:type="dxa"/>
        <w:jc w:val="left"/>
        <w:tblInd w:w="0" w:type="dxa"/>
        <w:tblLayout w:type="fixed"/>
        <w:tblCellMar>
          <w:top w:w="28" w:type="dxa"/>
          <w:left w:w="28" w:type="dxa"/>
          <w:bottom w:w="28" w:type="dxa"/>
          <w:right w:w="28" w:type="dxa"/>
        </w:tblCellMar>
      </w:tblPr>
      <w:tblGrid>
        <w:gridCol w:w="538"/>
        <w:gridCol w:w="472"/>
        <w:gridCol w:w="474"/>
        <w:gridCol w:w="1076"/>
        <w:gridCol w:w="1076"/>
        <w:gridCol w:w="1537"/>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ye26q230-sepx25.htm">
              <w:r>
                <w:rPr>
                  <w:rStyle w:val="InternetLink"/>
                  <w:rFonts w:ascii="Times New Roman;serif" w:hAnsi="Times New Roman;serif"/>
                  <w:b w:val="false"/>
                  <w:color w:val="0000FF"/>
                  <w:sz w:val="20"/>
                  <w:u w:val="single"/>
                </w:rPr>
                <w:t xml:space="preserve">Press Release dated </w:t>
              </w:r>
            </w:hyperlink>
            <w:r>
              <w:rPr>
                <w:rFonts w:ascii="Times New Roman;serif" w:hAnsi="Times New Roman;serif"/>
                <w:b w:val="false"/>
                <w:color w:val="000000"/>
                <w:sz w:val="20"/>
              </w:rPr>
              <w:t>November 5, 2025</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fye26q230-sepx25.htm">
              <w:r>
                <w:rPr>
                  <w:rStyle w:val="InternetLink"/>
                  <w:rFonts w:ascii="Times New Roman;serif" w:hAnsi="Times New Roman;serif"/>
                  <w:b w:val="false"/>
                  <w:color w:val="0000FF"/>
                  <w:sz w:val="20"/>
                  <w:u w:val="single"/>
                </w:rPr>
                <w:t xml:space="preserve">Shareholder Letter dated </w:t>
              </w:r>
            </w:hyperlink>
            <w:r>
              <w:rPr>
                <w:rFonts w:ascii="Times New Roman;serif" w:hAnsi="Times New Roman;serif"/>
                <w:b w:val="false"/>
                <w:color w:val="000000"/>
                <w:sz w:val="20"/>
              </w:rPr>
              <w:t>November 5,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231F20"/>
          <w:sz w:val="20"/>
        </w:rPr>
      </w:pPr>
      <w:r>
        <w:rPr>
          <w:rFonts w:ascii="Times New Roman;serif" w:hAnsi="Times New Roman;serif"/>
          <w:b/>
          <w:color w:val="231F20"/>
          <w:sz w:val="20"/>
        </w:rPr>
        <w:t>SIGNATURES</w:t>
      </w:r>
    </w:p>
    <w:p>
      <w:pPr>
        <w:pStyle w:val="TextBody"/>
        <w:bidi w:val="0"/>
        <w:spacing w:lineRule="auto" w:line="288" w:before="24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Exchange Act of 1934, the registrant has duly caused this report to be signed on its behalf by the undersigned, thereunto duly authorized.</w:t>
      </w:r>
    </w:p>
    <w:tbl>
      <w:tblPr>
        <w:tblW w:w="5693" w:type="dxa"/>
        <w:jc w:val="left"/>
        <w:tblInd w:w="0" w:type="dxa"/>
        <w:tblLayout w:type="fixed"/>
        <w:tblCellMar>
          <w:top w:w="28" w:type="dxa"/>
          <w:left w:w="28" w:type="dxa"/>
          <w:bottom w:w="28" w:type="dxa"/>
          <w:right w:w="28" w:type="dxa"/>
        </w:tblCellMar>
      </w:tblPr>
      <w:tblGrid>
        <w:gridCol w:w="759"/>
        <w:gridCol w:w="668"/>
        <w:gridCol w:w="672"/>
        <w:gridCol w:w="328"/>
        <w:gridCol w:w="328"/>
        <w:gridCol w:w="328"/>
        <w:gridCol w:w="757"/>
        <w:gridCol w:w="757"/>
        <w:gridCol w:w="109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ARM HOLDINGS PLC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Laura Bartels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Laura Bartels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Arm Holdings plc Reports Results for the Second Quarter of the Fiscal Year Ending 2026</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color w:val="000000"/>
          <w:sz w:val="24"/>
        </w:rPr>
        <w:t>Cambridge, England, Nov. 5, 2025:</w:t>
      </w:r>
      <w:r>
        <w:rPr>
          <w:color w:val="000000"/>
        </w:rPr>
        <w:t xml:space="preserve"> </w:t>
      </w:r>
      <w:r>
        <w:rPr>
          <w:rFonts w:ascii="Times New Roman;serif" w:hAnsi="Times New Roman;serif"/>
          <w:b w:val="false"/>
          <w:color w:val="000000"/>
          <w:sz w:val="24"/>
        </w:rPr>
        <w:t>Arm Holdings plc (NASDAQ: ARM), the company that is building the future of computing, has today published a letter to its shareholders containing the company’s results for its second quarter of fiscal year 2026, which ended Sept. 30, 2025. The letter is available on its investor relations website (https://investors.arm.com/financials/quarterly-annual-results). The shareholder letter will also be furnished to the Securities and Exchange Commission (SEC) on a Form 6-K and will be available on the SEC website at http://www.sec.gov.</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Arm will host an audio webcast to discuss its results at 14:00 PT / 17:00 ET / 22:00 GMT today, Nov. 5. The live webcast will be available at https://edge.media-server.com/mmc/p/ujw5pboy/ and a replay will be at https://investors.arm.com/financials/quarterly-annual-results. </w: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About Arm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Arm is the industry’s highest-performing and most power-efficient compute platform with unmatched scale that touches 100 percent of the connected global population. To meet the insatiable demand for compute, Arm is delivering advanced solutions that allow the world’s leading technology companies to unleash the unprecedented experiences and capabilities of AI. Together with the world’s largest computing ecosystem and 22 million software developers, we are building the future of AI on Arm.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1995-2025 Arm Limited.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56" w:before="0" w:after="0"/>
        <w:jc w:val="both"/>
        <w:rPr>
          <w:rFonts w:ascii="Times New Roman;serif" w:hAnsi="Times New Roman;serif"/>
          <w:b/>
          <w:i/>
          <w:color w:val="000000"/>
          <w:sz w:val="24"/>
        </w:rPr>
      </w:pPr>
      <w:r>
        <w:rPr>
          <w:rFonts w:ascii="Times New Roman;serif" w:hAnsi="Times New Roman;serif"/>
          <w:b/>
          <w:i/>
          <w:color w:val="000000"/>
          <w:sz w:val="24"/>
        </w:rPr>
        <w:t>Media</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Kristen Ray</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Kristen.Ray@arm.com</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4"/>
        </w:rPr>
      </w:pPr>
      <w:r>
        <w:rPr>
          <w:rFonts w:ascii="Times New Roman;serif" w:hAnsi="Times New Roman;serif"/>
          <w:b/>
          <w:i/>
          <w:color w:val="000000"/>
          <w:sz w:val="24"/>
        </w:rPr>
        <w:t>Investors</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Arm Investor Relations</w:t>
      </w:r>
    </w:p>
    <w:p>
      <w:pPr>
        <w:pStyle w:val="TextBody"/>
        <w:bidi w:val="0"/>
        <w:spacing w:lineRule="auto" w:line="256"/>
        <w:jc w:val="both"/>
        <w:rPr>
          <w:rFonts w:ascii="Times New Roman;serif" w:hAnsi="Times New Roman;serif"/>
          <w:b w:val="false"/>
          <w:color w:val="000000"/>
          <w:sz w:val="24"/>
        </w:rPr>
      </w:pPr>
      <w:r>
        <w:rPr>
          <w:rFonts w:ascii="Times New Roman;serif" w:hAnsi="Times New Roman;serif"/>
          <w:b w:val="false"/>
          <w:color w:val="000000"/>
          <w:sz w:val="24"/>
        </w:rPr>
        <w:t>Investor.Relations@arm.com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99.2</w:t>
      </w:r>
    </w:p>
    <w:p>
      <w:pPr>
        <w:pStyle w:val="TextBody"/>
        <w:bidi w:val="0"/>
        <w:spacing w:lineRule="auto" w:line="288"/>
        <w:jc w:val="left"/>
        <w:rPr>
          <w:shd w:fill="FFFFFF" w:val="clear"/>
        </w:rPr>
      </w:pPr>
      <w:r>
        <w:rPr>
          <w:rFonts w:ascii="Times New Roman;serif" w:hAnsi="Times New Roman;serif"/>
          <w:b w:val="false"/>
          <w:color w:val="000000"/>
          <w:sz w:val="20"/>
          <w:shd w:fill="FFFF00" w:val="clear"/>
        </w:rPr>
        <w:br/>
      </w:r>
      <w:r>
        <w:rPr>
          <w:shd w:fill="FFFFFF" w:val="clear"/>
        </w:rPr>
        <w:drawing>
          <wp:inline distT="0" distB="0" distL="0" distR="0">
            <wp:extent cx="6057900" cy="7839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057900" cy="7839075"/>
                    </a:xfrm>
                    <a:prstGeom prst="rect">
                      <a:avLst/>
                    </a:prstGeom>
                  </pic:spPr>
                </pic:pic>
              </a:graphicData>
            </a:graphic>
          </wp:inline>
        </w:drawing>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8110"/>
                <wp:effectExtent l="0" t="0" r="0" b="0"/>
                <wp:wrapNone/>
                <wp:docPr id="5" name="Frame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58"/>
        <w:gridCol w:w="2706"/>
        <w:gridCol w:w="3841"/>
      </w:tblGrid>
      <w:tr>
        <w:trPr/>
        <w:tc>
          <w:tcPr>
            <w:tcW w:w="3658"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7FF"/>
              <w:left w:val="single" w:sz="8" w:space="0" w:color="0057FF"/>
              <w:right w:val="single" w:sz="8" w:space="0" w:color="0057FF"/>
            </w:tcBorders>
            <w:shd w:fill="CCEEFF" w:val="clear"/>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Arm will be hosting a conference call via an audio webcast to discuss earnings at 14:00 Pacific Time (17:00 Eastern Time, 22:00 GMT) on Wednesday, November 5, 2025. A replay of and a transcript of the call will be available the following day.</w:t>
            </w:r>
          </w:p>
        </w:tc>
      </w:tr>
      <w:tr>
        <w:trPr/>
        <w:tc>
          <w:tcPr>
            <w:tcW w:w="10205" w:type="dxa"/>
            <w:gridSpan w:val="3"/>
            <w:tcBorders>
              <w:left w:val="single" w:sz="8" w:space="0" w:color="0057FF"/>
              <w:bottom w:val="single" w:sz="8" w:space="0" w:color="0057FF"/>
              <w:right w:val="single" w:sz="8" w:space="0" w:color="0057FF"/>
            </w:tcBorders>
            <w:shd w:fill="CCEEFF" w:val="clear"/>
            <w:tcMar>
              <w:top w:w="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webcast and replay can be accessed at: https://edge.media-server.com/mmc/p/ujw5pboy</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57FF"/>
          <w:sz w:val="20"/>
          <w:shd w:fill="FFFFFF" w:val="clear"/>
        </w:rPr>
      </w:pPr>
      <w:r>
        <w:rPr>
          <w:rFonts w:ascii="Times New Roman;serif" w:hAnsi="Times New Roman;serif"/>
          <w:b/>
          <w:color w:val="0057FF"/>
          <w:sz w:val="20"/>
          <w:shd w:fill="FFFFFF" w:val="clear"/>
        </w:rPr>
        <w:t xml:space="preserve">Dear Shareholder,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Arm delivered strong second quarter results. Revenue grew 34% year-on-year to $1.14 billion, our third consecutive billion dollar revenue quarter and above the high end of guidance. Royalty revenue grew 21% year-over-year to a record of $620 million. Royalty revenue growth came from all target end markets — including smartphones, data center, automotive, and IoT — illustrating our momentum across the business. Licensing revenue of $515 million increased 56% year-over-year. Demand for the Arm platform is strong as more leading companies signed high-value licenses for next-generation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robust revenue growth lifted our non-GAAP EPS above the high end of our guidance range even while we set another record in R&amp;D investment. Our financial performance is a testament to our unwavering commitment to long-term innovation across a broad portfolio of compute technologies.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Arm: the AI Platform Powering the Future – from Milliwatts to Megawatts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Artificial intelligence is transforming every industry and Arm is at the center of this revolution. As AI workloads scale across cloud AI, physical AI, and edge AI, the demand for high-performance and energy-efficient compute continues to accelerate. Arm is the only compute platform delivering AI everywhere — from milliwatts in the smallest of edge devices to megawatts in the world's largest data centers.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Arm and Meta announced a strategic partnership that highlights the full range of the Arm compute platform. This collaboration spans everything from AI-enabled wearables to AI data centers running Arm Neoverse cores that power the recommendation engines behind Meta's family of applications including Facebook and Instagram. By co-designing across the entire compute stack, Arm is enabling a consistent software architecture from glasses to the data center — something only Arm’s platform can deliver. This positions Arm as a key beneficiary as Meta scales its AI capabilities from edge devices to gigawatt-scale data centers.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Accelerating Time to Market with Compute Subsystems</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chip design grows more complex, customers are increasingly adopting Arm Compute Subsystems (CSS) to accelerate development and reduce execution risk. Demand continues to exceed our expectations. During the quarter, Arm signed three CSS licenses — one each in smartphones, tablets, and data centers — which brings our total number of CSS licenses to 19 across 11 companies. Five customers are already shipping CSS-based chips, including one that is shipping its second generation of the platform. We continue our deep collaboration with Samsung to leverage CSS for their Exynos family of chipsets, which means the top four Android phone vendors are now all shipping CSS-powered devices. CSS is becoming the preferred starting point for customers across many end markets and a significant tailwind for royalty revenue growth.</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Arm also launched the Lumex CSS platform — our most advanced smartphone platform to date. Lumex delivers up to 5x faster AI performance on the CPU with Scalable Matrix Extensions (SME2) and up to 3x greater energy efficiency compared to the prior generation. This enables rich on-device AI experiences, such as real-time translation, image enhancement, and personal assistants. The ecosystem is already embracing Lumex. Leading applications such as Gmail, YouTube and AliPay are now accelerating on-device inference and real-time personalization. Partners such as MediaTek are designing Lumex configurations into their next-generation chips, with flagship smartphones from OPPO and vivo already launched in calendar Q4 2025. Lumex also integrates Arm’s Mali G1 GPU, delivering up to twice the AI and graphics performance of the prior generation and enabling top games such as Fortnite and Genshin Impact.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Momentum in Cloud AI</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Arm's momentum in cloud AI continues to accelerate as our compute platform becomes foundational to the world's leading AI infrastructure. Arm Neoverse CPUs have now surpassed 1 billion cores deployed to run the complex AI and hyperscaler workloads that define modern computing. Spanning both general purpose and custom silicon designs, from NVIDIA Grace and AWS Graviton to Google Axion and Microsoft Cobalt, Arm delivers unmatched performance, efficiency, and software breadth across the full range of AI workloads. </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8110"/>
                <wp:effectExtent l="0" t="0" r="0" b="0"/>
                <wp:wrapNone/>
                <wp:docPr id="6" name="Frame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AWS Graviton 4 and SageMaker AI now run quantized small-language-model inference and asynchronous AI agents natively on Arm, demonstrating how CPU-based AI can deliver high performance and cost efficiency for a new class of generative-AI applications. Google has already migrated more than 30,000 applications — including YouTube and Gmail — to Arm, with plans to transition the majority of its 100,000+ applications. Its Axion chips deliver up to 65% better price performance while using up to 60% less energy than comparable instances on Google Cloud, while Microsoft has expanded its Cobalt 100 deployments to 29 regions globally.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Customers are increasingly deploying Arm Neoverse CPUs as head nodes alongside AI accelerators for training and inference workloads, reinforcing Arm's position as the new unit of compute in the AI data center. We expect Arm's share of CPUs deployed by top hyperscalers to reach nearly 50% this year. As AI agents proliferate, demand for efficient CPU compute is set to expand significantly — a trend that directly benefits Arm.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NVIDIA has secured over half a trillion dollars in expected orders through 2026, illustrating demand for its Arm-based Grace Blackwell superchips remains exceptionally strong. The addition of five new Stargate AI data center sites, all anchored on Arm as a strategic compute platform, underscores Arm's central role powering AI at scale.</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color w:val="000000"/>
          <w:sz w:val="20"/>
          <w:shd w:fill="FFFFFF" w:val="clear"/>
        </w:rPr>
        <w:t>Next Frontier of AI at the Edge and in the Physical World</w:t>
      </w:r>
      <w:r>
        <w:rPr>
          <w:color w:val="000000"/>
          <w:shd w:fill="FFFFFF" w:val="clear"/>
        </w:rPr>
        <w:t xml:space="preserve">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Arm’s compute platform is enabling real-time intelligence across edge AI and the physical AI world. Across these domains, Arm delivers high-performance, energy-efficient, and secure compute where responsiveness and reliability are critical.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edge, AI is transforming how people interact with devices in their hands and homes. During Q2, Google launched the Pixel 10 phone powered by the new Arm-based Tensor G5 chip. The Tensor G5 runs the new Gemini model up to 2.6x faster and 2x more efficiently than prior generations. In PCs, NVIDIA began shipping its Arm-based DGX Spark for AI developers — a compact desktop supercomputer used for local model training, fine tuning, and inference — expanding Arm’s presence in edge compute and accelerating on-device AI innovation by bringing data center capabilities directly to the desk of developers.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physical world, AI is reshaping how machines move, sense, and operate. This quarter, a flagship EV from a leading automaker was introduced to market, built on Arm’s compute platform and featuring Arm Automotive Enhanced technologies that enable intelligent park assist, multilingual voice control, and real-time safety. Tesla also introduced its next-generation AI5 chip, designed for upcoming vehicles and robots and based on Arm’s compute platform. Delivering up to 40x faster AI performance than the prior generation, it demonstrates how Arm is enabling breakthrough efficiency and scalability across automotive and robotics applications. As AI continues to move closer to where data is generated and decisions are made, the edge and physical world represent the next major wave of growth for Arm’s compute platform.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The Broadest Developer Ecosystem in Computing</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Arm's ecosystem remains a powerful competitive advantage. It unites developers, partners, and open standards across every segment of compute. Software drives hardware adoption, and Arm’s developer base is the powerful flywheel accelerating our growth. With over 22 million developers, representing more than 80% of the global total, Arm has the largest developer community in computing from cloud to edge.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quarter, we strengthened the software foundation of our platform through new AI integrations and frameworks. Arm launched an agentic AI integration with GitHub Copilot, enabling millions of developers to automate and optimize cloud workload migration to Arm-based infrastructure. We also advanced AI software performance through Arm KleidiAI, which enhances leading frameworks including PyTorch — delivering up to 2.5x faster performance on transformer-based models — and ExecuTorch — improving the speed and energy efficiency of on-device AI by more than 20%. Together, these enhancements deliver faster AI response times and greater compute efficiency across billions of devices and are central to Meta’s AI strategy.</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Arm continues to lead the open collaboration shaping the future of compute. In Q2, we contributed the Foundation Chiplet System Architecture (FCSA) to accelerate chiplet-based System-on-a-Chip (SoC) design with Arm, and Arm Total Design has tripled its membership since its 2023 launch and added 10 new members at the Open Compute Project (OCP) Summit including Marvell.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8110"/>
                <wp:effectExtent l="0" t="0" r="0" b="0"/>
                <wp:wrapNone/>
                <wp:docPr id="7" name="Frame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3</w:t>
                      </w:r>
                    </w:p>
                  </w:txbxContent>
                </v:textbox>
                <w10:wrap type="none"/>
              </v:rect>
            </w:pict>
          </mc:Fallback>
        </mc:AlternateContent>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br/>
        <w:br/>
      </w:r>
      <w:r>
        <w:rPr>
          <w:rFonts w:ascii="Times New Roman;serif" w:hAnsi="Times New Roman;serif"/>
          <w:b/>
          <w:color w:val="000000"/>
          <w:sz w:val="20"/>
          <w:shd w:fill="FFFFFF" w:val="clear"/>
        </w:rPr>
        <w:t>Arm - the Only Platform Delivering AI Everywhere</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AI is reshaping every part of computing — from hyperscale data centers and autonomous machines to devices in the palm of your hand. Only Arm provides the unified compute platform powering this full spectrum of AI workloads. Arm combines unmatched breadth with the performance, efficiency, and security that the AI era demands.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remain focused on executing our strategy: expanding our Compute Subsystem (CSS) portfolio, strengthening our software and developer ecosystem, and accelerating innovation with our partners. As AI continues to proliferate across industries and form factors, Arm’s platform will remain the common foundation connecting them all — driving long-term growth, ecosystem expansion, and sustainable value creation for our shareholders.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7"/>
        <w:gridCol w:w="2866"/>
        <w:gridCol w:w="4072"/>
      </w:tblGrid>
      <w:tr>
        <w:trPr/>
        <w:tc>
          <w:tcPr>
            <w:tcW w:w="326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7FF"/>
              <w:left w:val="single" w:sz="8" w:space="0" w:color="0057FF"/>
              <w:bottom w:val="single" w:sz="8" w:space="0" w:color="0057FF"/>
              <w:right w:val="single" w:sz="8" w:space="0" w:color="0057FF"/>
            </w:tcBorders>
            <w:tcMar>
              <w:top w:w="30" w:type="dxa"/>
              <w:bottom w:w="3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Arm’s Q2 FYE26 revenue exceeded $1 billion for the third consecutive quarter, with record royalties reflecting a new high in demand for the Arm compute platform,” said Rene Haas, CEO. “As workload complexity accelerates with every new model and every new agent, Arm is the compute platform for the AI era — delivering high performance, power-efficient AI everywhere.” </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Sincerely,</w:t>
      </w:r>
    </w:p>
    <w:p>
      <w:pPr>
        <w:pStyle w:val="TextBody"/>
        <w:bidi w:val="0"/>
        <w:spacing w:before="0" w:after="0"/>
        <w:jc w:val="both"/>
        <w:rPr/>
      </w:pPr>
      <w:r>
        <w:rPr/>
      </w:r>
    </w:p>
    <w:tbl>
      <w:tblPr>
        <w:tblW w:w="4742" w:type="dxa"/>
        <w:jc w:val="left"/>
        <w:tblInd w:w="0" w:type="dxa"/>
        <w:tblLayout w:type="fixed"/>
        <w:tblCellMar>
          <w:top w:w="28" w:type="dxa"/>
          <w:left w:w="28" w:type="dxa"/>
          <w:bottom w:w="28" w:type="dxa"/>
          <w:right w:w="28" w:type="dxa"/>
        </w:tblCellMar>
      </w:tblPr>
      <w:tblGrid>
        <w:gridCol w:w="895"/>
        <w:gridCol w:w="787"/>
        <w:gridCol w:w="794"/>
        <w:gridCol w:w="662"/>
        <w:gridCol w:w="662"/>
        <w:gridCol w:w="942"/>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Rene Haas, </w:t>
              <w:br/>
              <w:t>Chief Executive Officer</w:t>
            </w:r>
          </w:p>
        </w:tc>
        <w:tc>
          <w:tcPr>
            <w:tcW w:w="226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Jason Child, </w:t>
              <w:br/>
              <w:t>Chief Financial Officer</w:t>
            </w:r>
          </w:p>
        </w:tc>
      </w:tr>
      <w:tr>
        <w:trPr/>
        <w:tc>
          <w:tcPr>
            <w:tcW w:w="247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57FF"/>
                <w:sz w:val="20"/>
              </w:rPr>
            </w:pPr>
            <w:r>
              <w:rPr>
                <w:rFonts w:ascii="Times New Roman;serif" w:hAnsi="Times New Roman;serif"/>
                <w:b/>
                <w:color w:val="0057FF"/>
                <w:sz w:val="20"/>
              </w:rPr>
              <w:t>Investor Contact</w:t>
            </w:r>
          </w:p>
          <w:p>
            <w:pPr>
              <w:pStyle w:val="TableContents"/>
              <w:bidi w:val="0"/>
              <w:spacing w:lineRule="auto" w:line="268" w:before="0" w:after="0"/>
              <w:jc w:val="both"/>
              <w:rPr>
                <w:rFonts w:ascii="Times New Roman;serif" w:hAnsi="Times New Roman;serif"/>
                <w:b w:val="false"/>
                <w:color w:val="231F20"/>
                <w:sz w:val="20"/>
              </w:rPr>
            </w:pPr>
            <w:r>
              <w:rPr>
                <w:rFonts w:ascii="Times New Roman;serif" w:hAnsi="Times New Roman;serif"/>
                <w:b w:val="false"/>
                <w:color w:val="231F20"/>
                <w:sz w:val="20"/>
              </w:rPr>
              <w:t>Investor.Relations@arm.com</w:t>
            </w:r>
          </w:p>
        </w:tc>
        <w:tc>
          <w:tcPr>
            <w:tcW w:w="226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57FF"/>
                <w:sz w:val="20"/>
              </w:rPr>
            </w:pPr>
            <w:r>
              <w:rPr>
                <w:rFonts w:ascii="Times New Roman;serif" w:hAnsi="Times New Roman;serif"/>
                <w:b/>
                <w:color w:val="0057FF"/>
                <w:sz w:val="20"/>
              </w:rPr>
              <w:t xml:space="preserve">Media Contact </w:t>
            </w:r>
          </w:p>
          <w:p>
            <w:pPr>
              <w:pStyle w:val="TableContents"/>
              <w:bidi w:val="0"/>
              <w:spacing w:lineRule="auto" w:line="268" w:before="0" w:after="0"/>
              <w:jc w:val="both"/>
              <w:rPr>
                <w:rFonts w:ascii="Times New Roman;serif" w:hAnsi="Times New Roman;serif"/>
                <w:b w:val="false"/>
                <w:color w:val="231F20"/>
                <w:sz w:val="20"/>
              </w:rPr>
            </w:pPr>
            <w:r>
              <w:rPr>
                <w:rFonts w:ascii="Times New Roman;serif" w:hAnsi="Times New Roman;serif"/>
                <w:b w:val="false"/>
                <w:color w:val="231F20"/>
                <w:sz w:val="20"/>
              </w:rPr>
              <w:t>Global-PRteam@arm.com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8110"/>
                <wp:effectExtent l="0" t="0" r="0" b="0"/>
                <wp:wrapNone/>
                <wp:docPr id="8" name="Frame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4</w:t>
                      </w:r>
                    </w:p>
                  </w:txbxContent>
                </v:textbox>
                <w10:wrap type="none"/>
              </v:rect>
            </w:pict>
          </mc:Fallback>
        </mc:AlternateContent>
      </w:r>
    </w:p>
    <w:p>
      <w:pPr>
        <w:pStyle w:val="TextBody"/>
        <w:bidi w:val="0"/>
        <w:spacing w:lineRule="auto" w:line="288" w:before="120" w:after="240"/>
        <w:jc w:val="both"/>
        <w:rPr>
          <w:rFonts w:ascii="Times New Roman;serif" w:hAnsi="Times New Roman;serif"/>
          <w:b/>
          <w:color w:val="0057FF"/>
          <w:sz w:val="20"/>
          <w:shd w:fill="FFFFFF" w:val="clear"/>
        </w:rPr>
      </w:pPr>
      <w:r>
        <w:rPr>
          <w:rFonts w:ascii="Times New Roman;serif" w:hAnsi="Times New Roman;serif"/>
          <w:b/>
          <w:color w:val="0057FF"/>
          <w:sz w:val="20"/>
          <w:shd w:fill="FFFFFF" w:val="clear"/>
        </w:rPr>
        <w:t>Q2 FYE26 Financial Overview</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Arm's Q2 results demonstrated strong year-over-year revenue growth. Total revenue increased 34% year-over-year to $1,135 million, a record for a second quarter. Revenues exceeded $1 billion for the third consecutive quarter.</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 xml:space="preserve">Royalty revenue increased 21% year-over-year to </w:t>
      </w:r>
      <w:r>
        <w:rPr>
          <w:rFonts w:ascii="Times New Roman;serif" w:hAnsi="Times New Roman;serif"/>
          <w:b w:val="false"/>
          <w:color w:val="231F20"/>
          <w:sz w:val="20"/>
          <w:shd w:fill="FFFFFF" w:val="clear"/>
        </w:rPr>
        <w:t xml:space="preserve">$620 million, driven </w:t>
      </w:r>
      <w:r>
        <w:rPr>
          <w:rFonts w:ascii="Times New Roman;serif" w:hAnsi="Times New Roman;serif"/>
          <w:b w:val="false"/>
          <w:color w:val="000000"/>
          <w:sz w:val="20"/>
          <w:shd w:fill="FFFFFF" w:val="clear"/>
        </w:rPr>
        <w:t xml:space="preserve">by the </w:t>
      </w:r>
      <w:r>
        <w:rPr>
          <w:rFonts w:ascii="Times New Roman;serif" w:hAnsi="Times New Roman;serif"/>
          <w:b w:val="false"/>
          <w:color w:val="231F20"/>
          <w:sz w:val="20"/>
          <w:shd w:fill="FFFFFF" w:val="clear"/>
        </w:rPr>
        <w:t>c</w:t>
      </w:r>
      <w:r>
        <w:rPr>
          <w:rFonts w:ascii="Times New Roman;serif" w:hAnsi="Times New Roman;serif"/>
          <w:b w:val="false"/>
          <w:color w:val="000000"/>
          <w:sz w:val="20"/>
          <w:shd w:fill="FFFFFF" w:val="clear"/>
        </w:rPr>
        <w:t xml:space="preserve">ontinued adoption of Arm technology with higher royalty rates per chip, such as Armv9 architecture and Arm CSS, and increased usage of Arm-based chips in data centers. </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License and other revenue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231F20"/>
          <w:sz w:val="20"/>
          <w:shd w:fill="FFFFFF" w:val="clear"/>
        </w:rPr>
        <w:t xml:space="preserve">56% year-over-year to </w:t>
      </w:r>
      <w:r>
        <w:rPr>
          <w:rFonts w:ascii="Times New Roman;serif" w:hAnsi="Times New Roman;serif"/>
          <w:b w:val="false"/>
          <w:color w:val="000000"/>
          <w:sz w:val="20"/>
          <w:shd w:fill="FFFFFF" w:val="clear"/>
        </w:rPr>
        <w:t>$515 million d</w:t>
      </w:r>
      <w:r>
        <w:rPr>
          <w:rFonts w:ascii="Times New Roman;serif" w:hAnsi="Times New Roman;serif"/>
          <w:b w:val="false"/>
          <w:color w:val="231F20"/>
          <w:sz w:val="20"/>
          <w:shd w:fill="FFFFFF" w:val="clear"/>
        </w:rPr>
        <w:t>ue to normal fluctuations in the timing and size of multiple high-value license agreements and contributions from backlog.</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Annualized contract value (ACV), a metric for normalized license and other revenue, increased 28% year-over-year to $1,600 million.</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Remaining performance obligations (RPO), a metric for unearned revenue and amounts to be invoiced and recognized in future periods, increased 1% quarter-over-quarter to $2,246 million. </w:t>
      </w:r>
      <w:r>
        <w:rPr>
          <w:rFonts w:ascii="Times New Roman;serif" w:hAnsi="Times New Roman;serif"/>
          <w:b w:val="false"/>
          <w:color w:val="231F20"/>
          <w:sz w:val="20"/>
          <w:shd w:fill="FFFFFF" w:val="clear"/>
        </w:rPr>
        <w:t xml:space="preserve">The Company expects to recognize approximately </w:t>
      </w:r>
      <w:r>
        <w:rPr>
          <w:rFonts w:ascii="Times New Roman;serif" w:hAnsi="Times New Roman;serif"/>
          <w:b w:val="false"/>
          <w:color w:val="000000"/>
          <w:sz w:val="20"/>
          <w:shd w:fill="FFFFFF" w:val="clear"/>
        </w:rPr>
        <w:t>29%</w:t>
      </w:r>
      <w:r>
        <w:rPr>
          <w:color w:val="231F20"/>
          <w:shd w:fill="FFFFFF" w:val="clear"/>
        </w:rPr>
        <w:t xml:space="preserve"> </w:t>
      </w:r>
      <w:r>
        <w:rPr>
          <w:rFonts w:ascii="Times New Roman;serif" w:hAnsi="Times New Roman;serif"/>
          <w:b w:val="false"/>
          <w:color w:val="231F20"/>
          <w:sz w:val="20"/>
          <w:shd w:fill="FFFFFF" w:val="clear"/>
        </w:rPr>
        <w:t xml:space="preserve">of RPO as revenue over the next </w:t>
      </w:r>
      <w:r>
        <w:rPr>
          <w:rFonts w:ascii="Times New Roman;serif" w:hAnsi="Times New Roman;serif"/>
          <w:b w:val="false"/>
          <w:color w:val="000000"/>
          <w:sz w:val="20"/>
          <w:shd w:fill="FFFFFF" w:val="clear"/>
        </w:rPr>
        <w:t>12</w:t>
      </w:r>
      <w:r>
        <w:rPr>
          <w:color w:val="231F20"/>
          <w:shd w:fill="FFFFFF" w:val="clear"/>
        </w:rPr>
        <w:t xml:space="preserve"> </w:t>
      </w:r>
      <w:r>
        <w:rPr>
          <w:rFonts w:ascii="Times New Roman;serif" w:hAnsi="Times New Roman;serif"/>
          <w:b w:val="false"/>
          <w:color w:val="231F20"/>
          <w:sz w:val="20"/>
          <w:shd w:fill="FFFFFF" w:val="clear"/>
        </w:rPr>
        <w:t xml:space="preserve">months, </w:t>
      </w:r>
      <w:r>
        <w:rPr>
          <w:rFonts w:ascii="Times New Roman;serif" w:hAnsi="Times New Roman;serif"/>
          <w:b w:val="false"/>
          <w:color w:val="000000"/>
          <w:sz w:val="20"/>
          <w:shd w:fill="FFFFFF" w:val="clear"/>
        </w:rPr>
        <w:t>16%</w:t>
      </w:r>
      <w:r>
        <w:rPr>
          <w:color w:val="231F20"/>
          <w:shd w:fill="FFFFFF" w:val="clear"/>
        </w:rPr>
        <w:t xml:space="preserve"> </w:t>
      </w:r>
      <w:r>
        <w:rPr>
          <w:rFonts w:ascii="Times New Roman;serif" w:hAnsi="Times New Roman;serif"/>
          <w:b w:val="false"/>
          <w:color w:val="231F20"/>
          <w:sz w:val="20"/>
          <w:shd w:fill="FFFFFF" w:val="clear"/>
        </w:rPr>
        <w:t xml:space="preserve">over the subsequent </w:t>
      </w:r>
      <w:r>
        <w:rPr>
          <w:rFonts w:ascii="Times New Roman;serif" w:hAnsi="Times New Roman;serif"/>
          <w:b w:val="false"/>
          <w:color w:val="000000"/>
          <w:sz w:val="20"/>
          <w:shd w:fill="FFFFFF" w:val="clear"/>
        </w:rPr>
        <w:t>13</w:t>
      </w:r>
      <w:r>
        <w:rPr>
          <w:rFonts w:ascii="Times New Roman;serif" w:hAnsi="Times New Roman;serif"/>
          <w:b w:val="false"/>
          <w:color w:val="231F20"/>
          <w:sz w:val="20"/>
          <w:shd w:fill="FFFFFF" w:val="clear"/>
        </w:rPr>
        <w:t xml:space="preserve">-to </w:t>
      </w:r>
      <w:r>
        <w:rPr>
          <w:rFonts w:ascii="Times New Roman;serif" w:hAnsi="Times New Roman;serif"/>
          <w:b w:val="false"/>
          <w:color w:val="000000"/>
          <w:sz w:val="20"/>
          <w:shd w:fill="FFFFFF" w:val="clear"/>
        </w:rPr>
        <w:t>24</w:t>
      </w:r>
      <w:r>
        <w:rPr>
          <w:rFonts w:ascii="Times New Roman;serif" w:hAnsi="Times New Roman;serif"/>
          <w:b w:val="false"/>
          <w:color w:val="231F20"/>
          <w:sz w:val="20"/>
          <w:shd w:fill="FFFFFF" w:val="clear"/>
        </w:rPr>
        <w:t>-month period, and the remainder thereafter.</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Arm Total Access licenses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231F20"/>
          <w:sz w:val="20"/>
          <w:shd w:fill="FFFFFF" w:val="clear"/>
        </w:rPr>
        <w:t xml:space="preserve">by </w:t>
      </w:r>
      <w:r>
        <w:rPr>
          <w:rFonts w:ascii="Times New Roman;serif" w:hAnsi="Times New Roman;serif"/>
          <w:b w:val="false"/>
          <w:color w:val="000000"/>
          <w:sz w:val="20"/>
          <w:shd w:fill="FFFFFF" w:val="clear"/>
        </w:rPr>
        <w:t>3</w:t>
      </w:r>
      <w:r>
        <w:rPr>
          <w:color w:val="231F20"/>
          <w:shd w:fill="FFFFFF" w:val="clear"/>
        </w:rPr>
        <w:t xml:space="preserve"> </w:t>
      </w:r>
      <w:r>
        <w:rPr>
          <w:rFonts w:ascii="Times New Roman;serif" w:hAnsi="Times New Roman;serif"/>
          <w:b w:val="false"/>
          <w:color w:val="231F20"/>
          <w:sz w:val="20"/>
          <w:shd w:fill="FFFFFF" w:val="clear"/>
        </w:rPr>
        <w:t xml:space="preserve">during the quarter to 48, including more than half of our top 30 customers. Arm Flexible Access customers </w:t>
      </w:r>
      <w:r>
        <w:rPr>
          <w:rFonts w:ascii="Times New Roman;serif" w:hAnsi="Times New Roman;serif"/>
          <w:b w:val="false"/>
          <w:color w:val="000000"/>
          <w:sz w:val="20"/>
          <w:shd w:fill="FFFFFF" w:val="clear"/>
        </w:rPr>
        <w:t>decreased</w:t>
      </w:r>
      <w:r>
        <w:rPr>
          <w:color w:val="231F20"/>
          <w:shd w:fill="FFFFFF" w:val="clear"/>
        </w:rPr>
        <w:t xml:space="preserve"> </w:t>
      </w:r>
      <w:r>
        <w:rPr>
          <w:rFonts w:ascii="Times New Roman;serif" w:hAnsi="Times New Roman;serif"/>
          <w:b w:val="false"/>
          <w:color w:val="231F20"/>
          <w:sz w:val="20"/>
          <w:shd w:fill="FFFFFF" w:val="clear"/>
        </w:rPr>
        <w:t xml:space="preserve">by </w:t>
      </w:r>
      <w:r>
        <w:rPr>
          <w:rFonts w:ascii="Times New Roman;serif" w:hAnsi="Times New Roman;serif"/>
          <w:b w:val="false"/>
          <w:color w:val="000000"/>
          <w:sz w:val="20"/>
          <w:shd w:fill="FFFFFF" w:val="clear"/>
        </w:rPr>
        <w:t>1</w:t>
      </w:r>
      <w:r>
        <w:rPr>
          <w:color w:val="231F20"/>
          <w:shd w:fill="FFFFFF" w:val="clear"/>
        </w:rPr>
        <w:t xml:space="preserve"> </w:t>
      </w:r>
      <w:r>
        <w:rPr>
          <w:rFonts w:ascii="Times New Roman;serif" w:hAnsi="Times New Roman;serif"/>
          <w:b w:val="false"/>
          <w:color w:val="231F20"/>
          <w:sz w:val="20"/>
          <w:shd w:fill="FFFFFF" w:val="clear"/>
        </w:rPr>
        <w:t>during the quarter to 312.</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GAAP gross profit was $1,106 million, which equates to a GAAP gross margin of 97.4%. Non-GAAP gross profit was $1,115 million, which equates to a non-GAAP gross margin of 98.2%.</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operating expenses were $943 million. </w:t>
      </w:r>
      <w:r>
        <w:rPr>
          <w:rFonts w:ascii="Times New Roman;serif" w:hAnsi="Times New Roman;serif"/>
          <w:b w:val="false"/>
          <w:color w:val="000000"/>
          <w:sz w:val="20"/>
          <w:shd w:fill="FFFFFF" w:val="clear"/>
        </w:rPr>
        <w:t xml:space="preserve">Non-GAAP operating expenses were </w:t>
      </w:r>
      <w:r>
        <w:rPr>
          <w:rFonts w:ascii="Times New Roman;serif" w:hAnsi="Times New Roman;serif"/>
          <w:b w:val="false"/>
          <w:color w:val="231F20"/>
          <w:sz w:val="20"/>
          <w:shd w:fill="FFFFFF" w:val="clear"/>
        </w:rPr>
        <w:t xml:space="preserve">$648 million and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000000"/>
          <w:sz w:val="20"/>
          <w:shd w:fill="FFFFFF" w:val="clear"/>
        </w:rPr>
        <w:t>31%</w:t>
      </w:r>
      <w:r>
        <w:rPr>
          <w:color w:val="231F20"/>
          <w:shd w:fill="FFFFFF" w:val="clear"/>
        </w:rPr>
        <w:t xml:space="preserve"> </w:t>
      </w:r>
      <w:r>
        <w:rPr>
          <w:rFonts w:ascii="Times New Roman;serif" w:hAnsi="Times New Roman;serif"/>
          <w:b w:val="false"/>
          <w:color w:val="231F20"/>
          <w:sz w:val="20"/>
          <w:shd w:fill="FFFFFF" w:val="clear"/>
        </w:rPr>
        <w:t>year-over-year.</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research and development was </w:t>
      </w:r>
      <w:r>
        <w:rPr>
          <w:rFonts w:ascii="Times New Roman;serif" w:hAnsi="Times New Roman;serif"/>
          <w:b w:val="false"/>
          <w:color w:val="000000"/>
          <w:sz w:val="20"/>
          <w:shd w:fill="FFFFFF" w:val="clear"/>
        </w:rPr>
        <w:t xml:space="preserve">$691 million. Non-GAAP </w:t>
      </w:r>
      <w:r>
        <w:rPr>
          <w:rFonts w:ascii="Times New Roman;serif" w:hAnsi="Times New Roman;serif"/>
          <w:b w:val="false"/>
          <w:color w:val="231F20"/>
          <w:sz w:val="20"/>
          <w:shd w:fill="FFFFFF" w:val="clear"/>
        </w:rPr>
        <w:t>research and development</w:t>
      </w:r>
      <w:r>
        <w:rPr>
          <w:color w:val="000000"/>
          <w:shd w:fill="FFFFFF" w:val="clear"/>
        </w:rPr>
        <w:t xml:space="preserve"> </w:t>
      </w:r>
      <w:r>
        <w:rPr>
          <w:rFonts w:ascii="Times New Roman;serif" w:hAnsi="Times New Roman;serif"/>
          <w:b w:val="false"/>
          <w:color w:val="000000"/>
          <w:sz w:val="20"/>
          <w:shd w:fill="FFFFFF" w:val="clear"/>
        </w:rPr>
        <w:t>was $466 million and increased 45% year-over-year driven by investment in engineering headcount.</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GAAP selling, general and administrative was $252 million</w:t>
      </w:r>
      <w:r>
        <w:rPr>
          <w:rFonts w:ascii="Times New Roman;serif" w:hAnsi="Times New Roman;serif"/>
          <w:b w:val="false"/>
          <w:color w:val="231F20"/>
          <w:sz w:val="20"/>
          <w:shd w:fill="FFFFFF" w:val="clear"/>
        </w:rPr>
        <w:t>. Non-</w:t>
      </w:r>
      <w:r>
        <w:rPr>
          <w:rFonts w:ascii="Times New Roman;serif" w:hAnsi="Times New Roman;serif"/>
          <w:b w:val="false"/>
          <w:color w:val="000000"/>
          <w:sz w:val="20"/>
          <w:shd w:fill="FFFFFF" w:val="clear"/>
        </w:rPr>
        <w:t>GAAP selling, general and administrative was $182 million</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000000"/>
          <w:sz w:val="20"/>
          <w:shd w:fill="FFFFFF" w:val="clear"/>
        </w:rPr>
        <w:t>6%</w:t>
      </w:r>
      <w:r>
        <w:rPr>
          <w:color w:val="231F20"/>
          <w:shd w:fill="FFFFFF" w:val="clear"/>
        </w:rPr>
        <w:t xml:space="preserve"> </w:t>
      </w:r>
      <w:r>
        <w:rPr>
          <w:rFonts w:ascii="Times New Roman;serif" w:hAnsi="Times New Roman;serif"/>
          <w:b w:val="false"/>
          <w:color w:val="231F20"/>
          <w:sz w:val="20"/>
          <w:shd w:fill="FFFFFF" w:val="clear"/>
        </w:rPr>
        <w:t>year-over-year.</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operating income was $163 million. </w:t>
      </w:r>
      <w:r>
        <w:rPr>
          <w:rFonts w:ascii="Times New Roman;serif" w:hAnsi="Times New Roman;serif"/>
          <w:b w:val="false"/>
          <w:color w:val="000000"/>
          <w:sz w:val="20"/>
          <w:shd w:fill="FFFFFF" w:val="clear"/>
        </w:rPr>
        <w:t>Non-GAAP operating income was $467 million.</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GAAP operating margin increased to </w:t>
      </w:r>
      <w:r>
        <w:rPr>
          <w:rFonts w:ascii="Times New Roman;serif" w:hAnsi="Times New Roman;serif"/>
          <w:b w:val="false"/>
          <w:color w:val="231F20"/>
          <w:sz w:val="20"/>
          <w:shd w:fill="FFFFFF" w:val="clear"/>
        </w:rPr>
        <w:t>14.4%</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231F20"/>
          <w:sz w:val="20"/>
          <w:shd w:fill="FFFFFF" w:val="clear"/>
        </w:rPr>
        <w:t>7.6%</w:t>
      </w:r>
      <w:r>
        <w:rPr>
          <w:color w:val="000000"/>
          <w:shd w:fill="FFFFFF" w:val="clear"/>
        </w:rPr>
        <w:t xml:space="preserve"> </w:t>
      </w:r>
      <w:r>
        <w:rPr>
          <w:rFonts w:ascii="Times New Roman;serif" w:hAnsi="Times New Roman;serif"/>
          <w:b w:val="false"/>
          <w:color w:val="000000"/>
          <w:sz w:val="20"/>
          <w:shd w:fill="FFFFFF" w:val="clear"/>
        </w:rPr>
        <w:t xml:space="preserve">in the prior year period. Non-GAAP operating margin increased to </w:t>
      </w:r>
      <w:r>
        <w:rPr>
          <w:rFonts w:ascii="Times New Roman;serif" w:hAnsi="Times New Roman;serif"/>
          <w:b w:val="false"/>
          <w:color w:val="231F20"/>
          <w:sz w:val="20"/>
          <w:shd w:fill="FFFFFF" w:val="clear"/>
        </w:rPr>
        <w:t>41.1%</w:t>
      </w:r>
      <w:r>
        <w:rPr>
          <w:color w:val="000000"/>
          <w:shd w:fill="FFFFFF" w:val="clear"/>
        </w:rPr>
        <w:t xml:space="preserve"> </w:t>
      </w:r>
      <w:r>
        <w:rPr>
          <w:rFonts w:ascii="Times New Roman;serif" w:hAnsi="Times New Roman;serif"/>
          <w:b w:val="false"/>
          <w:color w:val="000000"/>
          <w:sz w:val="20"/>
          <w:shd w:fill="FFFFFF" w:val="clear"/>
        </w:rPr>
        <w:t>from 38.6% in the prior year period.</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effective tax rate was </w:t>
      </w:r>
      <w:r>
        <w:rPr>
          <w:rFonts w:ascii="Times New Roman;serif" w:hAnsi="Times New Roman;serif"/>
          <w:b w:val="false"/>
          <w:color w:val="000000"/>
          <w:sz w:val="20"/>
          <w:shd w:fill="FFFFFF" w:val="clear"/>
        </w:rPr>
        <w:t xml:space="preserve">21.2%. </w:t>
      </w:r>
      <w:r>
        <w:rPr>
          <w:rFonts w:ascii="Times New Roman;serif" w:hAnsi="Times New Roman;serif"/>
          <w:b w:val="false"/>
          <w:color w:val="231F20"/>
          <w:sz w:val="20"/>
          <w:shd w:fill="FFFFFF" w:val="clear"/>
        </w:rPr>
        <w:t>The non-GAAP effective tax rate was 15.1%.</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net income was $238 million and </w:t>
      </w:r>
      <w:r>
        <w:rPr>
          <w:rFonts w:ascii="Times New Roman;serif" w:hAnsi="Times New Roman;serif"/>
          <w:b w:val="false"/>
          <w:color w:val="000000"/>
          <w:sz w:val="20"/>
          <w:shd w:fill="FFFFFF" w:val="clear"/>
        </w:rPr>
        <w:t xml:space="preserve">GAAP </w:t>
      </w:r>
      <w:r>
        <w:rPr>
          <w:rFonts w:ascii="Times New Roman;serif" w:hAnsi="Times New Roman;serif"/>
          <w:b w:val="false"/>
          <w:color w:val="231F20"/>
          <w:sz w:val="20"/>
          <w:shd w:fill="FFFFFF" w:val="clear"/>
        </w:rPr>
        <w:t xml:space="preserve">fully diluted earnings per share ("EPS") was $0.22 compared with $0.10 in the same period a year ago. Non-GAAP net income was $417 million and non-GAAP fully diluted EPS was </w:t>
      </w:r>
      <w:r>
        <w:rPr>
          <w:rFonts w:ascii="Times New Roman;serif" w:hAnsi="Times New Roman;serif"/>
          <w:b w:val="false"/>
          <w:color w:val="000000"/>
          <w:sz w:val="20"/>
          <w:shd w:fill="FFFFFF" w:val="clear"/>
        </w:rPr>
        <w:t>$0.39</w:t>
      </w:r>
      <w:r>
        <w:rPr>
          <w:color w:val="231F20"/>
          <w:shd w:fill="FFFFFF" w:val="clear"/>
        </w:rPr>
        <w:t xml:space="preserve"> </w:t>
      </w:r>
      <w:r>
        <w:rPr>
          <w:rFonts w:ascii="Times New Roman;serif" w:hAnsi="Times New Roman;serif"/>
          <w:b w:val="false"/>
          <w:color w:val="231F20"/>
          <w:sz w:val="20"/>
          <w:shd w:fill="FFFFFF" w:val="clear"/>
        </w:rPr>
        <w:t xml:space="preserve">compared with </w:t>
      </w:r>
      <w:r>
        <w:rPr>
          <w:rFonts w:ascii="Times New Roman;serif" w:hAnsi="Times New Roman;serif"/>
          <w:b w:val="false"/>
          <w:color w:val="000000"/>
          <w:sz w:val="20"/>
          <w:shd w:fill="FFFFFF" w:val="clear"/>
        </w:rPr>
        <w:t>$0.30</w:t>
      </w:r>
      <w:r>
        <w:rPr>
          <w:color w:val="231F20"/>
          <w:shd w:fill="FFFFFF" w:val="clear"/>
        </w:rPr>
        <w:t xml:space="preserve"> </w:t>
      </w:r>
      <w:r>
        <w:rPr>
          <w:rFonts w:ascii="Times New Roman;serif" w:hAnsi="Times New Roman;serif"/>
          <w:b w:val="false"/>
          <w:color w:val="231F20"/>
          <w:sz w:val="20"/>
          <w:shd w:fill="FFFFFF" w:val="clear"/>
        </w:rPr>
        <w:t>in the same period a year ago.</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 xml:space="preserve">Operating cash flow was </w:t>
      </w:r>
      <w:r>
        <w:rPr>
          <w:rFonts w:ascii="Times New Roman;serif" w:hAnsi="Times New Roman;serif"/>
          <w:b w:val="false"/>
          <w:color w:val="231F20"/>
          <w:sz w:val="20"/>
          <w:shd w:fill="FFFFFF" w:val="clear"/>
        </w:rPr>
        <w:t>$567 million and non-GAAP f</w:t>
      </w:r>
      <w:r>
        <w:rPr>
          <w:rFonts w:ascii="Times New Roman;serif" w:hAnsi="Times New Roman;serif"/>
          <w:b w:val="false"/>
          <w:color w:val="000000"/>
          <w:sz w:val="20"/>
          <w:shd w:fill="FFFFFF" w:val="clear"/>
        </w:rPr>
        <w:t xml:space="preserve">ree cash flow (FCF) was </w:t>
      </w:r>
      <w:r>
        <w:rPr>
          <w:rFonts w:ascii="Times New Roman;serif" w:hAnsi="Times New Roman;serif"/>
          <w:b w:val="false"/>
          <w:color w:val="231F20"/>
          <w:sz w:val="20"/>
          <w:shd w:fill="FFFFFF" w:val="clear"/>
        </w:rPr>
        <w:t>$411 million.</w:t>
      </w:r>
    </w:p>
    <w:p>
      <w:pPr>
        <w:pStyle w:val="TextBody"/>
        <w:bidi w:val="0"/>
        <w:spacing w:lineRule="auto" w:line="288" w:before="60" w:after="24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Cash and cash equivalents and short-term investments totaled </w:t>
      </w:r>
      <w:r>
        <w:rPr>
          <w:rFonts w:ascii="Times New Roman;serif" w:hAnsi="Times New Roman;serif"/>
          <w:b w:val="false"/>
          <w:color w:val="000000"/>
          <w:sz w:val="20"/>
          <w:shd w:fill="FFFFFF" w:val="clear"/>
        </w:rPr>
        <w:t>$3,258 million</w:t>
      </w:r>
      <w:r>
        <w:rPr>
          <w:rFonts w:ascii="Times New Roman;serif" w:hAnsi="Times New Roman;serif"/>
          <w:b w:val="false"/>
          <w:color w:val="231F2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8110"/>
                <wp:effectExtent l="0" t="0" r="0" b="0"/>
                <wp:wrapNone/>
                <wp:docPr id="9" name="Frame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5</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57FF"/>
          <w:sz w:val="20"/>
          <w:shd w:fill="FFFFFF" w:val="clear"/>
        </w:rPr>
      </w:pPr>
      <w:r>
        <w:rPr>
          <w:rFonts w:ascii="Times New Roman;serif" w:hAnsi="Times New Roman;serif"/>
          <w:b/>
          <w:color w:val="0057FF"/>
          <w:sz w:val="20"/>
          <w:shd w:fill="FFFFFF" w:val="clear"/>
        </w:rPr>
        <w:t>Guidance and Results</w:t>
      </w:r>
    </w:p>
    <w:p>
      <w:pPr>
        <w:pStyle w:val="TextBody"/>
        <w:bidi w:val="0"/>
        <w:spacing w:before="0" w:after="0"/>
        <w:jc w:val="both"/>
        <w:rPr/>
      </w:pPr>
      <w:r>
        <w:rPr/>
      </w:r>
    </w:p>
    <w:tbl>
      <w:tblPr>
        <w:tblW w:w="8030" w:type="dxa"/>
        <w:jc w:val="left"/>
        <w:tblInd w:w="0" w:type="dxa"/>
        <w:tblLayout w:type="fixed"/>
        <w:tblCellMar>
          <w:top w:w="28" w:type="dxa"/>
          <w:left w:w="28" w:type="dxa"/>
          <w:bottom w:w="28" w:type="dxa"/>
          <w:right w:w="28" w:type="dxa"/>
        </w:tblCellMar>
      </w:tblPr>
      <w:tblGrid>
        <w:gridCol w:w="1380"/>
        <w:gridCol w:w="1214"/>
        <w:gridCol w:w="1221"/>
        <w:gridCol w:w="535"/>
        <w:gridCol w:w="535"/>
        <w:gridCol w:w="535"/>
        <w:gridCol w:w="334"/>
        <w:gridCol w:w="334"/>
        <w:gridCol w:w="337"/>
        <w:gridCol w:w="470"/>
        <w:gridCol w:w="470"/>
        <w:gridCol w:w="665"/>
      </w:tblGrid>
      <w:tr>
        <w:trPr/>
        <w:tc>
          <w:tcPr>
            <w:tcW w:w="138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op w:val="single" w:sz="8" w:space="0" w:color="000000"/>
              <w:left w:val="single" w:sz="8" w:space="0" w:color="000000"/>
              <w:bottom w:val="single" w:sz="8" w:space="0" w:color="000000"/>
            </w:tcBorders>
            <w:shd w:fill="0057FF" w:val="clear"/>
            <w:tcMar>
              <w:top w:w="30" w:type="dxa"/>
              <w:bottom w:w="30" w:type="dxa"/>
              <w:right w:w="0" w:type="dxa"/>
            </w:tcMar>
            <w:vAlign w:val="center"/>
          </w:tcPr>
          <w:p>
            <w:pPr>
              <w:pStyle w:val="TableContents"/>
              <w:bidi w:val="0"/>
              <w:spacing w:lineRule="auto" w:line="240" w:before="0" w:after="283"/>
              <w:ind w:left="0" w:right="0" w:firstLine="1"/>
              <w:jc w:val="left"/>
              <w:rPr>
                <w:color w:val="FFFFFF"/>
              </w:rPr>
            </w:pPr>
            <w:r>
              <w:rPr>
                <w:color w:val="FFFFFF"/>
              </w:rPr>
              <w:t> </w:t>
            </w:r>
            <w:r>
              <w:rPr>
                <w:rFonts w:ascii="Times New Roman;serif" w:hAnsi="Times New Roman;serif"/>
                <w:b/>
                <w:color w:val="FFFFFF"/>
                <w:sz w:val="20"/>
              </w:rPr>
              <w:t>Quarterly Guidance &amp; Results</w:t>
            </w:r>
          </w:p>
        </w:tc>
        <w:tc>
          <w:tcPr>
            <w:tcW w:w="1605" w:type="dxa"/>
            <w:gridSpan w:val="3"/>
            <w:tcBorders>
              <w:top w:val="single" w:sz="8" w:space="0" w:color="000000"/>
              <w:left w:val="single" w:sz="8" w:space="0" w:color="000000"/>
              <w:bottom w:val="single" w:sz="8" w:space="0" w:color="000000"/>
            </w:tcBorders>
            <w:shd w:fill="0057FF" w:val="clear"/>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FFFFFF"/>
                <w:sz w:val="20"/>
              </w:rPr>
            </w:pPr>
            <w:r>
              <w:rPr>
                <w:rFonts w:ascii="Times New Roman;serif" w:hAnsi="Times New Roman;serif"/>
                <w:b/>
                <w:color w:val="FFFFFF"/>
                <w:sz w:val="20"/>
              </w:rPr>
              <w:t>Q2 FYE26</w:t>
            </w:r>
          </w:p>
          <w:p>
            <w:pPr>
              <w:pStyle w:val="TableContents"/>
              <w:bidi w:val="0"/>
              <w:spacing w:lineRule="auto" w:line="268" w:before="0" w:after="0"/>
              <w:ind w:left="0" w:right="0" w:firstLine="128"/>
              <w:jc w:val="center"/>
              <w:rPr>
                <w:rFonts w:ascii="Times New Roman;serif" w:hAnsi="Times New Roman;serif"/>
                <w:b/>
                <w:color w:val="FFFFFF"/>
                <w:sz w:val="20"/>
              </w:rPr>
            </w:pPr>
            <w:r>
              <w:rPr>
                <w:rFonts w:ascii="Times New Roman;serif" w:hAnsi="Times New Roman;serif"/>
                <w:b/>
                <w:color w:val="FFFFFF"/>
                <w:sz w:val="20"/>
              </w:rPr>
              <w:t>Guidance</w:t>
            </w:r>
          </w:p>
        </w:tc>
        <w:tc>
          <w:tcPr>
            <w:tcW w:w="1005" w:type="dxa"/>
            <w:gridSpan w:val="3"/>
            <w:tcBorders>
              <w:top w:val="single" w:sz="8" w:space="0" w:color="000000"/>
              <w:left w:val="single" w:sz="8" w:space="0" w:color="000000"/>
              <w:bottom w:val="single" w:sz="8" w:space="0" w:color="000000"/>
            </w:tcBorders>
            <w:shd w:fill="0057FF" w:val="clear"/>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FFFFFF"/>
                <w:sz w:val="20"/>
              </w:rPr>
            </w:pPr>
            <w:r>
              <w:rPr>
                <w:rFonts w:ascii="Times New Roman;serif" w:hAnsi="Times New Roman;serif"/>
                <w:b/>
                <w:color w:val="FFFFFF"/>
                <w:sz w:val="20"/>
              </w:rPr>
              <w:t>Q2 FYE26</w:t>
            </w:r>
          </w:p>
          <w:p>
            <w:pPr>
              <w:pStyle w:val="TableContents"/>
              <w:bidi w:val="0"/>
              <w:spacing w:lineRule="auto" w:line="268" w:before="0" w:after="0"/>
              <w:ind w:left="0" w:right="0" w:firstLine="1"/>
              <w:jc w:val="center"/>
              <w:rPr>
                <w:rFonts w:ascii="Times New Roman;serif" w:hAnsi="Times New Roman;serif"/>
                <w:b/>
                <w:color w:val="FFFFFF"/>
                <w:sz w:val="20"/>
              </w:rPr>
            </w:pPr>
            <w:r>
              <w:rPr>
                <w:rFonts w:ascii="Times New Roman;serif" w:hAnsi="Times New Roman;serif"/>
                <w:b/>
                <w:color w:val="FFFFFF"/>
                <w:sz w:val="20"/>
              </w:rPr>
              <w:t>Results</w:t>
            </w:r>
          </w:p>
        </w:tc>
        <w:tc>
          <w:tcPr>
            <w:tcW w:w="1605" w:type="dxa"/>
            <w:gridSpan w:val="3"/>
            <w:tcBorders>
              <w:top w:val="single" w:sz="8" w:space="0" w:color="000000"/>
              <w:left w:val="single" w:sz="8" w:space="0" w:color="000000"/>
              <w:bottom w:val="single" w:sz="8" w:space="0" w:color="000000"/>
              <w:right w:val="single" w:sz="8" w:space="0" w:color="000000"/>
            </w:tcBorders>
            <w:shd w:fill="0057FF" w:val="clear"/>
            <w:tcMar>
              <w:top w:w="30" w:type="dxa"/>
              <w:bottom w:w="30" w:type="dxa"/>
            </w:tcMar>
            <w:vAlign w:val="center"/>
          </w:tcPr>
          <w:p>
            <w:pPr>
              <w:pStyle w:val="TableContents"/>
              <w:bidi w:val="0"/>
              <w:spacing w:lineRule="auto" w:line="268" w:before="0" w:after="0"/>
              <w:jc w:val="center"/>
              <w:rPr>
                <w:rFonts w:ascii="Times New Roman;serif" w:hAnsi="Times New Roman;serif"/>
                <w:b/>
                <w:color w:val="FFFFFF"/>
                <w:sz w:val="20"/>
              </w:rPr>
            </w:pPr>
            <w:r>
              <w:rPr>
                <w:rFonts w:ascii="Times New Roman;serif" w:hAnsi="Times New Roman;serif"/>
                <w:b/>
                <w:color w:val="FFFFFF"/>
                <w:sz w:val="20"/>
              </w:rPr>
              <w:t>Q3 FYE26</w:t>
            </w:r>
          </w:p>
          <w:p>
            <w:pPr>
              <w:pStyle w:val="TableContents"/>
              <w:bidi w:val="0"/>
              <w:spacing w:lineRule="auto" w:line="268" w:before="0" w:after="0"/>
              <w:ind w:left="0" w:right="0" w:firstLine="80"/>
              <w:jc w:val="center"/>
              <w:rPr>
                <w:rFonts w:ascii="Times New Roman;serif" w:hAnsi="Times New Roman;serif"/>
                <w:b/>
                <w:color w:val="FFFFFF"/>
                <w:sz w:val="20"/>
              </w:rPr>
            </w:pPr>
            <w:r>
              <w:rPr>
                <w:rFonts w:ascii="Times New Roman;serif" w:hAnsi="Times New Roman;serif"/>
                <w:b/>
                <w:color w:val="FFFFFF"/>
                <w:sz w:val="20"/>
              </w:rPr>
              <w:t>Guidance</w:t>
            </w:r>
          </w:p>
        </w:tc>
      </w:tr>
      <w:tr>
        <w:trPr/>
        <w:tc>
          <w:tcPr>
            <w:tcW w:w="3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
              <w:jc w:val="left"/>
              <w:rPr>
                <w:rFonts w:ascii="Times New Roman;serif" w:hAnsi="Times New Roman;serif"/>
                <w:b w:val="false"/>
                <w:color w:val="333E48"/>
                <w:sz w:val="20"/>
              </w:rPr>
            </w:pPr>
            <w:r>
              <w:rPr>
                <w:rFonts w:ascii="Times New Roman;serif" w:hAnsi="Times New Roman;serif"/>
                <w:b w:val="false"/>
                <w:color w:val="333E48"/>
                <w:sz w:val="20"/>
              </w:rPr>
              <w:t>Revenue</w:t>
            </w:r>
          </w:p>
        </w:tc>
        <w:tc>
          <w:tcPr>
            <w:tcW w:w="1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$1.01bn - $1.11bn</w:t>
            </w:r>
          </w:p>
        </w:tc>
        <w:tc>
          <w:tcPr>
            <w:tcW w:w="10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center"/>
              <w:rPr>
                <w:rFonts w:ascii="Times New Roman;serif" w:hAnsi="Times New Roman;serif"/>
                <w:b w:val="false"/>
                <w:color w:val="231F20"/>
                <w:sz w:val="20"/>
              </w:rPr>
            </w:pPr>
            <w:r>
              <w:rPr>
                <w:rFonts w:ascii="Times New Roman;serif" w:hAnsi="Times New Roman;serif"/>
                <w:b w:val="false"/>
                <w:color w:val="231F20"/>
                <w:sz w:val="20"/>
              </w:rPr>
              <w:t>$1,135m</w:t>
            </w:r>
          </w:p>
        </w:tc>
        <w:tc>
          <w:tcPr>
            <w:tcW w:w="16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1.225bn +/- $50m</w:t>
            </w:r>
          </w:p>
        </w:tc>
      </w:tr>
      <w:tr>
        <w:trPr/>
        <w:tc>
          <w:tcPr>
            <w:tcW w:w="3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231F20"/>
                <w:sz w:val="20"/>
              </w:rPr>
              <w:t>Non-GAAP operating expense</w:t>
            </w:r>
            <w:r>
              <w:rPr>
                <w:color w:val="231F20"/>
              </w:rPr>
              <w:t xml:space="preserve"> </w:t>
            </w:r>
            <w:r>
              <w:rPr>
                <w:rFonts w:ascii="Times New Roman;serif" w:hAnsi="Times New Roman;serif"/>
                <w:b w:val="false"/>
                <w:color w:val="231F20"/>
                <w:sz w:val="13"/>
              </w:rPr>
              <w:t>(1)</w:t>
            </w:r>
          </w:p>
        </w:tc>
        <w:tc>
          <w:tcPr>
            <w:tcW w:w="1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center"/>
              <w:rPr>
                <w:rFonts w:ascii="Times New Roman;serif" w:hAnsi="Times New Roman;serif"/>
                <w:b w:val="false"/>
                <w:color w:val="231F20"/>
                <w:sz w:val="20"/>
              </w:rPr>
            </w:pPr>
            <w:r>
              <w:rPr>
                <w:rFonts w:ascii="Times New Roman;serif" w:hAnsi="Times New Roman;serif"/>
                <w:b w:val="false"/>
                <w:color w:val="231F20"/>
                <w:sz w:val="20"/>
              </w:rPr>
              <w:t>~$655m</w:t>
            </w:r>
          </w:p>
        </w:tc>
        <w:tc>
          <w:tcPr>
            <w:tcW w:w="10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center"/>
              <w:rPr>
                <w:rFonts w:ascii="Times New Roman;serif" w:hAnsi="Times New Roman;serif"/>
                <w:b w:val="false"/>
                <w:color w:val="231F20"/>
                <w:sz w:val="20"/>
              </w:rPr>
            </w:pPr>
            <w:r>
              <w:rPr>
                <w:rFonts w:ascii="Times New Roman;serif" w:hAnsi="Times New Roman;serif"/>
                <w:b w:val="false"/>
                <w:color w:val="231F20"/>
                <w:sz w:val="20"/>
              </w:rPr>
              <w:t>$648m</w:t>
            </w:r>
          </w:p>
        </w:tc>
        <w:tc>
          <w:tcPr>
            <w:tcW w:w="16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~$720m</w:t>
            </w:r>
          </w:p>
        </w:tc>
      </w:tr>
      <w:tr>
        <w:trPr/>
        <w:tc>
          <w:tcPr>
            <w:tcW w:w="38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26" w:before="0" w:after="0"/>
              <w:ind w:left="0" w:right="0" w:firstLine="6"/>
              <w:jc w:val="left"/>
              <w:rPr/>
            </w:pPr>
            <w:r>
              <w:rPr>
                <w:rFonts w:ascii="Times New Roman;serif" w:hAnsi="Times New Roman;serif"/>
                <w:b w:val="false"/>
                <w:color w:val="231F20"/>
                <w:sz w:val="20"/>
              </w:rPr>
              <w:t xml:space="preserve">Non-GAAP fully diluted earnings per share </w:t>
            </w:r>
            <w:r>
              <w:rPr>
                <w:rFonts w:ascii="Times New Roman;serif" w:hAnsi="Times New Roman;serif"/>
                <w:b w:val="false"/>
                <w:color w:val="231F20"/>
                <w:sz w:val="13"/>
              </w:rPr>
              <w:t>(1)</w:t>
            </w:r>
          </w:p>
        </w:tc>
        <w:tc>
          <w:tcPr>
            <w:tcW w:w="16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$0.29 - $0.37</w:t>
            </w:r>
          </w:p>
        </w:tc>
        <w:tc>
          <w:tcPr>
            <w:tcW w:w="10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6"/>
              <w:jc w:val="center"/>
              <w:rPr>
                <w:rFonts w:ascii="Times New Roman;serif" w:hAnsi="Times New Roman;serif"/>
                <w:b w:val="false"/>
                <w:color w:val="231F20"/>
                <w:sz w:val="20"/>
              </w:rPr>
            </w:pPr>
            <w:r>
              <w:rPr>
                <w:rFonts w:ascii="Times New Roman;serif" w:hAnsi="Times New Roman;serif"/>
                <w:b w:val="false"/>
                <w:color w:val="231F20"/>
                <w:sz w:val="20"/>
              </w:rPr>
              <w:t>$0.39</w:t>
            </w:r>
          </w:p>
        </w:tc>
        <w:tc>
          <w:tcPr>
            <w:tcW w:w="16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$0.41 +/- $0.04</w:t>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8110"/>
                <wp:effectExtent l="0" t="0" r="0" b="0"/>
                <wp:wrapNone/>
                <wp:docPr id="10" name="Frame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57FF"/>
          <w:sz w:val="20"/>
        </w:rPr>
      </w:pPr>
      <w:r>
        <w:rPr>
          <w:rFonts w:ascii="Times New Roman;serif" w:hAnsi="Times New Roman;serif"/>
          <w:b/>
          <w:color w:val="0057FF"/>
          <w:sz w:val="20"/>
        </w:rPr>
        <w:t>Key Financial and Operating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the following key performance indicators and non-GAAP financial measures to analyze our business performance and financial forecasts and to develop strategic plans, which we believe provide useful information to investors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key financial and operating metrics for the three months ended September 30, 2025 (for year-to-date key financial metrics, see the "Condensed Consolidated Income Statements" and "GAAP to Non</w:t>
        <w:noBreakHyphen/>
        <w:t>GAAP Reconciliation" sections below):</w:t>
      </w:r>
    </w:p>
    <w:tbl>
      <w:tblPr>
        <w:tblW w:w="10046" w:type="dxa"/>
        <w:jc w:val="left"/>
        <w:tblInd w:w="0" w:type="dxa"/>
        <w:tblLayout w:type="fixed"/>
        <w:tblCellMar>
          <w:top w:w="28" w:type="dxa"/>
          <w:left w:w="28" w:type="dxa"/>
          <w:bottom w:w="28" w:type="dxa"/>
          <w:right w:w="28" w:type="dxa"/>
        </w:tblCellMar>
      </w:tblPr>
      <w:tblGrid>
        <w:gridCol w:w="1685"/>
        <w:gridCol w:w="1479"/>
        <w:gridCol w:w="1486"/>
        <w:gridCol w:w="334"/>
        <w:gridCol w:w="334"/>
        <w:gridCol w:w="336"/>
        <w:gridCol w:w="334"/>
        <w:gridCol w:w="334"/>
        <w:gridCol w:w="336"/>
        <w:gridCol w:w="210"/>
        <w:gridCol w:w="210"/>
        <w:gridCol w:w="210"/>
        <w:gridCol w:w="334"/>
        <w:gridCol w:w="334"/>
        <w:gridCol w:w="336"/>
        <w:gridCol w:w="334"/>
        <w:gridCol w:w="334"/>
        <w:gridCol w:w="336"/>
        <w:gridCol w:w="217"/>
        <w:gridCol w:w="217"/>
        <w:gridCol w:w="316"/>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where indicated)</w:t>
            </w:r>
          </w:p>
        </w:tc>
        <w:tc>
          <w:tcPr>
            <w:tcW w:w="263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GAAP</w:t>
            </w:r>
          </w:p>
        </w:tc>
        <w:tc>
          <w:tcPr>
            <w:tcW w:w="2758"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Non-GAAP </w:t>
            </w:r>
            <w:r>
              <w:rPr>
                <w:rFonts w:ascii="Times New Roman;serif" w:hAnsi="Times New Roman;serif"/>
                <w:b/>
                <w:color w:val="000000"/>
                <w:sz w:val="13"/>
              </w:rPr>
              <w:t>(1)</w:t>
            </w:r>
          </w:p>
        </w:tc>
      </w:tr>
      <w:tr>
        <w:trPr/>
        <w:tc>
          <w:tcPr>
            <w:tcW w:w="4650" w:type="dxa"/>
            <w:gridSpan w:val="3"/>
            <w:vMerge w:val="continue"/>
            <w:tcBorders/>
            <w:tcMar>
              <w:top w:w="0" w:type="dxa"/>
              <w:left w:w="0" w:type="dxa"/>
              <w:bottom w:w="0" w:type="dxa"/>
              <w:right w:w="0" w:type="dxa"/>
            </w:tcMar>
            <w:vAlign w:val="center"/>
          </w:tcPr>
          <w:p>
            <w:pPr>
              <w:pStyle w:val="Normal"/>
              <w:bidi w:val="0"/>
              <w:jc w:val="left"/>
              <w:rPr/>
            </w:pPr>
            <w:r>
              <w:rPr/>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FYE26</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FYE25</w:t>
            </w:r>
          </w:p>
        </w:tc>
        <w:tc>
          <w:tcPr>
            <w:tcW w:w="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Y/Y%</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FYE26</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FYE25</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Y/Y%</w:t>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r>
              <w:rPr>
                <w:rFonts w:ascii="Times New Roman;serif" w:hAnsi="Times New Roman;serif"/>
                <w:b/>
                <w:color w:val="000000"/>
                <w:sz w:val="13"/>
              </w:rPr>
              <w:t>(2)</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$1,135</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$844</w:t>
            </w:r>
          </w:p>
        </w:tc>
        <w:tc>
          <w:tcPr>
            <w:tcW w:w="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$1,135</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$844</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w:t>
            </w:r>
          </w:p>
        </w:tc>
      </w:tr>
      <w:tr>
        <w:trPr/>
        <w:tc>
          <w:tcPr>
            <w:tcW w:w="465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w:t>
            </w:r>
          </w:p>
        </w:tc>
        <w:tc>
          <w:tcPr>
            <w:tcW w:w="6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w:t>
            </w:r>
          </w:p>
        </w:tc>
        <w:tc>
          <w:tcPr>
            <w:tcW w:w="75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4650"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620</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514</w:t>
            </w:r>
          </w:p>
        </w:tc>
        <w:tc>
          <w:tcPr>
            <w:tcW w:w="6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620</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514</w:t>
            </w:r>
          </w:p>
        </w:tc>
        <w:tc>
          <w:tcPr>
            <w:tcW w:w="75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1,106</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812</w:t>
            </w:r>
          </w:p>
        </w:tc>
        <w:tc>
          <w:tcPr>
            <w:tcW w:w="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1,115</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820</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w:t>
            </w:r>
          </w:p>
        </w:tc>
      </w:tr>
      <w:tr>
        <w:trPr/>
        <w:tc>
          <w:tcPr>
            <w:tcW w:w="4650"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97.4%</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96.2%</w:t>
            </w:r>
          </w:p>
        </w:tc>
        <w:tc>
          <w:tcPr>
            <w:tcW w:w="6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98.2%</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97.2%</w:t>
            </w:r>
          </w:p>
        </w:tc>
        <w:tc>
          <w:tcPr>
            <w:tcW w:w="75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$(748)</w:t>
            </w:r>
          </w:p>
        </w:tc>
        <w:tc>
          <w:tcPr>
            <w:tcW w:w="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$(648)</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$(494)</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w:t>
            </w:r>
          </w:p>
        </w:tc>
      </w:tr>
      <w:tr>
        <w:trPr/>
        <w:tc>
          <w:tcPr>
            <w:tcW w:w="4650"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(691)</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(507)</w:t>
            </w:r>
          </w:p>
        </w:tc>
        <w:tc>
          <w:tcPr>
            <w:tcW w:w="6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(466)</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75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4650"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6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w:t>
            </w:r>
          </w:p>
        </w:tc>
        <w:tc>
          <w:tcPr>
            <w:tcW w:w="75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163</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w:t>
            </w:r>
          </w:p>
        </w:tc>
        <w:tc>
          <w:tcPr>
            <w:tcW w:w="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155%</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467</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326</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w:t>
            </w:r>
          </w:p>
        </w:tc>
      </w:tr>
      <w:tr>
        <w:trPr/>
        <w:tc>
          <w:tcPr>
            <w:tcW w:w="4650"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14.4%</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7.6%</w:t>
            </w:r>
          </w:p>
        </w:tc>
        <w:tc>
          <w:tcPr>
            <w:tcW w:w="6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41.1%</w:t>
            </w:r>
          </w:p>
        </w:tc>
        <w:tc>
          <w:tcPr>
            <w:tcW w:w="10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38.6%</w:t>
            </w:r>
          </w:p>
        </w:tc>
        <w:tc>
          <w:tcPr>
            <w:tcW w:w="75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238</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107</w:t>
            </w:r>
          </w:p>
        </w:tc>
        <w:tc>
          <w:tcPr>
            <w:tcW w:w="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122%</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417</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317</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w:t>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(loss) per share ($)</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$0.22</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w:t>
            </w:r>
          </w:p>
        </w:tc>
        <w:tc>
          <w:tcPr>
            <w:tcW w:w="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120%</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$0.39</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$0.30</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w:t>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operating activities</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567</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6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nm </w:t>
            </w:r>
            <w:r>
              <w:rPr>
                <w:rFonts w:ascii="Times New Roman;serif" w:hAnsi="Times New Roman;serif"/>
                <w:b w:val="false"/>
                <w:color w:val="000000"/>
                <w:sz w:val="13"/>
              </w:rPr>
              <w:t>(4)</w:t>
            </w:r>
          </w:p>
        </w:tc>
        <w:tc>
          <w:tcPr>
            <w:tcW w:w="100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100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(732)%</w:t>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free cash flow trailing twelve months (TTM)</w:t>
            </w:r>
          </w:p>
        </w:tc>
        <w:tc>
          <w:tcPr>
            <w:tcW w:w="100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1,073</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4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Operating metrics </w:t>
            </w:r>
            <w:r>
              <w:rPr>
                <w:rFonts w:ascii="Times New Roman;serif" w:hAnsi="Times New Roman;serif"/>
                <w:b/>
                <w:color w:val="000000"/>
                <w:sz w:val="13"/>
              </w:rPr>
              <w:t>(3)</w:t>
            </w:r>
            <w:r>
              <w:rPr>
                <w:rFonts w:ascii="Times New Roman;serif" w:hAnsi="Times New Roman;serif"/>
                <w:b/>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FYE26</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FYE25</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Y/Y%</w:t>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contract value (in millions)</w:t>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$1,600</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$1,253</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46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(in millions)</w:t>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$2,246</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$2,385</w:t>
            </w:r>
          </w:p>
        </w:tc>
        <w:tc>
          <w:tcPr>
            <w:tcW w:w="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758" w:type="dxa"/>
            <w:gridSpan w:val="9"/>
            <w:tcBorders/>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758" w:type="dxa"/>
            <w:gridSpan w:val="9"/>
            <w:tcBorders/>
          </w:tcPr>
          <w:p>
            <w:pPr>
              <w:pStyle w:val="TableContents"/>
              <w:bidi w:val="0"/>
              <w:spacing w:before="0" w:after="283"/>
              <w:jc w:val="left"/>
              <w:rPr>
                <w:sz w:val="4"/>
                <w:szCs w:val="4"/>
              </w:rPr>
            </w:pPr>
            <w:r>
              <w:rPr>
                <w:sz w:val="4"/>
                <w:szCs w:val="4"/>
              </w:rPr>
            </w:r>
          </w:p>
        </w:tc>
      </w:tr>
      <w:tr>
        <w:trPr/>
        <w:tc>
          <w:tcPr>
            <w:tcW w:w="7288"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extant Arm Total Access licenses</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75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7288"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extant Arm Flexible Access licenses</w:t>
            </w:r>
          </w:p>
        </w:tc>
        <w:tc>
          <w:tcPr>
            <w:tcW w:w="1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1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w:t>
            </w:r>
          </w:p>
        </w:tc>
        <w:tc>
          <w:tcPr>
            <w:tcW w:w="750" w:type="dxa"/>
            <w:gridSpan w:val="3"/>
            <w:tcBorders>
              <w:top w:val="single" w:sz="8" w:space="0" w:color="000000"/>
              <w:left w:val="single" w:sz="8" w:space="0" w:color="000000"/>
              <w:bottom w:val="single" w:sz="8" w:space="0" w:color="000000"/>
              <w:right w:val="single" w:sz="8" w:space="0" w:color="000000"/>
            </w:tcBorders>
            <w:shd w:fill="DBDBD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Non-GAAP cost of sales, Non-GAAP gross profit, Non-GAAP gross margin, Non-GAAP operating expenses, Non-GAAP operating income (loss) Non-GAAP operating margin, Non-GAAP net income (loss), Non-GAAP diluted earnings (loss) per share,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pStyle w:val="TextBody"/>
        <w:bidi w:val="0"/>
        <w:spacing w:lineRule="auto" w:line="26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Total revenue, license and other revenue, and royalty revenue are presented in accordance with GAAP only.</w:t>
      </w:r>
    </w:p>
    <w:p>
      <w:pPr>
        <w:pStyle w:val="TextBody"/>
        <w:bidi w:val="0"/>
        <w:spacing w:lineRule="auto" w:line="26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Operating metrics are as of the last day of the applicable period. We continually review our key operating metrics to ensure that they provide useful information to investors in understanding and evaluating our results of operations. The quarterly number of employees and engineers as a key operating metric has become less relevant to our growth. We will continue to disclose our total number of employees on an annual basis in the shareholder letter for our fourth fiscal quarter, which we believe is sufficient and in line with comparable companies. As such, starting in Q1 FYE26, we are no longer reporting the total number of employees and engineers in our shareholder letter for our first, second and third fiscal quarters.</w:t>
      </w:r>
    </w:p>
    <w:p>
      <w:pPr>
        <w:pStyle w:val="TextBody"/>
        <w:bidi w:val="0"/>
        <w:spacing w:lineRule="auto" w:line="268"/>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Percentage changes +/- 1000% are considered not meaningful and are presented as "nm."</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8110"/>
                <wp:effectExtent l="0" t="0" r="0" b="0"/>
                <wp:wrapNone/>
                <wp:docPr id="11" name="Frame1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7</w:t>
                      </w:r>
                    </w:p>
                  </w:txbxContent>
                </v:textbox>
                <w10:wrap type="none"/>
              </v:rect>
            </w:pict>
          </mc:Fallback>
        </mc:AlternateContent>
      </w:r>
    </w:p>
    <w:p>
      <w:pPr>
        <w:pStyle w:val="TextBody"/>
        <w:bidi w:val="0"/>
        <w:spacing w:lineRule="auto" w:line="288" w:before="120" w:after="240"/>
        <w:ind w:left="0" w:right="0" w:hanging="270"/>
        <w:jc w:val="both"/>
        <w:rPr>
          <w:rFonts w:ascii="Times New Roman;serif" w:hAnsi="Times New Roman;serif"/>
          <w:b/>
          <w:color w:val="0057FF"/>
          <w:sz w:val="20"/>
        </w:rPr>
      </w:pPr>
      <w:r>
        <w:rPr>
          <w:rFonts w:ascii="Times New Roman;serif" w:hAnsi="Times New Roman;serif"/>
          <w:b/>
          <w:color w:val="0057FF"/>
          <w:sz w:val="20"/>
        </w:rPr>
        <w:t>Total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Our major product offerings consist of the following:</w:t>
      </w:r>
    </w:p>
    <w:p>
      <w:pPr>
        <w:pStyle w:val="TextBody"/>
        <w:bidi w:val="0"/>
        <w:spacing w:lineRule="auto" w:line="288" w:before="120" w:after="240"/>
        <w:jc w:val="left"/>
        <w:rPr>
          <w:rFonts w:ascii="Times New Roman;serif" w:hAnsi="Times New Roman;serif"/>
          <w:b/>
          <w:color w:val="0057FF"/>
          <w:sz w:val="20"/>
        </w:rPr>
      </w:pPr>
      <w:r>
        <w:rPr>
          <w:rFonts w:ascii="Times New Roman;serif" w:hAnsi="Times New Roman;serif"/>
          <w:b/>
          <w:color w:val="0057FF"/>
          <w:sz w:val="20"/>
        </w:rPr>
        <w:t>License and other revenue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Intellectual property license</w:t>
      </w:r>
      <w:r>
        <w:rPr>
          <w:color w:val="231F20"/>
        </w:rPr>
        <w:t xml:space="preserve"> — </w:t>
      </w:r>
      <w:r>
        <w:rPr>
          <w:rFonts w:ascii="Times New Roman;serif" w:hAnsi="Times New Roman;serif"/>
          <w:b w:val="false"/>
          <w:color w:val="231F20"/>
          <w:sz w:val="20"/>
        </w:rPr>
        <w:t>We generally license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pStyle w:val="TextBody"/>
        <w:bidi w:val="0"/>
        <w:spacing w:lineRule="auto" w:line="288" w:before="60" w:after="120"/>
        <w:jc w:val="both"/>
        <w:rPr>
          <w:rFonts w:ascii="Times New Roman;serif" w:hAnsi="Times New Roman;serif"/>
          <w:b w:val="false"/>
          <w:color w:val="231F20"/>
          <w:sz w:val="20"/>
        </w:rPr>
      </w:pPr>
      <w:r>
        <w:rPr>
          <w:rFonts w:ascii="Times New Roman;serif" w:hAnsi="Times New Roman;serif"/>
          <w:b w:val="false"/>
          <w:color w:val="231F20"/>
          <w:sz w:val="20"/>
        </w:rPr>
        <w:t xml:space="preserve">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Software sales, including development systems</w:t>
      </w:r>
      <w:r>
        <w:rPr>
          <w:color w:val="231F20"/>
        </w:rPr>
        <w:t xml:space="preserve"> — </w:t>
      </w:r>
      <w:r>
        <w:rPr>
          <w:rFonts w:ascii="Times New Roman;serif" w:hAnsi="Times New Roman;serif"/>
          <w:b w:val="false"/>
          <w:color w:val="231F20"/>
          <w:sz w:val="20"/>
        </w:rPr>
        <w:t>Sales of software, including development systems, which are not specifically designed for a given license (such as off-the-shelf software), are recognized upon delivery when control has been transferred and the customer can begin to use and benefit from the license.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Professional services</w:t>
      </w:r>
      <w:r>
        <w:rPr>
          <w:color w:val="231F20"/>
        </w:rPr>
        <w:t xml:space="preserve"> — </w:t>
      </w:r>
      <w:r>
        <w:rPr>
          <w:rFonts w:ascii="Times New Roman;serif" w:hAnsi="Times New Roman;serif"/>
          <w:b w:val="false"/>
          <w:color w:val="231F20"/>
          <w:sz w:val="20"/>
        </w:rPr>
        <w:t>Services (such as training, professional and design services) that we provide, which are not essential to the functionality of the IP, are separately stated and priced in the contract and accounted for separately. Training revenue is recognized as services are performed. Revenue from professional and design services is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 not create an asset with an alternative use. In certain arrangements, we also provide customers with professional and design services, as a stand-ready obligation, that are recognized on a ratable basis over the term of the contract.</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i/>
          <w:color w:val="231F20"/>
          <w:sz w:val="20"/>
        </w:rPr>
        <w:t>Support and maintenance</w:t>
      </w:r>
      <w:r>
        <w:rPr>
          <w:color w:val="231F20"/>
        </w:rPr>
        <w:t xml:space="preserve"> — </w:t>
      </w:r>
      <w:r>
        <w:rPr>
          <w:rFonts w:ascii="Times New Roman;serif" w:hAnsi="Times New Roman;serif"/>
          <w:b w:val="false"/>
          <w:color w:val="231F2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120" w:after="240"/>
        <w:jc w:val="left"/>
        <w:rPr>
          <w:rFonts w:ascii="Times New Roman;serif" w:hAnsi="Times New Roman;serif"/>
          <w:b/>
          <w:color w:val="0057FF"/>
          <w:sz w:val="20"/>
        </w:rPr>
      </w:pPr>
      <w:r>
        <w:rPr>
          <w:rFonts w:ascii="Times New Roman;serif" w:hAnsi="Times New Roman;serif"/>
          <w:b/>
          <w:color w:val="0057FF"/>
          <w:sz w:val="20"/>
        </w:rPr>
        <w:t>Royalty revenue</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For most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 </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8110"/>
                <wp:effectExtent l="0" t="0" r="0" b="0"/>
                <wp:wrapNone/>
                <wp:docPr id="12" name="Frame1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8</w:t>
                      </w:r>
                    </w:p>
                  </w:txbxContent>
                </v:textbox>
                <w10:wrap type="none"/>
              </v:rect>
            </w:pict>
          </mc:Fallback>
        </mc:AlternateConten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Royalty technology mix</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Royalty mix by architecture such as Armv9 is estimated at the SoC level based on the architecture of the primary CPU or an approximation of the IP mix and is subject to change based on the availability of additional product detail. Referenced figures are based on the most recent royalty report data that relates to the prior quarter.</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Number of extant Arm Total Access and Arm Flexible Access licenses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Each quarter, we track the number of extant Arm Total Access and Arm Flexible Access licenses with our customers, and those contracted through Arm Technology (China) Co. Limited ("Arm China"). Over the last several years many customers have opted for Arm Total Access and Arm Flexible Access licenses because of the subscription model providing comprehensive access to Arm IP products, tools and models, support and training, software, and physical IP.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We consider the number of extant Arm Total Access and Arm Flexible Access licenses as key performance indicators as they represent the increasing collaboration between us and our customers, which could be a leading indicator to more chips being designed with our products and, accordingly, more recurring royalty revenue in the future, improving our long-term market share.</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Annualized contract value ("ACV")</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Each quarter, we track the ACV relating to licensing agreements signed with our customers and those contracted through Arm China per the aggregate license fee as shared under the Intellectual Property License Agreement with Arm China.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Technology License Agreement, are deemed to be active for, and annualized over, three years based on the historical licensing patterns of our customers. The aggregate license fee shared by Arm China is also deemed to be active for, and annualized over, three years.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Remaining performance obligations ("RPO")</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RPO represents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Arm has elected to exclude potential future royalty receipts from the disclosure of RPO. Revenue recognition occurs upon delivery or beginning of license term, whichever is later. </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Non-GAAP financial measures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results determined in accordance with GAAP, we utilize and present financial measures that are not calculated and presented in accordance with GAAP. Our non-GAAP financial measures include non-GAAP cost of sales, non-GAAP gross profit (loss), non-GAAP gross margin, non-GAAP research and development operating expenses, non-GAAP selling, general and administrative operating expenses, non-GAAP operating expense, non-GAAP operating income (loss), non-GAAP operating margin, non-GAAP effective tax rate benefit (expense), non-GAAP income (loss) from equity investments, net, non-GAAP interest income, net, non-GAAP other non-operating income (loss), net, non-GAAP income (loss) before income taxes, non-GAAP income tax benefit (expense), net, non-GAAP net income (loss), non-GAAP basic and diluted net income per share, or earnings per share, attributable to ordinary shareholders, non-GAAP free cash flow, and non-GAAP free cash flow TTM. We believe these non-GAAP financial measures provide useful information to investors and others in understanding and evaluating our results of operations, as well as provide a useful measure for period-to-period comparisons of our business performance. Moreover, we have included these non-GAAP financial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8110"/>
                <wp:effectExtent l="0" t="0" r="0" b="0"/>
                <wp:wrapNone/>
                <wp:docPr id="13" name="Frame1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9</w:t>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measures because they are key measurements used by our 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(other than non-GAAP free cash flow and non-GAAP free cash flow TTM) presented herein exclude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other operating income (expenses), net, gain on disposal of business, costs associated with disposal activities, (income) loss from equity method investments, and income tax effect on non-GAAP adjustments. Non-GAAP free cash flow and non-GAAP free cash flow TTM exclude purchases of property and equipment, purchases of intangible assets, and payment of intangible asset obligations.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8110"/>
                <wp:effectExtent l="0" t="0" r="0" b="0"/>
                <wp:wrapNone/>
                <wp:docPr id="14" name="Frame1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Income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05"/>
        <w:gridCol w:w="1489"/>
        <w:gridCol w:w="1510"/>
        <w:gridCol w:w="278"/>
        <w:gridCol w:w="662"/>
        <w:gridCol w:w="154"/>
        <w:gridCol w:w="154"/>
        <w:gridCol w:w="154"/>
        <w:gridCol w:w="154"/>
        <w:gridCol w:w="278"/>
        <w:gridCol w:w="662"/>
        <w:gridCol w:w="154"/>
        <w:gridCol w:w="109"/>
        <w:gridCol w:w="109"/>
        <w:gridCol w:w="109"/>
        <w:gridCol w:w="235"/>
        <w:gridCol w:w="669"/>
        <w:gridCol w:w="131"/>
        <w:gridCol w:w="131"/>
        <w:gridCol w:w="131"/>
        <w:gridCol w:w="131"/>
        <w:gridCol w:w="235"/>
        <w:gridCol w:w="669"/>
        <w:gridCol w:w="192"/>
      </w:tblGrid>
      <w:tr>
        <w:trPr/>
        <w:tc>
          <w:tcPr>
            <w:tcW w:w="170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September 30,</w:t>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from external customers</w:t>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from related parties</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operating expense </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Income (loss) before income taxes </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w:t>
            </w:r>
          </w:p>
        </w:tc>
      </w:tr>
      <w:tr>
        <w:trPr/>
        <w:tc>
          <w:tcPr>
            <w:tcW w:w="4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r>
    </w:tbl>
    <w:p>
      <w:pPr>
        <w:pStyle w:val="TextBody"/>
        <w:bidi w:val="0"/>
        <w:spacing w:before="12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8110"/>
                <wp:effectExtent l="0" t="0" r="0" b="0"/>
                <wp:wrapNone/>
                <wp:docPr id="15" name="Frame1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96"/>
        <w:gridCol w:w="2336"/>
        <w:gridCol w:w="2362"/>
        <w:gridCol w:w="270"/>
        <w:gridCol w:w="767"/>
        <w:gridCol w:w="151"/>
        <w:gridCol w:w="109"/>
        <w:gridCol w:w="109"/>
        <w:gridCol w:w="109"/>
        <w:gridCol w:w="236"/>
        <w:gridCol w:w="671"/>
        <w:gridCol w:w="189"/>
      </w:tblGrid>
      <w:tr>
        <w:trPr/>
        <w:tc>
          <w:tcPr>
            <w:tcW w:w="289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(including receivables from related parties of $304 and $279 as of September 30, 2025 and March 31, 2025, respectively)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 (including contract assets from related parties of $352 and $152 as of September 30, 2025 and March 31, 2025, respectively)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4,830 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assets:</w:t>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 investments (including investments held under fair value option of $294 and $300 as of September 30, 2025 and March 31, 2025, respectively)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contract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non-current assets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liabilities (including contract liabilities from related parties of $88 and $105 as of September 30, 2025 and March 31, 2025, respectively)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current liabilities (including payables to related parties of $6 and $11 as of September 30, 2025 and March 31, 2025, respectively)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liabilities:</w:t>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accrued compensation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contract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operating lease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non-current liabilities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Ordinary shares, $0.001 par value; 1,097 shares authorized, 1,061 shares issued and outstanding as of September 30, 2025; and 1,088 shares authorized, 1,057 shares issued and outstanding as of March 31, 2025</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7,407 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6,839 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8110"/>
                <wp:effectExtent l="0" t="0" r="0" b="0"/>
                <wp:wrapNone/>
                <wp:docPr id="16" name="Frame1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76"/>
        <w:gridCol w:w="1563"/>
        <w:gridCol w:w="1569"/>
        <w:gridCol w:w="236"/>
        <w:gridCol w:w="672"/>
        <w:gridCol w:w="131"/>
        <w:gridCol w:w="131"/>
        <w:gridCol w:w="131"/>
        <w:gridCol w:w="131"/>
        <w:gridCol w:w="236"/>
        <w:gridCol w:w="672"/>
        <w:gridCol w:w="131"/>
        <w:gridCol w:w="109"/>
        <w:gridCol w:w="109"/>
        <w:gridCol w:w="109"/>
        <w:gridCol w:w="223"/>
        <w:gridCol w:w="635"/>
        <w:gridCol w:w="124"/>
        <w:gridCol w:w="124"/>
        <w:gridCol w:w="124"/>
        <w:gridCol w:w="124"/>
        <w:gridCol w:w="223"/>
        <w:gridCol w:w="635"/>
        <w:gridCol w:w="187"/>
      </w:tblGrid>
      <w:tr>
        <w:trPr/>
        <w:tc>
          <w:tcPr>
            <w:tcW w:w="187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September 30,</w:t>
            </w:r>
          </w:p>
        </w:tc>
      </w:tr>
      <w:tr>
        <w:trPr/>
        <w:tc>
          <w:tcPr>
            <w:tcW w:w="5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for) operating activities:</w:t>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for) operating activities:</w:t>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cost</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expense</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business divestiture</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 net</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 (including receivables from related parties)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 net (including contract assets from related parties)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 (including contract liabilities from related parties)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liabilities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(including payables to related parties)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cash provided by (used for) operating activities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for) investing activities</w:t>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maturity of short-term investments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equity investments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business divestiture</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8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 including investments in convertible loans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for) investing activities</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for) financing activities</w:t>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intangible asset obligations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withholding tax on vested shares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cash provided by (used for) financing activities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 and cash equivalents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beginning of the period</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end of the period</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8110"/>
                <wp:effectExtent l="0" t="0" r="0" b="0"/>
                <wp:wrapNone/>
                <wp:docPr id="17" name="Frame1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GAAP to Non-GAAP results:</w:t>
      </w:r>
    </w:p>
    <w:tbl>
      <w:tblPr>
        <w:tblW w:w="10205" w:type="dxa"/>
        <w:jc w:val="left"/>
        <w:tblInd w:w="0" w:type="dxa"/>
        <w:tblLayout w:type="fixed"/>
        <w:tblCellMar>
          <w:top w:w="28" w:type="dxa"/>
          <w:left w:w="28" w:type="dxa"/>
          <w:bottom w:w="28" w:type="dxa"/>
          <w:right w:w="28" w:type="dxa"/>
        </w:tblCellMar>
      </w:tblPr>
      <w:tblGrid>
        <w:gridCol w:w="772"/>
        <w:gridCol w:w="373"/>
        <w:gridCol w:w="376"/>
        <w:gridCol w:w="109"/>
        <w:gridCol w:w="109"/>
        <w:gridCol w:w="109"/>
        <w:gridCol w:w="252"/>
        <w:gridCol w:w="252"/>
        <w:gridCol w:w="168"/>
        <w:gridCol w:w="123"/>
        <w:gridCol w:w="459"/>
        <w:gridCol w:w="459"/>
        <w:gridCol w:w="460"/>
        <w:gridCol w:w="404"/>
        <w:gridCol w:w="404"/>
        <w:gridCol w:w="406"/>
        <w:gridCol w:w="123"/>
        <w:gridCol w:w="123"/>
        <w:gridCol w:w="123"/>
        <w:gridCol w:w="109"/>
        <w:gridCol w:w="109"/>
        <w:gridCol w:w="109"/>
        <w:gridCol w:w="278"/>
        <w:gridCol w:w="278"/>
        <w:gridCol w:w="279"/>
        <w:gridCol w:w="432"/>
        <w:gridCol w:w="432"/>
        <w:gridCol w:w="434"/>
        <w:gridCol w:w="412"/>
        <w:gridCol w:w="412"/>
        <w:gridCol w:w="414"/>
        <w:gridCol w:w="260"/>
        <w:gridCol w:w="260"/>
        <w:gridCol w:w="383"/>
      </w:tblGrid>
      <w:tr>
        <w:trPr/>
        <w:tc>
          <w:tcPr>
            <w:tcW w:w="7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1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4601" w:type="dxa"/>
            <w:gridSpan w:val="15"/>
            <w:tcBorders/>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Share-based compensation cost (equity settled) </w:t>
            </w:r>
            <w:r>
              <w:rPr>
                <w:rFonts w:ascii="Times New Roman;serif" w:hAnsi="Times New Roman;serif"/>
                <w:b/>
                <w:color w:val="000000"/>
                <w:sz w:val="10"/>
              </w:rPr>
              <w:t>(1)</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Employer taxes related to SBC, net of R&amp;D tax incentives </w:t>
            </w:r>
            <w:r>
              <w:rPr>
                <w:rFonts w:ascii="Times New Roman;serif" w:hAnsi="Times New Roman;serif"/>
                <w:b/>
                <w:color w:val="000000"/>
                <w:sz w:val="10"/>
              </w:rPr>
              <w:t>(2)</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on disposal of business</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method investments, net </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$1,135</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$1,135</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1,106</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1,115</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97.4%</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98.2%</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(691)</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(466)</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(182)</w:t>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(943)</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258</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(648)</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163</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467</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41.1%</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302</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491</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$417</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$0.22</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$0.39</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$0.22</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$0.39</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1,060</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1,060</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1,069</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1,069</w:t>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tax rate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w:t>
            </w:r>
          </w:p>
        </w:tc>
        <w:tc>
          <w:tcPr>
            <w:tcW w:w="123" w:type="dxa"/>
            <w:tcBorders/>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r>
    </w:tbl>
    <w:p>
      <w:pPr>
        <w:pStyle w:val="TextBody"/>
        <w:bidi w:val="0"/>
        <w:spacing w:lineRule="auto" w:line="288" w:before="0" w:after="6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Total SBC cost was $265 million for the three months ended September 30, 2025, all of which relates to equity-classified awards.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employer taxes related to SBC for equity-classified awards, net of the R&amp;D tax incentives associated with these taxes.</w:t>
      </w:r>
    </w:p>
    <w:p>
      <w:pPr>
        <w:pStyle w:val="TextBody"/>
        <w:bidi w:val="0"/>
        <w:spacing w:before="60" w:after="283"/>
        <w:jc w:val="both"/>
        <w:rPr/>
      </w:pPr>
      <w:r>
        <w:rPr/>
      </w:r>
    </w:p>
    <w:p>
      <w:pPr>
        <w:pStyle w:val="TextBody"/>
        <w:bidi w:val="0"/>
        <w:spacing w:before="60" w:after="283"/>
        <w:jc w:val="both"/>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8110"/>
                <wp:effectExtent l="0" t="0" r="0" b="0"/>
                <wp:wrapNone/>
                <wp:docPr id="18" name="Frame1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58"/>
        <w:gridCol w:w="357"/>
        <w:gridCol w:w="360"/>
        <w:gridCol w:w="109"/>
        <w:gridCol w:w="109"/>
        <w:gridCol w:w="109"/>
        <w:gridCol w:w="251"/>
        <w:gridCol w:w="251"/>
        <w:gridCol w:w="165"/>
        <w:gridCol w:w="121"/>
        <w:gridCol w:w="448"/>
        <w:gridCol w:w="448"/>
        <w:gridCol w:w="449"/>
        <w:gridCol w:w="389"/>
        <w:gridCol w:w="389"/>
        <w:gridCol w:w="391"/>
        <w:gridCol w:w="121"/>
        <w:gridCol w:w="121"/>
        <w:gridCol w:w="121"/>
        <w:gridCol w:w="348"/>
        <w:gridCol w:w="348"/>
        <w:gridCol w:w="349"/>
        <w:gridCol w:w="109"/>
        <w:gridCol w:w="109"/>
        <w:gridCol w:w="109"/>
        <w:gridCol w:w="421"/>
        <w:gridCol w:w="421"/>
        <w:gridCol w:w="422"/>
        <w:gridCol w:w="402"/>
        <w:gridCol w:w="402"/>
        <w:gridCol w:w="404"/>
        <w:gridCol w:w="258"/>
        <w:gridCol w:w="258"/>
        <w:gridCol w:w="378"/>
      </w:tblGrid>
      <w:tr>
        <w:trPr/>
        <w:tc>
          <w:tcPr>
            <w:tcW w:w="7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1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4738" w:type="dxa"/>
            <w:gridSpan w:val="15"/>
            <w:tcBorders/>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Share-based compensation cost (equity settled) </w:t>
            </w:r>
            <w:r>
              <w:rPr>
                <w:rFonts w:ascii="Times New Roman;serif" w:hAnsi="Times New Roman;serif"/>
                <w:b/>
                <w:color w:val="000000"/>
                <w:sz w:val="10"/>
              </w:rPr>
              <w:t>(1)</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Employer taxes related to SBC, net of R&amp;D tax incentives </w:t>
            </w:r>
            <w:r>
              <w:rPr>
                <w:rFonts w:ascii="Times New Roman;serif" w:hAnsi="Times New Roman;serif"/>
                <w:b/>
                <w:color w:val="000000"/>
                <w:sz w:val="10"/>
              </w:rPr>
              <w:t>(2)</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method investments, net </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$844</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$844</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812</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820</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97.2%</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(507)</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(322)</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(172)</w:t>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(748)</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(494)</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218</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326</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38.6%</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218</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336</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$218</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$317</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$0.10</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$0.30</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$0.10</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$0.30</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1,049</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1,049</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1,063</w:t>
            </w:r>
          </w:p>
        </w:tc>
        <w:tc>
          <w:tcPr>
            <w:tcW w:w="121"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1,063</w:t>
            </w:r>
          </w:p>
        </w:tc>
      </w:tr>
    </w:tbl>
    <w:p>
      <w:pPr>
        <w:pStyle w:val="TextBody"/>
        <w:bidi w:val="0"/>
        <w:spacing w:lineRule="auto" w:line="288" w:before="0" w:after="0"/>
        <w:ind w:left="0" w:right="0" w:hanging="270"/>
        <w:jc w:val="both"/>
        <w:rPr/>
      </w:pPr>
      <w:r>
        <w:rPr>
          <w:rFonts w:ascii="Times New Roman;serif" w:hAnsi="Times New Roman;serif"/>
          <w:b w:val="false"/>
          <w:color w:val="000000"/>
          <w:sz w:val="16"/>
        </w:rPr>
        <w:t xml:space="preserve">(1)     Total SBC cost was </w:t>
      </w:r>
      <w:r>
        <w:rPr>
          <w:rFonts w:ascii="Times New Roman;serif" w:hAnsi="Times New Roman;serif"/>
          <w:b w:val="false"/>
          <w:color w:val="231F20"/>
          <w:sz w:val="16"/>
        </w:rPr>
        <w:t>$218 million</w:t>
      </w:r>
      <w:r>
        <w:rPr>
          <w:color w:val="000000"/>
        </w:rPr>
        <w:t xml:space="preserve"> </w:t>
      </w:r>
      <w:r>
        <w:rPr>
          <w:rFonts w:ascii="Times New Roman;serif" w:hAnsi="Times New Roman;serif"/>
          <w:b w:val="false"/>
          <w:color w:val="000000"/>
          <w:sz w:val="16"/>
        </w:rPr>
        <w:t>for the three months ended September 30, 2024, of which all are equity-classified awards.</w:t>
      </w:r>
    </w:p>
    <w:p>
      <w:pPr>
        <w:pStyle w:val="TextBody"/>
        <w:bidi w:val="0"/>
        <w:spacing w:lineRule="auto" w:line="26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employer taxes related to SBC for equity-classified awards, net of the R&amp;D tax incentives associated with these taxes.                                                                    </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120" w:after="12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8110"/>
                <wp:effectExtent l="0" t="0" r="0" b="0"/>
                <wp:wrapNone/>
                <wp:docPr id="19" name="Frame1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8"/>
        <w:gridCol w:w="262"/>
        <w:gridCol w:w="264"/>
        <w:gridCol w:w="109"/>
        <w:gridCol w:w="109"/>
        <w:gridCol w:w="109"/>
        <w:gridCol w:w="209"/>
        <w:gridCol w:w="209"/>
        <w:gridCol w:w="210"/>
        <w:gridCol w:w="110"/>
        <w:gridCol w:w="386"/>
        <w:gridCol w:w="386"/>
        <w:gridCol w:w="387"/>
        <w:gridCol w:w="300"/>
        <w:gridCol w:w="300"/>
        <w:gridCol w:w="302"/>
        <w:gridCol w:w="110"/>
        <w:gridCol w:w="110"/>
        <w:gridCol w:w="297"/>
        <w:gridCol w:w="297"/>
        <w:gridCol w:w="298"/>
        <w:gridCol w:w="297"/>
        <w:gridCol w:w="297"/>
        <w:gridCol w:w="298"/>
        <w:gridCol w:w="110"/>
        <w:gridCol w:w="109"/>
        <w:gridCol w:w="237"/>
        <w:gridCol w:w="237"/>
        <w:gridCol w:w="238"/>
        <w:gridCol w:w="353"/>
        <w:gridCol w:w="353"/>
        <w:gridCol w:w="354"/>
        <w:gridCol w:w="345"/>
        <w:gridCol w:w="345"/>
        <w:gridCol w:w="346"/>
        <w:gridCol w:w="242"/>
        <w:gridCol w:w="242"/>
        <w:gridCol w:w="360"/>
      </w:tblGrid>
      <w:tr>
        <w:trPr/>
        <w:tc>
          <w:tcPr>
            <w:tcW w:w="6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3" w:type="dxa"/>
            <w:gridSpan w:val="1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 September 30, 2025</w:t>
            </w:r>
          </w:p>
        </w:tc>
        <w:tc>
          <w:tcPr>
            <w:tcW w:w="3761" w:type="dxa"/>
            <w:gridSpan w:val="13"/>
            <w:tcBorders/>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Share-based compensation cost (equity settled) </w:t>
            </w:r>
            <w:r>
              <w:rPr>
                <w:rFonts w:ascii="Times New Roman;serif" w:hAnsi="Times New Roman;serif"/>
                <w:b/>
                <w:color w:val="000000"/>
                <w:sz w:val="10"/>
              </w:rPr>
              <w:t>(1)</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Employer taxes related to SBC, net of R&amp;D tax incentives </w:t>
            </w:r>
            <w:r>
              <w:rPr>
                <w:rFonts w:ascii="Times New Roman;serif" w:hAnsi="Times New Roman;serif"/>
                <w:b/>
                <w:color w:val="000000"/>
                <w:sz w:val="10"/>
              </w:rPr>
              <w:t>(2)</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income (expenses), net</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Costs associated with disposal activities</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on disposal of business</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method investments, net </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$2,188</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$2,188</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2,129</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2,146</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97.3%</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98.1%</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(1,341)</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371</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(906)</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(511)</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(361)</w:t>
            </w:r>
          </w:p>
        </w:tc>
      </w:tr>
      <w:tr>
        <w:trPr/>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(1,852)</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492</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(1,267)</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277</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506</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879</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40.2%</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448</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506</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931</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(140)</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$368</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$506</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$791</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$0.35</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$0.75</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$0.34</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$0.74</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1,059</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1,059</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1,067</w:t>
            </w:r>
          </w:p>
        </w:tc>
        <w:tc>
          <w:tcPr>
            <w:tcW w:w="110" w:type="dxa"/>
            <w:tcBorders/>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1,067</w:t>
            </w:r>
          </w:p>
        </w:tc>
      </w:tr>
    </w:tbl>
    <w:p>
      <w:pPr>
        <w:pStyle w:val="TextBody"/>
        <w:bidi w:val="0"/>
        <w:spacing w:lineRule="auto" w:line="288" w:before="24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Total SBC cost was $506 million for the six months ended September 30, 2025, all of which relates to equity-classified awards.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employer taxes related to SBC for equity-classified awards, net of the R&amp;D tax incentives associated with these taxes.</w:t>
      </w:r>
    </w:p>
    <w:p>
      <w:pPr>
        <w:pStyle w:val="TextBody"/>
        <w:bidi w:val="0"/>
        <w:spacing w:before="60" w:after="283"/>
        <w:ind w:left="0" w:right="0" w:hanging="270"/>
        <w:jc w:val="both"/>
        <w:rPr/>
      </w:pPr>
      <w:r>
        <w:rPr/>
      </w:r>
    </w:p>
    <w:p>
      <w:pPr>
        <w:pStyle w:val="TextBody"/>
        <w:bidi w:val="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8110"/>
                <wp:effectExtent l="0" t="0" r="0" b="0"/>
                <wp:wrapNone/>
                <wp:docPr id="20" name="Frame1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59"/>
        <w:gridCol w:w="357"/>
        <w:gridCol w:w="360"/>
        <w:gridCol w:w="109"/>
        <w:gridCol w:w="109"/>
        <w:gridCol w:w="109"/>
        <w:gridCol w:w="237"/>
        <w:gridCol w:w="237"/>
        <w:gridCol w:w="192"/>
        <w:gridCol w:w="120"/>
        <w:gridCol w:w="448"/>
        <w:gridCol w:w="448"/>
        <w:gridCol w:w="449"/>
        <w:gridCol w:w="390"/>
        <w:gridCol w:w="390"/>
        <w:gridCol w:w="391"/>
        <w:gridCol w:w="120"/>
        <w:gridCol w:w="120"/>
        <w:gridCol w:w="120"/>
        <w:gridCol w:w="348"/>
        <w:gridCol w:w="348"/>
        <w:gridCol w:w="349"/>
        <w:gridCol w:w="109"/>
        <w:gridCol w:w="109"/>
        <w:gridCol w:w="109"/>
        <w:gridCol w:w="421"/>
        <w:gridCol w:w="421"/>
        <w:gridCol w:w="422"/>
        <w:gridCol w:w="403"/>
        <w:gridCol w:w="403"/>
        <w:gridCol w:w="404"/>
        <w:gridCol w:w="258"/>
        <w:gridCol w:w="258"/>
        <w:gridCol w:w="378"/>
      </w:tblGrid>
      <w:tr>
        <w:trPr/>
        <w:tc>
          <w:tcPr>
            <w:tcW w:w="7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1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 September 30, 2024</w:t>
            </w:r>
          </w:p>
        </w:tc>
        <w:tc>
          <w:tcPr>
            <w:tcW w:w="4740" w:type="dxa"/>
            <w:gridSpan w:val="15"/>
            <w:tcBorders/>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Share-based compensation cost (equity settled) </w:t>
            </w:r>
            <w:r>
              <w:rPr>
                <w:rFonts w:ascii="Times New Roman;serif" w:hAnsi="Times New Roman;serif"/>
                <w:b/>
                <w:color w:val="000000"/>
                <w:sz w:val="10"/>
              </w:rPr>
              <w:t>(1)</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Employer taxes related to SBC, net of R&amp;D tax incentives</w:t>
            </w:r>
            <w:r>
              <w:rPr>
                <w:color w:val="000000"/>
              </w:rPr>
              <w:t xml:space="preserve"> </w:t>
            </w:r>
            <w:r>
              <w:rPr>
                <w:rFonts w:ascii="Times New Roman;serif" w:hAnsi="Times New Roman;serif"/>
                <w:b/>
                <w:color w:val="000000"/>
                <w:sz w:val="10"/>
              </w:rPr>
              <w:t>(2)</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method investments, net </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$1,783</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$1,783</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1,718</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1,735</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96.4%</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97.3%</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283</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(620)</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(480)</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(341)</w:t>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(1,472)</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387</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(961)</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246</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774</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43.4%</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308</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822</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(86)</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$736</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$0.32</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$0.70</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$0.31</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$0.69</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1,047</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1,047</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1,061</w:t>
            </w:r>
          </w:p>
        </w:tc>
        <w:tc>
          <w:tcPr>
            <w:tcW w:w="120" w:type="dxa"/>
            <w:tcBorders/>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1,061</w:t>
            </w:r>
          </w:p>
        </w:tc>
      </w:tr>
    </w:tbl>
    <w:p>
      <w:pPr>
        <w:pStyle w:val="TextBody"/>
        <w:bidi w:val="0"/>
        <w:spacing w:lineRule="auto" w:line="288" w:before="24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Total SBC cost was $400 million for the six months ended September 30, 2024, all of which relate to equity-classified awards.</w:t>
      </w:r>
    </w:p>
    <w:p>
      <w:pPr>
        <w:pStyle w:val="TextBody"/>
        <w:bidi w:val="0"/>
        <w:spacing w:lineRule="auto" w:line="26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employer taxes related to SBC for equity-classified awards, net of the R&amp;D tax incentives associated with these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8110"/>
                <wp:effectExtent l="0" t="0" r="0" b="0"/>
                <wp:wrapNone/>
                <wp:docPr id="21" name="Frame2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following are reconciliations of Net cash provided by (used for) operating activities to Non-GAAP free cash flow and Non-GAAP free cash flow TTM:</w:t>
      </w:r>
    </w:p>
    <w:tbl>
      <w:tblPr>
        <w:tblW w:w="10205" w:type="dxa"/>
        <w:jc w:val="left"/>
        <w:tblInd w:w="0" w:type="dxa"/>
        <w:tblLayout w:type="fixed"/>
        <w:tblCellMar>
          <w:top w:w="28" w:type="dxa"/>
          <w:left w:w="28" w:type="dxa"/>
          <w:bottom w:w="28" w:type="dxa"/>
          <w:right w:w="28" w:type="dxa"/>
        </w:tblCellMar>
      </w:tblPr>
      <w:tblGrid>
        <w:gridCol w:w="1324"/>
        <w:gridCol w:w="1160"/>
        <w:gridCol w:w="1163"/>
        <w:gridCol w:w="109"/>
        <w:gridCol w:w="109"/>
        <w:gridCol w:w="109"/>
        <w:gridCol w:w="346"/>
        <w:gridCol w:w="984"/>
        <w:gridCol w:w="191"/>
        <w:gridCol w:w="191"/>
        <w:gridCol w:w="191"/>
        <w:gridCol w:w="191"/>
        <w:gridCol w:w="346"/>
        <w:gridCol w:w="744"/>
        <w:gridCol w:w="191"/>
        <w:gridCol w:w="109"/>
        <w:gridCol w:w="109"/>
        <w:gridCol w:w="109"/>
        <w:gridCol w:w="260"/>
        <w:gridCol w:w="559"/>
        <w:gridCol w:w="144"/>
        <w:gridCol w:w="144"/>
        <w:gridCol w:w="144"/>
        <w:gridCol w:w="144"/>
        <w:gridCol w:w="260"/>
        <w:gridCol w:w="658"/>
        <w:gridCol w:w="216"/>
      </w:tblGrid>
      <w:tr>
        <w:trPr/>
        <w:tc>
          <w:tcPr>
            <w:tcW w:w="132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September 30,</w:t>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intangible asset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Trailing Twelve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intangible asset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free cash flow TTM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8110"/>
                <wp:effectExtent l="0" t="0" r="0" b="0"/>
                <wp:wrapNone/>
                <wp:docPr id="22" name="Frame2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18</w:t>
                      </w:r>
                    </w:p>
                  </w:txbxContent>
                </v:textbox>
                <w10:wrap type="none"/>
              </v:rect>
            </w:pict>
          </mc:Fallback>
        </mc:AlternateConten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40"/>
        <w:ind w:left="0" w:right="0" w:firstLine="540"/>
        <w:jc w:val="both"/>
        <w:rPr/>
      </w:pPr>
      <w:r>
        <w:rPr>
          <w:rFonts w:ascii="Times New Roman;serif" w:hAnsi="Times New Roman;serif"/>
          <w:b w:val="false"/>
          <w:color w:val="000000"/>
          <w:sz w:val="20"/>
        </w:rPr>
        <w:t>This shareholder letter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any of the following: our dependence on the semiconductor and electronics industries and the demand for the products of our customers; our development of compute subsystems, chiplets, or complete System-on-a-Chip (SoC) solutions as well as other more integrated compute products; our dependence on the compatibility of our products with the manufacturing and design processes of our customers; our reliance on third parties to market and sell chips and end products incorporating our products, as well as add value to our licensed products; our dependence on a limited number of customers for a significant portion of our revenue; the loss of any of our senior management personnel or one or more key employees or our inability to attract and retain qualified personnel; our ability to adequately fund our research and development efforts; risks related to the availability of development tools, systems software, electronic design automation tools and operating systems compatible with our architecture; our ability to protect our proprietary products and our brand, and the costs of protecting such intellectual property rights, particularly as a result of litigation; our ability to verify royalty amounts owed to us under our licensing agreements; risks related to foreign exchange fluctuations; changes in our effective tax rate; risks associated with organic growth or growth from strategic investments or acquisitions we make, and the risk of failing to effectively manage our growth; risks associated with the slow development of the market for our connectivity, device and data management platform; the possibility of cyberattacks, breaches of our security controls and unauthorized access to our data or a customer’s data; our ability to satisfy data protection, security, privacy or other government- and industry-specific requirements; risks associated with the interests of SoftBank Group Corp., our controlling shareholder, conflicting with the interests of other holders of our ordinary shares and American depositary shares; and effects of global general economic conditions, political factors, war or hostility, pandemics and other events outside of our control. Refer to “</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in our Annual Report on Form 20-F for the fiscal year ended March 31, 2025, filed with the SEC on May 28, 2025, for additional risks and uncertainties that may cause our actual results, levels of activity, performance or achievements to be materially different from the information expressed or implied by forward-looking statements included herein.</w:t>
      </w:r>
    </w:p>
    <w:p>
      <w:pPr>
        <w:pStyle w:val="TextBody"/>
        <w:bidi w:val="0"/>
        <w:spacing w:lineRule="auto" w:line="288" w:before="12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shareholder letter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shareholder letter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shareholder letter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shareholder letter speaks only as of the date hereof, and we do not undertake any obligation to update any forward-looking statement to reflect events or circumstances after the date of this shareholder letter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8110"/>
                <wp:effectExtent l="0" t="0" r="0" b="0"/>
                <wp:wrapNone/>
                <wp:docPr id="23" name="Frame2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7914</Words>
  <Characters>44461</Characters>
  <CharactersWithSpaces>51493</CharactersWithSpaces>
  <Paragraphs>1419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