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99" w:lineRule="exact"/>
        <w:rPr>
          <w:sz w:val="24"/>
          <w:szCs w:val="24"/>
          <w:color w:val="auto"/>
        </w:rPr>
      </w:pPr>
    </w:p>
    <w:p>
      <w:pPr>
        <w:jc w:val="center"/>
        <w:ind w:right="460"/>
        <w:spacing w:after="0" w:line="239"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5180"/>
        <w:spacing w:after="0" w:line="210" w:lineRule="auto"/>
        <w:rPr>
          <w:sz w:val="20"/>
          <w:szCs w:val="20"/>
          <w:color w:val="auto"/>
        </w:rPr>
      </w:pPr>
      <w:r>
        <w:rPr>
          <w:rFonts w:ascii="Times New Roman" w:cs="Times New Roman" w:eastAsia="Times New Roman" w:hAnsi="Times New Roman"/>
          <w:sz w:val="18"/>
          <w:szCs w:val="18"/>
          <w:b w:val="1"/>
          <w:bCs w:val="1"/>
          <w:color w:val="auto"/>
        </w:rPr>
        <w:t>Cambridge</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946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Earnings Press Release dated November 4, 2026</w:t>
            </w: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9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Shareholder Letter dated November 4, 2026</w:t>
            </w:r>
          </w:p>
        </w:tc>
      </w:tr>
      <w:tr>
        <w:trPr>
          <w:trHeight w:val="1020"/>
        </w:trPr>
        <w:tc>
          <w:tcPr>
            <w:tcW w:w="17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480" w:type="dxa"/>
            <w:vAlign w:val="bottom"/>
          </w:tcPr>
          <w:p>
            <w:pPr>
              <w:spacing w:after="0"/>
              <w:rPr>
                <w:sz w:val="21"/>
                <w:szCs w:val="21"/>
                <w:color w:val="auto"/>
              </w:rPr>
            </w:pPr>
          </w:p>
        </w:tc>
        <w:tc>
          <w:tcPr>
            <w:tcW w:w="2500" w:type="dxa"/>
            <w:vAlign w:val="bottom"/>
          </w:tcPr>
          <w:p>
            <w:pPr>
              <w:ind w:left="172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480" w:type="dxa"/>
            <w:vAlign w:val="bottom"/>
          </w:tcPr>
          <w:p>
            <w:pPr>
              <w:spacing w:after="0"/>
              <w:rPr>
                <w:sz w:val="16"/>
                <w:szCs w:val="16"/>
                <w:color w:val="auto"/>
              </w:rPr>
            </w:pPr>
          </w:p>
        </w:tc>
        <w:tc>
          <w:tcPr>
            <w:tcW w:w="25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Arm Holdings plc Reports Results for the Second Quarter of the Fiscal Year Ending 2027</w:t>
      </w:r>
    </w:p>
    <w:p>
      <w:pPr>
        <w:spacing w:after="0" w:line="25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Cambridge, England, Nov. 4, 2026: </w:t>
      </w:r>
      <w:r>
        <w:rPr>
          <w:rFonts w:ascii="Times New Roman" w:cs="Times New Roman" w:eastAsia="Times New Roman" w:hAnsi="Times New Roman"/>
          <w:sz w:val="22"/>
          <w:szCs w:val="22"/>
          <w:color w:val="auto"/>
        </w:rPr>
        <w:t>Arm Holdings plc (NASDAQ: ARM), the company that is building the future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has today published a letter to its shareholders containing the company’s results for its second quarter of fiscal year 2027, which ended Sept. 30, 2026.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spacing w:after="0" w:line="20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Arm will host an audio webcast to discuss its results at 14:00 PT / 17:00 ET / 22:00 GMT today, Nov. 4. The live webcast will be available at https://edge.media-server.com/mmc/p/zyzi4u5w/ and a replay will be at https://investors.arm.com/financials/quarterly-annual-results.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Arm</w:t>
      </w:r>
    </w:p>
    <w:p>
      <w:pPr>
        <w:spacing w:after="0" w:line="1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Arm is the foundational platform for AI, delivering power-efficient, high-performance computing that touches 100 percent of the connected global population. To meet the insatiable demand for compute, Arm’s platform spans core IP, advanced compute subsystems and purpose-built silicon, giving the world’s leading technology companies the flexibility to design, build and deploy AI at scale. Arm has the world’s largest computing ecosystem, including over 30 million developers, and together we are building the future of AI on Arm.</w:t>
      </w:r>
    </w:p>
    <w:p>
      <w:pPr>
        <w:spacing w:after="0" w:line="217"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Media</w:t>
      </w:r>
    </w:p>
    <w:p>
      <w:pPr>
        <w:spacing w:after="0" w:line="218" w:lineRule="auto"/>
        <w:rPr>
          <w:sz w:val="20"/>
          <w:szCs w:val="20"/>
          <w:color w:val="auto"/>
        </w:rPr>
      </w:pPr>
      <w:r>
        <w:rPr>
          <w:rFonts w:ascii="Times New Roman" w:cs="Times New Roman" w:eastAsia="Times New Roman" w:hAnsi="Times New Roman"/>
          <w:sz w:val="22"/>
          <w:szCs w:val="22"/>
          <w:color w:val="auto"/>
        </w:rPr>
        <w:t>Kristen Ray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Kristen.Ray@arm.com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Investors</w:t>
      </w:r>
    </w:p>
    <w:p>
      <w:pPr>
        <w:spacing w:after="0" w:line="223" w:lineRule="auto"/>
        <w:rPr>
          <w:sz w:val="20"/>
          <w:szCs w:val="20"/>
          <w:color w:val="auto"/>
        </w:rPr>
      </w:pPr>
      <w:r>
        <w:rPr>
          <w:rFonts w:ascii="Times New Roman" w:cs="Times New Roman" w:eastAsia="Times New Roman" w:hAnsi="Times New Roman"/>
          <w:sz w:val="22"/>
          <w:szCs w:val="22"/>
          <w:color w:val="auto"/>
        </w:rPr>
        <w:t>Arm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Investor.Relations@arm.com</w:t>
      </w:r>
    </w:p>
    <w:p>
      <w:pPr>
        <w:sectPr>
          <w:pgSz w:w="11900" w:h="16838" w:orient="portrait"/>
          <w:cols w:equalWidth="0" w:num="1">
            <w:col w:w="11240"/>
          </w:cols>
          <w:pgMar w:left="320" w:top="14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452110" cy="7055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705548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413" w:right="1440" w:bottom="1440" w:gutter="0" w:footer="0" w:header="0"/>
          <w:type w:val="continuous"/>
        </w:sectPr>
      </w:pPr>
    </w:p>
    <w:bookmarkStart w:id="4" w:name="page5"/>
    <w:bookmarkEnd w:id="4"/>
    <w:p>
      <w:pPr>
        <w:ind w:left="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40575" cy="488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488950"/>
                    </a:xfrm>
                    <a:prstGeom prst="rect">
                      <a:avLst/>
                    </a:prstGeom>
                    <a:noFill/>
                  </pic:spPr>
                </pic:pic>
              </a:graphicData>
            </a:graphic>
          </wp:anchor>
        </w:drawing>
        <w:t>Arm will be hosting a conference call via an audio webcast to discuss earnings at 14:00 Pacific Time (17:00 Eastern Time, 22:00 GMT) on Wednesday, November 4, 2026. A replay of and a transcript of the call will be available the following day.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webcast and replay can be accessed at: https://edge.media-server.com/mmc/p/zyzi4u5w</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Dear Shareholder,</w:t>
      </w:r>
    </w:p>
    <w:p>
      <w:pPr>
        <w:spacing w:after="0" w:line="25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Arm delivered a record second quarter, reflecting strong execution and growing demand for the Arm compute platform. Revenue reached $1.44 billion, up 27% year over year, marking our fifth consecutive quarter of year over year growth exceeding 20%. License and other revenue grew 50% to $773 million, while royalty revenue grew 8% to $670 million, with data center royalties doubling year over year. Non-GAAP earnings per share reached $0.52, up 33% year over year, while we continued to increase investment in R&amp;D.</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AI is driving unprecedented demand for compute across the cloud, devices and autonomous systems, with Arm being the compute platform of choice. Our business is now driven by two areas, both of which are showing rapid growth: The IP business, where partners increase their investment in Arm technology and deploy record numbers of Arm-based silicon, and our new silicon business, where demand for Arm AGI CPU is extremely strong. Both are built on the same Arm compute platform, leveraging a common software ecosystem.</w:t>
      </w:r>
    </w:p>
    <w:p>
      <w:pPr>
        <w:spacing w:after="0" w:line="20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customers integrate increasingly powerful CPUs, GPUs and NPUs, into their designs, they face both growing system complexity and increasingly demanding power constraints. This is driving greater investment in Arm technology by our customers, contributing to 50% growth in license and other revenue. Strong licensing momentum is an important leading indicator of future royalty growth as these new designs enter production where we expect royalty revenue to accelerate.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Is Gaining Share Across the Data Center</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Arm continues to gain share across the data center, driven by growing demand for performance and power efficiency as AI infrastructure scales. Data center royalties doubled year over year, and Arm-based server market share at the top hyperscalers more than tripled—from 15% in calendar 2024 to more than 50% in calendar 2025. Based on current ramps across Google Axion, AWS Graviton, Microsoft Cobalt, and NVIDIA platforms, we expect that share to exceed 60% by the end of calendar 2026.</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AI moves from prompt-driven applications to persistent agents, power efficient CPUs are becoming increasingly critical to data center performance. Agents execute software, call tools and coordinate work between accelerator invocations, increasing demand for both Arm-based processors developed by our partners and Arm AGI CPU.</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partners continue to expand their deployment of Arm-based infrastructure. Amazon recently reported that Graviton revenue commitments increased more than 20x year over year, Microsoft highlighted strong adoption of Arm-based Cobalt CPUs, and Google identified Arm-based Axion as a critical component of its AI infrastructure. NVIDIA continues to expand its Arm-based Vera CPU platform for agentic AI, now generally available on Oracle Cloud Infrastructure (OCI) and deployed in production with OpenAI.</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we introduced Neoverse CSS N4 enabling partners to develop differentiated silicon for CPUs, networking, infrastructure management, and security. Delivering up to 2x performance per socket and 25% better performance per watt than the prior generation, CSS N4 enables more compute within constrained data centers.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Alongside our growing IP business, Arm AGI CPU expands our opportunity by delivering Arm-designed silicon directly to customers. Since launching in March, demand has continued to strengthen, with purchase orders secured from multiple customers extending through calendar 2027 and first commercial deliveries on track for fiscal Q4’27. Oracle Cloud Infrastructure plans to offer Arm AGI CPU instances in 2027, bringing Arm-designed and partner-designed processors together on a common platform and software ecosystem.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74" w:right="359" w:bottom="1440" w:gutter="0" w:footer="0" w:header="0"/>
        </w:sectPr>
      </w:pPr>
    </w:p>
    <w:bookmarkStart w:id="5" w:name="page6"/>
    <w:bookmarkEnd w:id="5"/>
    <w:p>
      <w:pPr>
        <w:ind w:right="140"/>
        <w:spacing w:after="0" w:line="282" w:lineRule="auto"/>
        <w:rPr>
          <w:sz w:val="20"/>
          <w:szCs w:val="20"/>
          <w:color w:val="auto"/>
        </w:rPr>
      </w:pPr>
      <w:r>
        <w:rPr>
          <w:rFonts w:ascii="Times New Roman" w:cs="Times New Roman" w:eastAsia="Times New Roman" w:hAnsi="Times New Roman"/>
          <w:sz w:val="18"/>
          <w:szCs w:val="18"/>
          <w:color w:val="auto"/>
        </w:rPr>
        <w:t>Our confidence in achieving up to $2 billion in Arm AGI CPU revenue over FY27–28 has increased over the last 90 days, supported by additional supply and customer mix. We remain focused on expanding capacity to meet growing customer demand.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Power availability is becoming a critical constraint on data center growth, with Morgan Stanley recently projecting a 38GW global power shortfall through 2028. Arm is helping customers address this constraint by delivering more useful compute from the power already available. At the Open Compute Project summit, independent testing by Signal65 showed Arm AGI CPU delivering approximately 2x the performance per rack versus AMD EPYC 9755, which could reduce the projected global power shortfall by half.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agentic AI scales, infrastructure must also become more secure. NVIDIA's recently announced OpenShell architecture uses Arm-based CPUs to execute AI workloads and Arm-based BlueField-4 Data Processing Units (DPUs) to independently enforce security and isolation. With Arm compute on both sides of the trust boundary, this demonstrates the expanding role of the Arm platform in enabling agentic AI at scale.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Is Enabling the Next Generation of Edge AI</w:t>
      </w:r>
    </w:p>
    <w:p>
      <w:pPr>
        <w:spacing w:after="0" w:line="24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AI is transforming personal computing, bringing more intelligence directly to PCs and smartphones while increasing demand for compute performance, power efficiency and security. As AI agents become more capable and persistent, Arm provides a common platform and software foundation spanning devices and the cloud.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Arm-based PCs have now reached approximately 20% of global shipments, reflecting growing adoption of Arm in personal computing. Google introduced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Googlebook, a new category of AI-native laptops built for Gemini Intelligence, with Arm serving as a primary compute platform for many models.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NVIDIA’s RTX Spark, built on Arm further expands our reach into local AI, content creation and gaming.</w:t>
      </w:r>
    </w:p>
    <w:p>
      <w:pPr>
        <w:spacing w:after="0" w:line="2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smartphones, AI is driving demand for more capable on-device processing without compromising battery life. Arm CSS for Mobile 2 drives the performance of agentic AI workloads up by 70% through SME2, already adopted by major smartphone vendors like OPPO and vivo. Arm’s first AI-native Mali GPU, G2-Ultra NX, delivers up to 4x the frame rate at the same sustained power, with Xiaomi adopting the technology and leading gaming developers integrating Arm Neural Technology.</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AI agents access more personal information and act on users’ behalf, Armv9 security technologies help protect sensitive workloads and system resources. By enabling more AI compute within the power constraints of personal devices, Arm is expanding both its market opportunity and the value of its technology in every chip.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AI Is Scaling on Arm</w:t>
      </w:r>
    </w:p>
    <w:p>
      <w:pPr>
        <w:spacing w:after="0" w:line="2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Physical AI royalty revenue grew 50% year over year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driven by increased adoption of advanced driver-assistance and in-vehicle infotainment systems. As vehicles become more intelligent and autonomous, demand for compute performance, real-time control, safety and security continues to increase. Armv9 and Zena CSS provide the foundation for this transition, with Tensor’s Level 4 personal Robocar integrating more than 400 Arm CPU cores to support autonomy, safety and vehicle control.</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automotive architectures evolve toward more centralized computing and higher levels of autonomy, Arm is positioned to capture increasing compute content per vehicle. Beyond automotive, increasingly capable robots and autonomous machines are creating new demand for energy-efficient compute and real-time processing.</w:t>
      </w:r>
    </w:p>
    <w:p>
      <w:pPr>
        <w:spacing w:after="0" w:line="21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To accelerate adoption, we launched Arm Total Design for Physical AI, bringing together more than 80 companies across compute, software, AI models and system integration to accelerate the development and deployment of Physical AI systems. This initiative extends Arm’s compute platform into new markets as AI moves beyond digital applications into the physical world.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Compute, More Value for Arm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time, our partners reported more than 10 billion Arm-based chips shipped during the quarter, an increase of 1.5 billion chips year over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adds to the scale of a platform already used by more than 30 million developers.</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93" w:right="359" w:bottom="1440" w:gutter="0" w:footer="0" w:header="0"/>
        </w:sectPr>
      </w:pPr>
    </w:p>
    <w:bookmarkStart w:id="6" w:name="page7"/>
    <w:bookmarkEnd w:id="6"/>
    <w:p>
      <w:pPr>
        <w:ind w:right="80"/>
        <w:spacing w:after="0" w:line="258" w:lineRule="auto"/>
        <w:rPr>
          <w:sz w:val="20"/>
          <w:szCs w:val="20"/>
          <w:color w:val="auto"/>
        </w:rPr>
      </w:pPr>
      <w:r>
        <w:rPr>
          <w:rFonts w:ascii="Times New Roman" w:cs="Times New Roman" w:eastAsia="Times New Roman" w:hAnsi="Times New Roman"/>
          <w:sz w:val="18"/>
          <w:szCs w:val="18"/>
          <w:color w:val="auto"/>
        </w:rPr>
        <w:t>The opportunity ahead is significant. AI is increasing the amount and complexity of compute required across every market, driving greater investment in Arm technology and expanding demand for Arm-based silicon. With growing adoption of our IP, increasing demand for Arm AGI CPU and an unmatched software ecosystem, Arm is positioned to capture a greater share of the value created as AI transforms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40575"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7461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“Arm delivered its fifth consecutive quarter of revenue growth above 20%, reflecting the strength of our business as AI drives increasing demand for compute. Our IP business continues to grow, with 50% licensing growth demonstrating the increasing investment in the power efficient Arm compute platform which will drive even higher royalty growth in the future. Additionally, demand for our silicon business continues to accelerate, with growing customer commitments giving us even greater confidence in achieving up to $2 billion in Arm AGI CPU revenue across fiscal 2027 and 2028. Arm is becoming the compute platform of choice as AI transforms every market.”- Rene Haas, CEO, Arm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Sincerely,</w:t>
      </w:r>
    </w:p>
    <w:p>
      <w:pPr>
        <w:sectPr>
          <w:pgSz w:w="11900" w:h="16838" w:orient="portrait"/>
          <w:cols w:equalWidth="0" w:num="1">
            <w:col w:w="11220"/>
          </w:cols>
          <w:pgMar w:left="320" w:top="1336"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Rene Haas,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Jason Child,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Chief Financial Officer</w:t>
      </w:r>
    </w:p>
    <w:p>
      <w:pPr>
        <w:spacing w:after="0" w:line="50" w:lineRule="exact"/>
        <w:rPr>
          <w:sz w:val="20"/>
          <w:szCs w:val="20"/>
          <w:color w:val="auto"/>
        </w:rPr>
      </w:pPr>
    </w:p>
    <w:p>
      <w:pPr>
        <w:sectPr>
          <w:pgSz w:w="11900" w:h="16838" w:orient="portrait"/>
          <w:cols w:equalWidth="0" w:num="2">
            <w:col w:w="5180" w:space="720"/>
            <w:col w:w="5320"/>
          </w:cols>
          <w:pgMar w:left="320" w:top="1336"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0057FF"/>
        </w:rPr>
        <w:t>Investor Contact</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Times New Roman" w:cs="Times New Roman" w:eastAsia="Times New Roman" w:hAnsi="Times New Roman"/>
          <w:sz w:val="17"/>
          <w:szCs w:val="17"/>
          <w:b w:val="1"/>
          <w:bCs w:val="1"/>
          <w:color w:val="0057FF"/>
        </w:rPr>
        <w:t>Media Contact</w:t>
      </w:r>
    </w:p>
    <w:p>
      <w:pPr>
        <w:spacing w:after="0" w:line="38" w:lineRule="exact"/>
        <w:rPr>
          <w:sz w:val="20"/>
          <w:szCs w:val="20"/>
          <w:color w:val="auto"/>
        </w:rPr>
      </w:pPr>
    </w:p>
    <w:p>
      <w:pPr>
        <w:sectPr>
          <w:pgSz w:w="11900" w:h="16838" w:orient="portrait"/>
          <w:cols w:equalWidth="0" w:num="2">
            <w:col w:w="5180" w:space="720"/>
            <w:col w:w="5320"/>
          </w:cols>
          <w:pgMar w:left="320" w:top="1336"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231F20"/>
        </w:rPr>
        <w:t>Investor.Relations@arm.com</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Times New Roman" w:cs="Times New Roman" w:eastAsia="Times New Roman" w:hAnsi="Times New Roman"/>
          <w:sz w:val="17"/>
          <w:szCs w:val="17"/>
          <w:color w:val="231F20"/>
        </w:rPr>
        <w:t>Global-PRteam@arm.com</w:t>
      </w:r>
    </w:p>
    <w:p>
      <w:pPr>
        <w:spacing w:after="0" w:line="207" w:lineRule="exact"/>
        <w:rPr>
          <w:sz w:val="20"/>
          <w:szCs w:val="20"/>
          <w:color w:val="auto"/>
        </w:rPr>
      </w:pPr>
    </w:p>
    <w:p>
      <w:pPr>
        <w:sectPr>
          <w:pgSz w:w="11900" w:h="16838" w:orient="portrait"/>
          <w:cols w:equalWidth="0" w:num="2">
            <w:col w:w="5180" w:space="720"/>
            <w:col w:w="5320"/>
          </w:cols>
          <w:pgMar w:left="320" w:top="1336" w:right="359" w:bottom="1440" w:gutter="0" w:footer="0" w:header="0"/>
          <w:type w:val="continuous"/>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336"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057FF"/>
        </w:rPr>
        <w:t>Q2 FYE27 Financial Overview</w:t>
      </w:r>
    </w:p>
    <w:p>
      <w:pPr>
        <w:spacing w:after="0" w:line="229" w:lineRule="exact"/>
        <w:rPr>
          <w:sz w:val="20"/>
          <w:szCs w:val="20"/>
          <w:color w:val="auto"/>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Q2 results demonstrated strong year-over-year revenue growth. Total revenue increased 27% year-over-year to $1,443 million, representing our best ever second-quarter revenue.</w:t>
      </w:r>
    </w:p>
    <w:p>
      <w:pPr>
        <w:spacing w:after="0" w:line="5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Royalty revenue increased 8% year-over-year to </w:t>
      </w:r>
      <w:r>
        <w:rPr>
          <w:rFonts w:ascii="Times New Roman" w:cs="Times New Roman" w:eastAsia="Times New Roman" w:hAnsi="Times New Roman"/>
          <w:sz w:val="18"/>
          <w:szCs w:val="18"/>
          <w:color w:val="231F20"/>
        </w:rPr>
        <w:t>$670 million, driven</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231F20"/>
        </w:rPr>
        <w:t>c</w:t>
      </w:r>
      <w:r>
        <w:rPr>
          <w:rFonts w:ascii="Times New Roman" w:cs="Times New Roman" w:eastAsia="Times New Roman" w:hAnsi="Times New Roman"/>
          <w:sz w:val="18"/>
          <w:szCs w:val="18"/>
          <w:color w:val="auto"/>
        </w:rPr>
        <w:t>ontinued adoption of Arm technology with higher royalty rates per chip, such as Armv9 architecture and Arm CSS, and increased deployment of Arm-based chips in data centers. This was partially offset by the impact of memory pricing on the smartphone market.</w:t>
      </w:r>
    </w:p>
    <w:p>
      <w:pPr>
        <w:spacing w:after="0" w:line="67"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License and other 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50% year-over-year to </w:t>
      </w:r>
      <w:r>
        <w:rPr>
          <w:rFonts w:ascii="Times New Roman" w:cs="Times New Roman" w:eastAsia="Times New Roman" w:hAnsi="Times New Roman"/>
          <w:sz w:val="18"/>
          <w:szCs w:val="18"/>
          <w:color w:val="000000"/>
        </w:rPr>
        <w:t>$773 million driven by</w:t>
      </w:r>
      <w:r>
        <w:rPr>
          <w:rFonts w:ascii="Times New Roman" w:cs="Times New Roman" w:eastAsia="Times New Roman" w:hAnsi="Times New Roman"/>
          <w:sz w:val="18"/>
          <w:szCs w:val="18"/>
          <w:color w:val="231F20"/>
        </w:rPr>
        <w:t xml:space="preserve"> continued strong demand for Arm IP, as well as fluctuation in the timing and size of multiple high-value license agreements and contributions from backlog.</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Annualized contract value (ACV), a metric for normalized license and other revenue, increased 12% year-over-year to $1,790 million.</w:t>
      </w:r>
    </w:p>
    <w:p>
      <w:pPr>
        <w:spacing w:after="0" w:line="117" w:lineRule="exact"/>
        <w:rPr>
          <w:rFonts w:ascii="Times New Roman" w:cs="Times New Roman" w:eastAsia="Times New Roman" w:hAnsi="Times New Roman"/>
          <w:sz w:val="18"/>
          <w:szCs w:val="18"/>
          <w:color w:val="231F20"/>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GAAP gross profit was $1,401 million, which equates to a GAAP gross margin of 97.1%. Non-GAAP gross profit was $1,412 million, which equates to a non-GAAP gross margin of 97.9%.</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expenses were $1,200 million. </w:t>
      </w:r>
      <w:r>
        <w:rPr>
          <w:rFonts w:ascii="Times New Roman" w:cs="Times New Roman" w:eastAsia="Times New Roman" w:hAnsi="Times New Roman"/>
          <w:sz w:val="18"/>
          <w:szCs w:val="18"/>
          <w:color w:val="000000"/>
        </w:rPr>
        <w:t>Non-GAAP operating expenses were</w:t>
      </w:r>
      <w:r>
        <w:rPr>
          <w:rFonts w:ascii="Times New Roman" w:cs="Times New Roman" w:eastAsia="Times New Roman" w:hAnsi="Times New Roman"/>
          <w:sz w:val="18"/>
          <w:szCs w:val="18"/>
          <w:color w:val="231F20"/>
        </w:rPr>
        <w:t xml:space="preserve"> $774 million and </w:t>
      </w:r>
      <w:r>
        <w:rPr>
          <w:rFonts w:ascii="Times New Roman" w:cs="Times New Roman" w:eastAsia="Times New Roman" w:hAnsi="Times New Roman"/>
          <w:sz w:val="18"/>
          <w:szCs w:val="18"/>
          <w:color w:val="000000"/>
        </w:rPr>
        <w:t>increased 19%</w:t>
      </w:r>
      <w:r>
        <w:rPr>
          <w:rFonts w:ascii="Times New Roman" w:cs="Times New Roman" w:eastAsia="Times New Roman" w:hAnsi="Times New Roman"/>
          <w:sz w:val="18"/>
          <w:szCs w:val="18"/>
          <w:color w:val="231F20"/>
        </w:rPr>
        <w:t xml:space="preserve"> year-over-year.</w:t>
      </w:r>
    </w:p>
    <w:p>
      <w:pPr>
        <w:spacing w:after="0" w:line="117"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research and development was </w:t>
      </w:r>
      <w:r>
        <w:rPr>
          <w:rFonts w:ascii="Times New Roman" w:cs="Times New Roman" w:eastAsia="Times New Roman" w:hAnsi="Times New Roman"/>
          <w:sz w:val="18"/>
          <w:szCs w:val="18"/>
          <w:color w:val="000000"/>
        </w:rPr>
        <w:t>$857 million. Non-GAAP</w:t>
      </w:r>
      <w:r>
        <w:rPr>
          <w:rFonts w:ascii="Times New Roman" w:cs="Times New Roman" w:eastAsia="Times New Roman" w:hAnsi="Times New Roman"/>
          <w:sz w:val="18"/>
          <w:szCs w:val="18"/>
          <w:color w:val="231F20"/>
        </w:rPr>
        <w:t xml:space="preserve"> research and development </w:t>
      </w:r>
      <w:r>
        <w:rPr>
          <w:rFonts w:ascii="Times New Roman" w:cs="Times New Roman" w:eastAsia="Times New Roman" w:hAnsi="Times New Roman"/>
          <w:sz w:val="18"/>
          <w:szCs w:val="18"/>
          <w:color w:val="000000"/>
        </w:rPr>
        <w:t>was $547 million and increased 17% year-over-year driven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primarily by investment in engineering headcount and other expenses.</w:t>
      </w:r>
    </w:p>
    <w:p>
      <w:pPr>
        <w:spacing w:after="0" w:line="53" w:lineRule="exact"/>
        <w:rPr>
          <w:rFonts w:ascii="Times New Roman" w:cs="Times New Roman" w:eastAsia="Times New Roman" w:hAnsi="Times New Roman"/>
          <w:sz w:val="18"/>
          <w:szCs w:val="18"/>
          <w:color w:val="231F20"/>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selling, general and administrative was $343 million</w:t>
      </w:r>
      <w:r>
        <w:rPr>
          <w:rFonts w:ascii="Times New Roman" w:cs="Times New Roman" w:eastAsia="Times New Roman" w:hAnsi="Times New Roman"/>
          <w:sz w:val="18"/>
          <w:szCs w:val="18"/>
          <w:color w:val="231F20"/>
        </w:rPr>
        <w:t>. Non-</w:t>
      </w:r>
      <w:r>
        <w:rPr>
          <w:rFonts w:ascii="Times New Roman" w:cs="Times New Roman" w:eastAsia="Times New Roman" w:hAnsi="Times New Roman"/>
          <w:sz w:val="18"/>
          <w:szCs w:val="18"/>
          <w:color w:val="auto"/>
        </w:rPr>
        <w:t xml:space="preserve">GAAP selling, general and administrative was $227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increased 25% </w:t>
      </w:r>
      <w:r>
        <w:rPr>
          <w:rFonts w:ascii="Times New Roman" w:cs="Times New Roman" w:eastAsia="Times New Roman" w:hAnsi="Times New Roman"/>
          <w:sz w:val="18"/>
          <w:szCs w:val="18"/>
          <w:color w:val="231F20"/>
        </w:rPr>
        <w:t>year-over-year.</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operating income was $201 million. </w:t>
      </w:r>
      <w:r>
        <w:rPr>
          <w:rFonts w:ascii="Times New Roman" w:cs="Times New Roman" w:eastAsia="Times New Roman" w:hAnsi="Times New Roman"/>
          <w:sz w:val="18"/>
          <w:szCs w:val="18"/>
          <w:color w:val="000000"/>
        </w:rPr>
        <w:t>Non-GAAP operating income was</w:t>
      </w:r>
      <w:r>
        <w:rPr>
          <w:rFonts w:ascii="Times New Roman" w:cs="Times New Roman" w:eastAsia="Times New Roman" w:hAnsi="Times New Roman"/>
          <w:sz w:val="18"/>
          <w:szCs w:val="18"/>
          <w:color w:val="231F20"/>
        </w:rPr>
        <w:t xml:space="preserve"> $638 million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31F20"/>
        </w:rPr>
      </w:pPr>
    </w:p>
    <w:p>
      <w:pPr>
        <w:ind w:left="340" w:right="40" w:hanging="332"/>
        <w:spacing w:after="0" w:line="282"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GAAP operating margin decreased to </w:t>
      </w:r>
      <w:r>
        <w:rPr>
          <w:rFonts w:ascii="Times New Roman" w:cs="Times New Roman" w:eastAsia="Times New Roman" w:hAnsi="Times New Roman"/>
          <w:sz w:val="18"/>
          <w:szCs w:val="18"/>
          <w:color w:val="231F20"/>
        </w:rPr>
        <w:t>13.9%</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color w:val="231F20"/>
        </w:rPr>
        <w:t>14.4%</w:t>
      </w:r>
      <w:r>
        <w:rPr>
          <w:rFonts w:ascii="Times New Roman" w:cs="Times New Roman" w:eastAsia="Times New Roman" w:hAnsi="Times New Roman"/>
          <w:sz w:val="18"/>
          <w:szCs w:val="18"/>
          <w:color w:val="auto"/>
        </w:rPr>
        <w:t xml:space="preserve"> in the prior year period. Non-GAAP operating margin increased to 44.2% from 41.1% in the same period a year ago.</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GAAP net income was $130 million and </w:t>
      </w:r>
      <w:r>
        <w:rPr>
          <w:rFonts w:ascii="Times New Roman" w:cs="Times New Roman" w:eastAsia="Times New Roman" w:hAnsi="Times New Roman"/>
          <w:sz w:val="18"/>
          <w:szCs w:val="18"/>
          <w:color w:val="000000"/>
        </w:rPr>
        <w:t>GAAP</w:t>
      </w:r>
      <w:r>
        <w:rPr>
          <w:rFonts w:ascii="Times New Roman" w:cs="Times New Roman" w:eastAsia="Times New Roman" w:hAnsi="Times New Roman"/>
          <w:sz w:val="18"/>
          <w:szCs w:val="18"/>
          <w:color w:val="231F20"/>
        </w:rPr>
        <w:t xml:space="preserve"> fully diluted earnings per share ("EPS") was $0.12 compared with $0.22 in the same period a year ago. Non-GAAP net income was $566 million and non-GAAP fully diluted EPS was </w:t>
      </w:r>
      <w:r>
        <w:rPr>
          <w:rFonts w:ascii="Times New Roman" w:cs="Times New Roman" w:eastAsia="Times New Roman" w:hAnsi="Times New Roman"/>
          <w:sz w:val="18"/>
          <w:szCs w:val="18"/>
          <w:color w:val="000000"/>
        </w:rPr>
        <w:t>$0.52</w:t>
      </w:r>
      <w:r>
        <w:rPr>
          <w:rFonts w:ascii="Times New Roman" w:cs="Times New Roman" w:eastAsia="Times New Roman" w:hAnsi="Times New Roman"/>
          <w:sz w:val="18"/>
          <w:szCs w:val="18"/>
          <w:color w:val="231F20"/>
        </w:rPr>
        <w:t xml:space="preserve"> compared with </w:t>
      </w:r>
      <w:r>
        <w:rPr>
          <w:rFonts w:ascii="Times New Roman" w:cs="Times New Roman" w:eastAsia="Times New Roman" w:hAnsi="Times New Roman"/>
          <w:sz w:val="18"/>
          <w:szCs w:val="18"/>
          <w:color w:val="000000"/>
        </w:rPr>
        <w:t>$0.39</w:t>
      </w:r>
      <w:r>
        <w:rPr>
          <w:rFonts w:ascii="Times New Roman" w:cs="Times New Roman" w:eastAsia="Times New Roman" w:hAnsi="Times New Roman"/>
          <w:sz w:val="18"/>
          <w:szCs w:val="18"/>
          <w:color w:val="231F20"/>
        </w:rPr>
        <w:t xml:space="preserve"> in the same period a year ago.</w:t>
      </w:r>
    </w:p>
    <w:p>
      <w:pPr>
        <w:spacing w:after="0" w:line="53"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color w:val="231F20"/>
        </w:rPr>
        <w:t>on-GAAP f</w:t>
      </w:r>
      <w:r>
        <w:rPr>
          <w:rFonts w:ascii="Times New Roman" w:cs="Times New Roman" w:eastAsia="Times New Roman" w:hAnsi="Times New Roman"/>
          <w:sz w:val="18"/>
          <w:szCs w:val="18"/>
          <w:color w:val="auto"/>
        </w:rPr>
        <w:t>ree cash flow (FCF) for the trailing twelve months was $1,096 million</w:t>
      </w:r>
      <w:r>
        <w:rPr>
          <w:rFonts w:ascii="Times New Roman" w:cs="Times New Roman" w:eastAsia="Times New Roman" w:hAnsi="Times New Roman"/>
          <w:sz w:val="18"/>
          <w:szCs w:val="18"/>
          <w:color w:val="231F20"/>
        </w:rPr>
        <w:t>.</w:t>
      </w:r>
    </w:p>
    <w:p>
      <w:pPr>
        <w:spacing w:after="0" w:line="117" w:lineRule="exact"/>
        <w:rPr>
          <w:rFonts w:ascii="Times New Roman" w:cs="Times New Roman" w:eastAsia="Times New Roman" w:hAnsi="Times New Roman"/>
          <w:sz w:val="18"/>
          <w:szCs w:val="18"/>
          <w:color w:val="231F20"/>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Cash and cash equivalents and short-term investments totaled </w:t>
      </w:r>
      <w:r>
        <w:rPr>
          <w:rFonts w:ascii="Times New Roman" w:cs="Times New Roman" w:eastAsia="Times New Roman" w:hAnsi="Times New Roman"/>
          <w:sz w:val="18"/>
          <w:szCs w:val="18"/>
          <w:color w:val="000000"/>
        </w:rPr>
        <w:t>$3,621 million</w:t>
      </w:r>
      <w:r>
        <w:rPr>
          <w:rFonts w:ascii="Times New Roman" w:cs="Times New Roman" w:eastAsia="Times New Roman" w:hAnsi="Times New Roman"/>
          <w:sz w:val="18"/>
          <w:szCs w:val="18"/>
          <w:color w:val="231F20"/>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Guidance and Results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620" w:type="dxa"/>
            <w:vAlign w:val="bottom"/>
            <w:tcBorders>
              <w:top w:val="single" w:sz="8" w:color="auto"/>
              <w:left w:val="single" w:sz="8" w:color="auto"/>
              <w:right w:val="single" w:sz="8" w:color="auto"/>
            </w:tcBorders>
            <w:vMerge w:val="restart"/>
            <w:shd w:val="clear" w:color="auto" w:fill="0057FF"/>
          </w:tcPr>
          <w:p>
            <w:pPr>
              <w:ind w:left="80"/>
              <w:spacing w:after="0"/>
              <w:rPr>
                <w:sz w:val="20"/>
                <w:szCs w:val="20"/>
                <w:color w:val="auto"/>
              </w:rPr>
            </w:pPr>
            <w:r>
              <w:rPr>
                <w:rFonts w:ascii="Times New Roman" w:cs="Times New Roman" w:eastAsia="Times New Roman" w:hAnsi="Times New Roman"/>
                <w:sz w:val="18"/>
                <w:szCs w:val="18"/>
                <w:b w:val="1"/>
                <w:bCs w:val="1"/>
                <w:color w:val="FFFFFF"/>
              </w:rPr>
              <w:t>Quarterly Guidance &amp; Results</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rPr>
              <w:t>Q2 FYE27</w:t>
            </w:r>
          </w:p>
        </w:tc>
        <w:tc>
          <w:tcPr>
            <w:tcW w:w="2200" w:type="dxa"/>
            <w:vAlign w:val="bottom"/>
            <w:tcBorders>
              <w:top w:val="single" w:sz="8" w:color="auto"/>
              <w:right w:val="single" w:sz="8" w:color="auto"/>
            </w:tcBorders>
            <w:shd w:val="clear" w:color="auto" w:fill="0057FF"/>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Q2 FYE27</w:t>
            </w:r>
          </w:p>
        </w:tc>
        <w:tc>
          <w:tcPr>
            <w:tcW w:w="2220" w:type="dxa"/>
            <w:vAlign w:val="bottom"/>
            <w:tcBorders>
              <w:top w:val="single" w:sz="8" w:color="auto"/>
              <w:right w:val="single" w:sz="8" w:color="auto"/>
            </w:tcBorders>
            <w:shd w:val="clear" w:color="auto" w:fill="0057FF"/>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Q3 FYE27</w:t>
            </w:r>
          </w:p>
        </w:tc>
        <w:tc>
          <w:tcPr>
            <w:tcW w:w="0" w:type="dxa"/>
            <w:vAlign w:val="bottom"/>
          </w:tcPr>
          <w:p>
            <w:pPr>
              <w:spacing w:after="0"/>
              <w:rPr>
                <w:sz w:val="1"/>
                <w:szCs w:val="1"/>
                <w:color w:val="auto"/>
              </w:rPr>
            </w:pPr>
          </w:p>
        </w:tc>
      </w:tr>
      <w:tr>
        <w:trPr>
          <w:trHeight w:val="144"/>
        </w:trPr>
        <w:tc>
          <w:tcPr>
            <w:tcW w:w="4620" w:type="dxa"/>
            <w:vAlign w:val="bottom"/>
            <w:tcBorders>
              <w:left w:val="single" w:sz="8" w:color="auto"/>
              <w:right w:val="single" w:sz="8" w:color="auto"/>
            </w:tcBorders>
            <w:vMerge w:val="continue"/>
            <w:shd w:val="clear" w:color="auto" w:fill="0057FF"/>
          </w:tcPr>
          <w:p>
            <w:pPr>
              <w:spacing w:after="0"/>
              <w:rPr>
                <w:sz w:val="12"/>
                <w:szCs w:val="12"/>
                <w:color w:val="auto"/>
              </w:rPr>
            </w:pPr>
          </w:p>
        </w:tc>
        <w:tc>
          <w:tcPr>
            <w:tcW w:w="2220" w:type="dxa"/>
            <w:vAlign w:val="bottom"/>
            <w:tcBorders>
              <w:right w:val="single" w:sz="8" w:color="auto"/>
            </w:tcBorders>
            <w:vMerge w:val="restart"/>
            <w:shd w:val="clear" w:color="auto" w:fill="0057FF"/>
          </w:tcPr>
          <w:p>
            <w:pPr>
              <w:ind w:left="72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2200" w:type="dxa"/>
            <w:vAlign w:val="bottom"/>
            <w:tcBorders>
              <w:right w:val="single" w:sz="8" w:color="auto"/>
            </w:tcBorders>
            <w:vMerge w:val="restart"/>
            <w:shd w:val="clear" w:color="auto" w:fill="0057FF"/>
          </w:tcPr>
          <w:p>
            <w:pPr>
              <w:ind w:left="860"/>
              <w:spacing w:after="0"/>
              <w:rPr>
                <w:sz w:val="20"/>
                <w:szCs w:val="20"/>
                <w:color w:val="auto"/>
              </w:rPr>
            </w:pPr>
            <w:r>
              <w:rPr>
                <w:rFonts w:ascii="Times New Roman" w:cs="Times New Roman" w:eastAsia="Times New Roman" w:hAnsi="Times New Roman"/>
                <w:sz w:val="18"/>
                <w:szCs w:val="18"/>
                <w:b w:val="1"/>
                <w:bCs w:val="1"/>
                <w:color w:val="FFFFFF"/>
              </w:rPr>
              <w:t>Results</w:t>
            </w:r>
          </w:p>
        </w:tc>
        <w:tc>
          <w:tcPr>
            <w:tcW w:w="2220" w:type="dxa"/>
            <w:vAlign w:val="bottom"/>
            <w:tcBorders>
              <w:right w:val="single" w:sz="8" w:color="auto"/>
            </w:tcBorders>
            <w:vMerge w:val="restart"/>
            <w:shd w:val="clear" w:color="auto" w:fill="0057FF"/>
          </w:tcPr>
          <w:p>
            <w:pPr>
              <w:ind w:left="740"/>
              <w:spacing w:after="0"/>
              <w:rPr>
                <w:sz w:val="20"/>
                <w:szCs w:val="20"/>
                <w:color w:val="auto"/>
              </w:rPr>
            </w:pPr>
            <w:r>
              <w:rPr>
                <w:rFonts w:ascii="Times New Roman" w:cs="Times New Roman" w:eastAsia="Times New Roman" w:hAnsi="Times New Roman"/>
                <w:sz w:val="18"/>
                <w:szCs w:val="18"/>
                <w:b w:val="1"/>
                <w:bCs w:val="1"/>
                <w:color w:val="FFFFFF"/>
              </w:rPr>
              <w:t>Guidance</w:t>
            </w:r>
          </w:p>
        </w:tc>
        <w:tc>
          <w:tcPr>
            <w:tcW w:w="0" w:type="dxa"/>
            <w:vAlign w:val="bottom"/>
          </w:tcPr>
          <w:p>
            <w:pPr>
              <w:spacing w:after="0"/>
              <w:rPr>
                <w:sz w:val="1"/>
                <w:szCs w:val="1"/>
                <w:color w:val="auto"/>
              </w:rPr>
            </w:pPr>
          </w:p>
        </w:tc>
      </w:tr>
      <w:tr>
        <w:trPr>
          <w:trHeight w:val="121"/>
        </w:trPr>
        <w:tc>
          <w:tcPr>
            <w:tcW w:w="4620" w:type="dxa"/>
            <w:vAlign w:val="bottom"/>
            <w:tcBorders>
              <w:left w:val="single" w:sz="8" w:color="auto"/>
              <w:bottom w:val="single" w:sz="8" w:color="0057FF"/>
              <w:right w:val="single" w:sz="8" w:color="auto"/>
            </w:tcBorders>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0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2220" w:type="dxa"/>
            <w:vAlign w:val="bottom"/>
            <w:tcBorders>
              <w:bottom w:val="single" w:sz="8" w:color="0057FF"/>
              <w:right w:val="single" w:sz="8" w:color="auto"/>
            </w:tcBorders>
            <w:vMerge w:val="continue"/>
            <w:shd w:val="clear" w:color="auto" w:fill="0057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333E48"/>
              </w:rPr>
              <w:t>Revenue</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$1.38bn +/- $50m</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$1.443bn</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$1.54bn +/- $50m</w:t>
            </w:r>
          </w:p>
        </w:tc>
        <w:tc>
          <w:tcPr>
            <w:tcW w:w="0" w:type="dxa"/>
            <w:vAlign w:val="bottom"/>
          </w:tcPr>
          <w:p>
            <w:pPr>
              <w:spacing w:after="0"/>
              <w:rPr>
                <w:sz w:val="1"/>
                <w:szCs w:val="1"/>
                <w:color w:val="auto"/>
              </w:rPr>
            </w:pP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operating expense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~$780m</w:t>
            </w:r>
          </w:p>
        </w:tc>
        <w:tc>
          <w:tcPr>
            <w:tcW w:w="220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231F20"/>
                <w:w w:val="99"/>
              </w:rPr>
              <w:t>$774m</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~$825m</w:t>
            </w:r>
          </w:p>
        </w:tc>
        <w:tc>
          <w:tcPr>
            <w:tcW w:w="0" w:type="dxa"/>
            <w:vAlign w:val="bottom"/>
          </w:tcPr>
          <w:p>
            <w:pPr>
              <w:spacing w:after="0"/>
              <w:rPr>
                <w:sz w:val="1"/>
                <w:szCs w:val="1"/>
                <w:color w:val="auto"/>
              </w:rPr>
            </w:pPr>
          </w:p>
        </w:tc>
      </w:tr>
      <w:tr>
        <w:trPr>
          <w:trHeight w:val="304"/>
        </w:trPr>
        <w:tc>
          <w:tcPr>
            <w:tcW w:w="4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xml:space="preserve">Non-GAAP fully diluted earnings per share </w:t>
            </w:r>
            <w:r>
              <w:rPr>
                <w:rFonts w:ascii="Times New Roman" w:cs="Times New Roman" w:eastAsia="Times New Roman" w:hAnsi="Times New Roman"/>
                <w:sz w:val="23"/>
                <w:szCs w:val="23"/>
                <w:color w:val="231F20"/>
                <w:vertAlign w:val="superscript"/>
              </w:rPr>
              <w:t>(1)</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$0.47 +/- $0.04</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8"/>
              </w:rPr>
              <w:t>$0.52</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rPr>
              <w:t>$0.56 +/- $0.04</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20" w:hanging="252"/>
        <w:spacing w:after="0" w:line="268" w:lineRule="auto"/>
        <w:tabs>
          <w:tab w:leader="none" w:pos="22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 which could potentially have a significant impact on our corresponding GAAP results.</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03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057FF"/>
        </w:rPr>
        <w:t>Key Financial and Operating Metrics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97"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The following table sets forth a summary of the key financial and operating metrics for the three months ended September 30, 2026 (for year-to-date key financial metrics, see the "Condensed Consolidated Income Statements" and "GAAP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Reconciliation" sections below):</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980" w:type="dxa"/>
            <w:vAlign w:val="bottom"/>
            <w:tcBorders>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4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Non-GAAP </w:t>
            </w:r>
            <w:r>
              <w:rPr>
                <w:rFonts w:ascii="Times New Roman" w:cs="Times New Roman" w:eastAsia="Times New Roman" w:hAnsi="Times New Roman"/>
                <w:sz w:val="23"/>
                <w:szCs w:val="23"/>
                <w:b w:val="1"/>
                <w:bCs w:val="1"/>
                <w:color w:val="auto"/>
                <w:vertAlign w:val="superscript"/>
              </w:rPr>
              <w:t>(1)</w:t>
            </w:r>
          </w:p>
        </w:tc>
        <w:tc>
          <w:tcPr>
            <w:tcW w:w="9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where indicated)</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FYE26</w:t>
            </w:r>
          </w:p>
        </w:tc>
        <w:tc>
          <w:tcPr>
            <w:tcW w:w="10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Y/Y%</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FYE26</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45"/>
        </w:trPr>
        <w:tc>
          <w:tcPr>
            <w:tcW w:w="4980" w:type="dxa"/>
            <w:vAlign w:val="bottom"/>
            <w:tcBorders>
              <w:left w:val="single" w:sz="8" w:color="auto"/>
              <w:right w:val="single" w:sz="8" w:color="auto"/>
            </w:tcBorders>
          </w:tcPr>
          <w:p>
            <w:pPr>
              <w:ind w:left="40"/>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23"/>
                <w:szCs w:val="23"/>
                <w:b w:val="1"/>
                <w:bCs w:val="1"/>
                <w:color w:val="auto"/>
                <w:vertAlign w:val="superscript"/>
              </w:rPr>
              <w:t>(2)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$1,443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$1,135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$1,443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$1,135</w:t>
            </w:r>
          </w:p>
        </w:tc>
        <w:tc>
          <w:tcPr>
            <w:tcW w:w="140" w:type="dxa"/>
            <w:vAlign w:val="bottom"/>
          </w:tcPr>
          <w:p>
            <w:pPr>
              <w:spacing w:after="0"/>
              <w:rPr>
                <w:sz w:val="21"/>
                <w:szCs w:val="21"/>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773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515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773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515</w:t>
            </w:r>
          </w:p>
        </w:tc>
        <w:tc>
          <w:tcPr>
            <w:tcW w:w="140" w:type="dxa"/>
            <w:vAlign w:val="bottom"/>
          </w:tcPr>
          <w:p>
            <w:pPr>
              <w:spacing w:after="0"/>
              <w:rPr>
                <w:sz w:val="20"/>
                <w:szCs w:val="20"/>
                <w:color w:val="auto"/>
              </w:rPr>
            </w:pPr>
          </w:p>
        </w:tc>
        <w:tc>
          <w:tcPr>
            <w:tcW w:w="9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620</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1,401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1,106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1,412</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1,115</w:t>
            </w:r>
          </w:p>
        </w:tc>
        <w:tc>
          <w:tcPr>
            <w:tcW w:w="140" w:type="dxa"/>
            <w:vAlign w:val="bottom"/>
          </w:tcPr>
          <w:p>
            <w:pPr>
              <w:spacing w:after="0"/>
              <w:rPr>
                <w:sz w:val="20"/>
                <w:szCs w:val="20"/>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97.4%</w:t>
            </w: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97.9%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98.2%</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$(943)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$(648)</w:t>
            </w:r>
          </w:p>
        </w:tc>
        <w:tc>
          <w:tcPr>
            <w:tcW w:w="140" w:type="dxa"/>
            <w:vAlign w:val="bottom"/>
          </w:tcPr>
          <w:p>
            <w:pPr>
              <w:spacing w:after="0"/>
              <w:rPr>
                <w:sz w:val="20"/>
                <w:szCs w:val="20"/>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(857)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(691)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(547)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(466)</w:t>
            </w:r>
          </w:p>
        </w:tc>
        <w:tc>
          <w:tcPr>
            <w:tcW w:w="140" w:type="dxa"/>
            <w:vAlign w:val="bottom"/>
          </w:tcPr>
          <w:p>
            <w:pPr>
              <w:spacing w:after="0"/>
              <w:rPr>
                <w:sz w:val="21"/>
                <w:szCs w:val="21"/>
                <w:color w:val="auto"/>
              </w:rPr>
            </w:pPr>
          </w:p>
        </w:tc>
        <w:tc>
          <w:tcPr>
            <w:tcW w:w="9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(182)</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201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163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638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467</w:t>
            </w:r>
          </w:p>
        </w:tc>
        <w:tc>
          <w:tcPr>
            <w:tcW w:w="140" w:type="dxa"/>
            <w:vAlign w:val="bottom"/>
          </w:tcPr>
          <w:p>
            <w:pPr>
              <w:spacing w:after="0"/>
              <w:rPr>
                <w:sz w:val="20"/>
                <w:szCs w:val="20"/>
                <w:color w:val="auto"/>
              </w:rPr>
            </w:pPr>
          </w:p>
        </w:tc>
        <w:tc>
          <w:tcPr>
            <w:tcW w:w="9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0" w:type="dxa"/>
            <w:vAlign w:val="bottom"/>
          </w:tcPr>
          <w:p>
            <w:pPr>
              <w:spacing w:after="0"/>
              <w:rPr>
                <w:sz w:val="1"/>
                <w:szCs w:val="1"/>
                <w:color w:val="auto"/>
              </w:rPr>
            </w:pPr>
          </w:p>
        </w:tc>
      </w:tr>
      <w:tr>
        <w:trPr>
          <w:trHeight w:val="243"/>
        </w:trPr>
        <w:tc>
          <w:tcPr>
            <w:tcW w:w="4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13.9%</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14.4%</w:t>
            </w:r>
          </w:p>
        </w:tc>
        <w:tc>
          <w:tcPr>
            <w:tcW w:w="104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44.2%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41.1%</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238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566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417</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36%</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(loss) per share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$0.12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$0.22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$0.52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$0.39</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w:t>
            </w: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411</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Non-GAAP free cash flow trailing twelve months (TTM)</w:t>
            </w: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shd w:val="clear" w:color="auto" w:fill="DBDBDB"/>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1,096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12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metrics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FYE26</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Y/Y%</w:t>
            </w:r>
          </w:p>
        </w:tc>
        <w:tc>
          <w:tcPr>
            <w:tcW w:w="0" w:type="dxa"/>
            <w:vAlign w:val="bottom"/>
          </w:tcPr>
          <w:p>
            <w:pPr>
              <w:spacing w:after="0"/>
              <w:rPr>
                <w:sz w:val="1"/>
                <w:szCs w:val="1"/>
                <w:color w:val="auto"/>
              </w:rPr>
            </w:pPr>
          </w:p>
        </w:tc>
      </w:tr>
      <w:tr>
        <w:trPr>
          <w:trHeight w:val="236"/>
        </w:trPr>
        <w:tc>
          <w:tcPr>
            <w:tcW w:w="4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Annualized contract value (in millions)</w:t>
            </w: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$1,790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hanging="252"/>
        <w:spacing w:after="0" w:line="261" w:lineRule="auto"/>
        <w:tabs>
          <w:tab w:leader="none" w:pos="39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cost of sales, Non-GAAP gross profit, Non-GAAP gross margin, Non-GAAP operating expenses, Non-GAAP research and development operating expenses, Non-GAAP selling, general and administrative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revenue, license and other revenue, and royalty revenue are presented in accordance with GAAP only.</w:t>
      </w:r>
    </w:p>
    <w:p>
      <w:pPr>
        <w:spacing w:after="0" w:line="4" w:lineRule="exact"/>
        <w:rPr>
          <w:rFonts w:ascii="Times New Roman" w:cs="Times New Roman" w:eastAsia="Times New Roman" w:hAnsi="Times New Roman"/>
          <w:sz w:val="14"/>
          <w:szCs w:val="14"/>
          <w:color w:val="auto"/>
        </w:rPr>
      </w:pPr>
    </w:p>
    <w:p>
      <w:pPr>
        <w:jc w:val="both"/>
        <w:ind w:left="260" w:hanging="252"/>
        <w:spacing w:after="0"/>
        <w:tabs>
          <w:tab w:leader="none" w:pos="33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metrics are as of the last day of the applicable period. We continually review our key operating metrics to ensure that they provide useful information to investors in understanding and evaluating our results of operations. The quarterly remaining performance obligations and the number of extant Arm Total Access and Arm Flexible Access licenses has become less relevant to our growth with the extension of our business into production silicon. As such, beginning with Q1 FYE27, we are no longer reporting the remaining performance obligations and the number of extant Arm Total Access and Arm Flexible Access licenses in our shareholder letter.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0057FF"/>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product offerings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License and other revenue</w:t>
      </w:r>
    </w:p>
    <w:p>
      <w:pPr>
        <w:spacing w:after="0" w:line="227" w:lineRule="exact"/>
        <w:rPr>
          <w:sz w:val="20"/>
          <w:szCs w:val="20"/>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Intellectual property license </w:t>
      </w:r>
      <w:r>
        <w:rPr>
          <w:rFonts w:ascii="Times New Roman" w:cs="Times New Roman" w:eastAsia="Times New Roman" w:hAnsi="Times New Roman"/>
          <w:sz w:val="18"/>
          <w:szCs w:val="18"/>
          <w:color w:val="231F20"/>
        </w:rPr>
        <w:t>— We generally license IP under non-exclusive license agreements that provide usage rights for specific applications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t>
      </w:r>
      <w:r>
        <w:rPr>
          <w:rFonts w:ascii="Times New Roman" w:cs="Times New Roman" w:eastAsia="Times New Roman" w:hAnsi="Times New Roman"/>
          <w:sz w:val="18"/>
          <w:szCs w:val="18"/>
          <w:color w:val="000000"/>
        </w:rPr>
        <w:t>Where arrangements include royalty buy-downs or upfront minimum royalty commitments, the Company treats them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 fixed contract consideration under licensing revenue. </w:t>
      </w:r>
      <w:r>
        <w:rPr>
          <w:rFonts w:ascii="Times New Roman" w:cs="Times New Roman" w:eastAsia="Times New Roman" w:hAnsi="Times New Roman"/>
          <w:sz w:val="18"/>
          <w:szCs w:val="18"/>
          <w:color w:val="231F20"/>
        </w:rPr>
        <w:t>Revenue allocated to the IP license is recognized at a point in time upon the delivery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82"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Software sales, including development systems </w:t>
      </w:r>
      <w:r>
        <w:rPr>
          <w:rFonts w:ascii="Times New Roman" w:cs="Times New Roman" w:eastAsia="Times New Roman" w:hAnsi="Times New Roman"/>
          <w:sz w:val="18"/>
          <w:szCs w:val="18"/>
          <w:color w:val="231F20"/>
        </w:rPr>
        <w:t>— Sales of software, including development systems, which are not specifically designed for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given license (such as off-the-shelf software), are recognized upon delivery when control has been transferred and the customer can begin to use and benefit from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Professional services </w:t>
      </w:r>
      <w:r>
        <w:rPr>
          <w:rFonts w:ascii="Times New Roman" w:cs="Times New Roman" w:eastAsia="Times New Roman" w:hAnsi="Times New Roman"/>
          <w:sz w:val="18"/>
          <w:szCs w:val="18"/>
          <w:color w:val="231F20"/>
        </w:rPr>
        <w:t>— Services (such as training, professional and design services) that we provide, which are not essential to the functionality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IP, are separately stated and priced in the contract and accounted for separately. Training revenue is recognized as services are performed. In certain arrangements, we also provide customers with professional and design services, as a stand-ready obligation, that are recognized on a ratable basis over the term of the contract.</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Support and maintenance </w:t>
      </w:r>
      <w:r>
        <w:rPr>
          <w:rFonts w:ascii="Times New Roman" w:cs="Times New Roman" w:eastAsia="Times New Roman" w:hAnsi="Times New Roman"/>
          <w:sz w:val="18"/>
          <w:szCs w:val="18"/>
          <w:color w:val="231F20"/>
        </w:rPr>
        <w:t>— Support and maintenance is a stand-ready obligation to the customer that is both provided and consumed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simultaneously. Revenue is recognized on a straight-line basis over the period for which support and maintenance is contractually agreed pursuant to the license.</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auto"/>
        </w:rPr>
        <w:t xml:space="preserve">Third-party arrangements </w:t>
      </w:r>
      <w:r>
        <w:rPr>
          <w:rFonts w:ascii="Times New Roman" w:cs="Times New Roman" w:eastAsia="Times New Roman" w:hAnsi="Times New Roman"/>
          <w:sz w:val="18"/>
          <w:szCs w:val="18"/>
          <w:color w:val="auto"/>
        </w:rPr>
        <w:t>— In certain arrangements, the Company arranges for third parties to provide products or services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recognized on a gross basis when the Company controls the product or service, and on a net margin basis when it acts as an agent. In agent arrangements, control passes directly from the third party to the customer, and the Company bears no inventory or performance risk. For product-related agent arrangements, revenue is recognized at a point in time when the customer obtains control of the underlying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Royalty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231F20"/>
        </w:rPr>
        <w:t>resulting from actual amounts subsequently reported by the licensees in the period following the accrual, including royalty audit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Annualized contract value ("ACV")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Architecture License Agreements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7FF"/>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disposal, restructuring and other operating expenses, net, non-GAAP operating expenses, non-GAAP operating income (loss), non-GAAP operating margin, non-GAAP income (loss) from equity investments, net, non-GAAP interest income, net, non-GAAP other non-operating income (loss), net, non-GAAP income (loss) before income taxes, non-GAAP income tax benefit (expense), non-GAAP net income (loss), non-GAAP basic and diluted net income per share, or earnings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Non-GAAP financial measures (other than non-GAAP free cash flow and non-GAAP free cash flow TTM) presented herein exclude acquisition related expenses,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costs associated with disposal activities, gain on disposal of business, (income) loss from equity investments, net, and income tax effect on non-GAAP adjustments. Non-GAAP free cash flow and non-GAAP free cash flow TTM exclude purchases of property and equipment, purchases of intangible assets, and payment of intangible asset obligations.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39"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54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0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from related parties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Disposal, restructuring and other operating expenses, net</w:t>
            </w:r>
          </w:p>
        </w:tc>
        <w:tc>
          <w:tcPr>
            <w:tcW w:w="9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5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48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40" w:top="117"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 of $285 and $270 as of September 30, 2026 and March 31,</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2026, 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 (including contract assets from related parties of $617 and $646 as of September 30, 2026 and March 31, 2026,</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 (including investments held under fair value option of $157 and $148 as of September 30, 2026 and March 31,</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2026, 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7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Tax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 of $24 and $36 as of September 30, 2026 and March 31, 2026,</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(including payables to related parties of $12 and $20 as of September 30, 2026 and March 31, 2026,</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accrued compensation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contract liabilities (including non-current portion of contract liabilities from related parties of $23 and $23 as</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of September 30, 2026 and March 31, 2026, respectively)</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$0.001 par value; 1,111 shares authorized, 1,070 shares issued and outstanding as of September 30, 2026; and</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1,097 shares authorized, 1,064 shares issued and outstanding as of March 31, 2026</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24"/>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40" w:top="117"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54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operating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8"/>
                <w:szCs w:val="18"/>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w:t>
            </w: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cost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expense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business divestiture</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(including receivables from related parties)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assets, net (including contract assets from related parties)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(including contract liabilities from related parties)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liabilities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 (including payables to related parties)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operating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investing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04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equity investments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business divestiture</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or liquidation of equity investments</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investing activities, net, including investments in convertible loans</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investing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provided by (used for) financing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04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intangible asset obligations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Payments of withholding tax on vested shares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cash provided by (used for) financing activities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9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3"/>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 and cash equivalents from continuing operations, end of the period</w:t>
            </w: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4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GAAP to Non-GAAP Reconciliation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04" w:right="3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GAAP to Non-GAAP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549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sales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3531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w:t>
            </w:r>
          </w:p>
        </w:tc>
        <w:tc>
          <w:tcPr>
            <w:tcW w:w="760" w:type="dxa"/>
            <w:vAlign w:val="bottom"/>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900" w:type="dxa"/>
            <w:vAlign w:val="bottom"/>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35"/>
        </w:trPr>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5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Acquisition- compensation SBC, net of</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8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R&amp;D tax</w:t>
            </w:r>
          </w:p>
        </w:tc>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non-GAAP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203"/>
        </w:trPr>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incentives</w:t>
            </w:r>
            <w:r>
              <w:rPr>
                <w:rFonts w:ascii="Times New Roman" w:cs="Times New Roman" w:eastAsia="Times New Roman" w:hAnsi="Times New Roman"/>
                <w:sz w:val="18"/>
                <w:szCs w:val="18"/>
                <w:b w:val="1"/>
                <w:bCs w:val="1"/>
                <w:color w:val="auto"/>
                <w:w w:val="98"/>
                <w:vertAlign w:val="superscript"/>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6"/>
        </w:trPr>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$1,443</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216"/>
        </w:trPr>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(42)</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1,401</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1,412</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97.1%</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97.9%</w:t>
            </w:r>
          </w:p>
        </w:tc>
        <w:tc>
          <w:tcPr>
            <w:tcW w:w="0" w:type="dxa"/>
            <w:vAlign w:val="bottom"/>
          </w:tcPr>
          <w:p>
            <w:pPr>
              <w:spacing w:after="0"/>
              <w:rPr>
                <w:sz w:val="1"/>
                <w:szCs w:val="1"/>
                <w:color w:val="auto"/>
              </w:rPr>
            </w:pPr>
          </w:p>
        </w:tc>
      </w:tr>
    </w:tbl>
    <w:p>
      <w:pPr>
        <w:spacing w:after="0" w:line="243" w:lineRule="exact"/>
        <w:rPr>
          <w:sz w:val="20"/>
          <w:szCs w:val="20"/>
          <w:color w:val="auto"/>
        </w:rPr>
      </w:pPr>
    </w:p>
    <w:p>
      <w:pPr>
        <w:sectPr>
          <w:pgSz w:w="11900" w:h="16838" w:orient="portrait"/>
          <w:cols w:equalWidth="0" w:num="2">
            <w:col w:w="4960" w:space="720"/>
            <w:col w:w="5560"/>
          </w:cols>
          <w:pgMar w:left="320" w:top="104" w:right="33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(857)</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368</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638</w:t>
            </w: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13.9%</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$130</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$377</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8"/>
              </w:rPr>
              <w:t>$(21)</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$566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1,069</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1,079</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7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SBC, net</w:t>
            </w:r>
          </w:p>
        </w:tc>
        <w:tc>
          <w:tcPr>
            <w:tcW w:w="78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4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0" w:type="dxa"/>
            <w:vAlign w:val="bottom"/>
            <w:vMerge w:val="restart"/>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R&amp;D tax</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disposal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7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non-GAAP  Non-GAAP</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9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9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incentives</w:t>
            </w:r>
            <w:r>
              <w:rPr>
                <w:rFonts w:ascii="Times New Roman" w:cs="Times New Roman" w:eastAsia="Times New Roman" w:hAnsi="Times New Roman"/>
                <w:sz w:val="18"/>
                <w:szCs w:val="18"/>
                <w:b w:val="1"/>
                <w:bCs w:val="1"/>
                <w:color w:val="auto"/>
                <w:w w:val="98"/>
                <w:vertAlign w:val="superscript"/>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$1,135</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$1,135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(29)</w:t>
            </w:r>
          </w:p>
        </w:tc>
        <w:tc>
          <w:tcPr>
            <w:tcW w:w="9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1,106</w:t>
            </w:r>
          </w:p>
        </w:tc>
        <w:tc>
          <w:tcPr>
            <w:tcW w:w="9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97.4%</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(691)</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197</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(466)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(252)</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(182)</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(943)</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258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(648)</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163</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265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14.4%</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(16)</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27</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27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128</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302</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265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(64)</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$238</w:t>
            </w:r>
          </w:p>
        </w:tc>
        <w:tc>
          <w:tcPr>
            <w:tcW w:w="9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$265</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$16</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51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$0.22</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$0.22</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1,060</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1,069</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1,069</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September 30, 2026</w:t>
            </w: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w:t>
            </w: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from</w:t>
            </w:r>
          </w:p>
        </w:tc>
        <w:tc>
          <w:tcPr>
            <w:tcW w:w="900" w:type="dxa"/>
            <w:vAlign w:val="bottom"/>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GAAP</w:t>
            </w:r>
          </w:p>
        </w:tc>
        <w:tc>
          <w:tcPr>
            <w:tcW w:w="25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Acquisition- compensation SBC, net of</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8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R&amp;D tax</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non-GAAP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98"/>
        </w:trPr>
        <w:tc>
          <w:tcPr>
            <w:tcW w:w="4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8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incentives</w:t>
            </w:r>
            <w:r>
              <w:rPr>
                <w:rFonts w:ascii="Times New Roman" w:cs="Times New Roman" w:eastAsia="Times New Roman" w:hAnsi="Times New Roman"/>
                <w:sz w:val="9"/>
                <w:szCs w:val="9"/>
                <w:b w:val="1"/>
                <w:bCs w:val="1"/>
                <w:color w:val="auto"/>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91"/>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$2,732</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(78)</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2,654</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2,676</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97.1%</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(1,695)</w:t>
            </w:r>
          </w:p>
        </w:tc>
        <w:tc>
          <w:tcPr>
            <w:tcW w:w="8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514</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97</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(1,077)</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(660)</w:t>
            </w:r>
          </w:p>
        </w:tc>
        <w:tc>
          <w:tcPr>
            <w:tcW w:w="8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760" w:type="dxa"/>
            <w:vAlign w:val="bottom"/>
          </w:tcPr>
          <w:p>
            <w:pPr>
              <w:spacing w:after="0"/>
              <w:rPr>
                <w:sz w:val="18"/>
                <w:szCs w:val="18"/>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Disposal, restructuring and other operating expenses, net</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(7)</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(2,362)</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702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5"/>
              </w:rPr>
              <w:t>292</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10.7%</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42.8%</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5"/>
              </w:rPr>
              <w:t>108</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60</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5"/>
              </w:rPr>
              <w:t>461</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(61)</w:t>
            </w:r>
          </w:p>
        </w:tc>
        <w:tc>
          <w:tcPr>
            <w:tcW w:w="8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$400</w:t>
            </w:r>
          </w:p>
        </w:tc>
        <w:tc>
          <w:tcPr>
            <w:tcW w:w="8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$720</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$138</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$(108)</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21"/>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ordinary shareholders</w:t>
            </w: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88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$0.37</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$0.37</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1,068</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1,079</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September 30, 2025</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tax</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taxes related</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20" w:type="dxa"/>
            <w:vAlign w:val="bottom"/>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9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SBC, net</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0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equity</w:t>
            </w:r>
          </w:p>
        </w:tc>
        <w:tc>
          <w:tcPr>
            <w:tcW w:w="94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and per share amounts)</w:t>
            </w:r>
          </w:p>
        </w:tc>
        <w:tc>
          <w:tcPr>
            <w:tcW w:w="80" w:type="dxa"/>
            <w:vAlign w:val="bottom"/>
            <w:vMerge w:val="restart"/>
          </w:tcPr>
          <w:p>
            <w:pPr>
              <w:spacing w:after="0"/>
              <w:rPr>
                <w:sz w:val="12"/>
                <w:szCs w:val="12"/>
                <w:color w:val="auto"/>
              </w:rPr>
            </w:pPr>
          </w:p>
        </w:tc>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(equity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R&amp;D tax</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disposal</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disposal of</w:t>
            </w:r>
          </w:p>
        </w:tc>
        <w:tc>
          <w:tcPr>
            <w:tcW w:w="2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non-GAAP  Non-GAAP</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8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incentives</w:t>
            </w:r>
            <w:r>
              <w:rPr>
                <w:rFonts w:ascii="Times New Roman" w:cs="Times New Roman" w:eastAsia="Times New Roman" w:hAnsi="Times New Roman"/>
                <w:sz w:val="18"/>
                <w:szCs w:val="18"/>
                <w:b w:val="1"/>
                <w:bCs w:val="1"/>
                <w:color w:val="auto"/>
                <w:w w:val="95"/>
                <w:vertAlign w:val="superscript"/>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8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$2,188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$2,188</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2,129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97.3%</w:t>
            </w: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(1,341)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(906)</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(511)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(361)</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(1,852)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277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12.7%</w:t>
            </w: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equity investments, net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54</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54</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non-operating income (loss), net</w:t>
            </w: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00" w:type="dxa"/>
            <w:vAlign w:val="bottom"/>
            <w:gridSpan w:val="2"/>
            <w:vMerge w:val="continue"/>
          </w:tcPr>
          <w:p>
            <w:pPr>
              <w:spacing w:after="0"/>
              <w:rPr>
                <w:sz w:val="16"/>
                <w:szCs w:val="16"/>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448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(60)</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(140)</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w w:val="99"/>
              </w:rPr>
              <w:t>$368</w:t>
            </w:r>
          </w:p>
        </w:tc>
        <w:tc>
          <w:tcPr>
            <w:tcW w:w="10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9"/>
              </w:rPr>
              <w:t>$506</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$12</w:t>
            </w: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$(60)</w:t>
            </w: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21"/>
        </w:trPr>
        <w:tc>
          <w:tcPr>
            <w:tcW w:w="3500" w:type="dxa"/>
            <w:vAlign w:val="bottom"/>
            <w:gridSpan w:val="2"/>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Net income (loss) per share attributable to ordinary</w:t>
            </w: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35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$0.35</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$0.34</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1,059</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1,067</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employer taxes related to SBC for equity-classified awards, net of the R&amp;D tax incentives associated with these taxes.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4"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GAAP to Non-GAAP Reconciliation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reconciliations of Net cash provided by (used for) operating activities to Non-GAAP free cash flow and Non-GAAP free cash flow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TTM:</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43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 free cash flow</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9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r>
      <w:tr>
        <w:trPr>
          <w:trHeight w:val="195"/>
        </w:trPr>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1"/>
        </w:trPr>
        <w:tc>
          <w:tcPr>
            <w:tcW w:w="400" w:type="dxa"/>
            <w:vAlign w:val="bottom"/>
          </w:tcPr>
          <w:p>
            <w:pPr>
              <w:spacing w:after="0"/>
              <w:rPr>
                <w:sz w:val="16"/>
                <w:szCs w:val="16"/>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432"/>
        </w:trPr>
        <w:tc>
          <w:tcPr>
            <w:tcW w:w="40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16"/>
        </w:trPr>
        <w:tc>
          <w:tcPr>
            <w:tcW w:w="40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6"/>
        </w:trPr>
        <w:tc>
          <w:tcPr>
            <w:tcW w:w="4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
        </w:trPr>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23"/>
        </w:trPr>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80" w:space="720"/>
            <w:col w:w="6840"/>
          </w:cols>
          <w:pgMar w:left="320" w:top="104" w:right="3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Trailing Twelve Months Ended September 30,</w:t>
            </w:r>
          </w:p>
        </w:tc>
        <w:tc>
          <w:tcPr>
            <w:tcW w:w="0" w:type="dxa"/>
            <w:vAlign w:val="bottom"/>
          </w:tcPr>
          <w:p>
            <w:pPr>
              <w:spacing w:after="0"/>
              <w:rPr>
                <w:sz w:val="1"/>
                <w:szCs w:val="1"/>
                <w:color w:val="auto"/>
              </w:rPr>
            </w:pPr>
          </w:p>
        </w:tc>
      </w:tr>
      <w:tr>
        <w:trPr>
          <w:trHeight w:val="2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intangible asset obligations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free cash flow TTM</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our dependence on the semiconductor and electronics industries and the demand for the products of our customers and customers' customers; our dependence on the compatibility of our products with the manufacturing and design processes of our customers; our ability to forecast demand for new products; intense competition; our development of production silicon products, such as the Arm AGI CPU, compute subsystems, chiplets, complete chip solutions, and other more integrated compute products; changes in our pricing or our business terms or business model; our ability to adequately fund our research and development efforts; our dependence on a limited number of customers for a significant portion of our revenue; our reliance on third parties to market and sell chips and end products incorporating our products and to enhance the value of our licensed products; our ability to attract new customers and sell additional products to our existing customers; the loss of any of our senior management personnel or one or more key employees or our inability to attract and retain qualified personnel; our ability to develop new products in response to, or in anticipation of, rapid technological changes;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fluctuation and unpredictability of our results;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 w:cs="Times New Roman" w:eastAsia="Times New Roman" w:hAnsi="Times New Roman"/>
          <w:sz w:val="18"/>
          <w:szCs w:val="18"/>
          <w:i w:val="1"/>
          <w:iCs w:val="1"/>
          <w:color w:val="auto"/>
        </w:rPr>
        <w:t>Item 3. Key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 Risk Factors</w:t>
      </w:r>
      <w:r>
        <w:rPr>
          <w:rFonts w:ascii="Times New Roman" w:cs="Times New Roman" w:eastAsia="Times New Roman" w:hAnsi="Times New Roman"/>
          <w:sz w:val="18"/>
          <w:szCs w:val="18"/>
          <w:color w:val="auto"/>
        </w:rPr>
        <w:t>” in our Annual Report on Form 20-F for the fiscal year ended March 31, 2026, filed with the SEC on May 26, 2026, for additional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uncertainties that may cause our actual results, levels of activity, performance or achievements to be materially different from the information expressed or implied by forward-looking statements included herein.</w:t>
      </w:r>
    </w:p>
    <w:p>
      <w:pPr>
        <w:spacing w:after="0" w:line="20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2026-11-04T15:14:23Z</dcterms:created>
  <dcterms:modified xsi:type="dcterms:W3CDTF">2026-11-04T15:14:23Z</dcterms:modified>
</cp:coreProperties>
</file>